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jc w:val="center"/>
      </w:pPr>
      <w:r>
        <w:t>Arquitetura do SoC Dual-Core CVA6</w:t>
        <w:br/>
        <w:t>e do Ambiente de Verificação UVM</w:t>
      </w:r>
    </w:p>
    <w:p>
      <w:pPr>
        <w:spacing w:before="0" w:after="400"/>
        <w:jc w:val="center"/>
      </w:pPr>
      <w:r>
        <w:rPr>
          <w:color w:val="444466"/>
          <w:sz w:val="20"/>
        </w:rPr>
        <w:t>O que é · Para que serve · Qual problema resolve</w:t>
        <w:br/>
        <w:t>OpenPiton 2×1 | CVA6 RV64GC | UVM 1.2 | Vivado xsim 2025.1</w:t>
      </w:r>
    </w:p>
    <w:p>
      <w:pPr>
        <w:pStyle w:val="Heading1"/>
        <w:spacing w:before="280" w:after="80"/>
      </w:pPr>
      <w:r>
        <w:t>1  Visão Geral do Sistema</w:t>
      </w:r>
    </w:p>
    <w:p>
      <w:pPr>
        <w:spacing w:before="0" w:after="120"/>
        <w:ind w:firstLine="709"/>
        <w:jc w:val="both"/>
      </w:pPr>
      <w:r>
        <w:rPr>
          <w:sz w:val="22"/>
        </w:rPr>
        <w:t>Este documento descreve a arquitetura do System-on-Chip (SoC) dual-core baseado no framework OpenPiton com dois núcleos CVA6 e o ambiente de verificação UVM construído para validá-lo. Para cada componente são apresentadas três perspectivas: o que ele é (definição e características), para que serve (função dentro do sistema) e qual problema ele resolve (motivação de projeto e vantagens em relação às alternativas).</w:t>
      </w:r>
    </w:p>
    <w:p>
      <w:pPr>
        <w:spacing w:before="0" w:after="120"/>
        <w:ind w:firstLine="709"/>
        <w:jc w:val="both"/>
      </w:pPr>
      <w:r>
        <w:rPr>
          <w:sz w:val="22"/>
        </w:rPr>
        <w:t>O sistema foi desenvolvido com foco em pesquisa e educação em arquitetura de computadores. Toda a cadeia — desde o núcleo do processador até o ambiente de verificação — é baseada em componentes de código aberto, permitindo inspeção completa do RTL e customização irrestrita. A simulação é executada no Vivado xsim 2025.1, sem necessidade de hardware físico ou licenças de ferramentas proprietárias de EDA.</w:t>
      </w:r>
    </w:p>
    <w:tbl>
      <w:tblPr>
        <w:tblStyle w:val="TableGrid"/>
        <w:tblW w:type="auto" w:w="0"/>
        <w:tblLook w:firstColumn="1" w:firstRow="1" w:lastColumn="0" w:lastRow="0" w:noHBand="0" w:noVBand="1" w:val="04A0"/>
      </w:tblPr>
      <w:tblGrid>
        <w:gridCol w:w="9405"/>
      </w:tblGrid>
      <w:tr>
        <w:tc>
          <w:tcPr>
            <w:tcW w:type="dxa" w:w="9405"/>
            <w:shd w:val="clear" w:color="auto" w:fill="1F3864"/>
          </w:tcPr>
          <w:p>
            <w:pPr>
              <w:spacing w:before="100" w:after="100"/>
              <w:jc w:val="center"/>
            </w:pPr>
            <w:r>
              <w:rPr>
                <w:b/>
                <w:color w:val="FFFFFF"/>
                <w:sz w:val="22"/>
              </w:rPr>
              <w:t>PARTE I — ARQUITETURA DO SoC OPENPITON 2×1</w:t>
            </w:r>
          </w:p>
        </w:tc>
      </w:tr>
    </w:tbl>
    <w:p/>
    <w:p>
      <w:pPr>
        <w:pStyle w:val="Heading1"/>
        <w:spacing w:before="280" w:after="80"/>
      </w:pPr>
      <w:r>
        <w:t>2  OpenPiton: o Framework do SoC</w:t>
      </w:r>
    </w:p>
    <w:p>
      <w:pPr>
        <w:spacing w:before="0" w:after="120"/>
        <w:ind w:firstLine="709"/>
        <w:jc w:val="both"/>
      </w:pPr>
      <w:r>
        <w:rPr>
          <w:sz w:val="22"/>
        </w:rPr>
        <w:t>OpenPiton é um framework de SoC multi-core de código aberto desenvolvido pela Universidade de Princeton. Ele fornece uma infraestrutura de tiles interligados por uma rede de interconexão (NoC) que pode ser configurada para qualquer número de núcleos e qualquer processador compatível. Neste projeto, a configuração é 2×1: dois tiles CVA6 em linha compartilhando a mesma NoC P-Mesh e a mesma SRAM.</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Framework de SoC tile-based de código aberto (Princeton University). Cada tile encapsula um núcleo de processador, suas caches L1 privadas, o adaptador L1.5 e a interface com a rede de interconexão NoC. O número e o tipo dos tiles são configuráveis em tempo de compilação.</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Fornece toda a infraestrutura de SoC necessária para conectar múltiplos núcleos a uma memória compartilhada: arbitragem de barramento, protocolo de coerência de cache (MESI no L1.5), ponte AXI4, e controle de reset e boot. Permite que o pesquisador se concentre no núcleo (CVA6) sem reimplementar a plumbing do SoC.</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Elimina a necessidade de projetar do zero a interconexão multi-core, o protocolo de coerência e a interface com memória. Alternativas proprietárias (ARM CoreLink, Intel Xeon NoC) são caixas-pretas; OpenPiton expõe todo o RTL, tornando possível medir latência real de cache miss, estudar contenção na NoC e modificar o protocolo MESI.</w:t>
            </w:r>
          </w:p>
        </w:tc>
      </w:tr>
    </w:tbl>
    <w:p/>
    <w:p>
      <w:pPr>
        <w:pStyle w:val="Heading1"/>
        <w:spacing w:before="280" w:after="80"/>
      </w:pPr>
      <w:r>
        <w:t>3  CVA6 (Ariane): o Núcleo do Processador</w:t>
      </w:r>
    </w:p>
    <w:p>
      <w:pPr>
        <w:spacing w:before="0" w:after="120"/>
        <w:ind w:firstLine="709"/>
        <w:jc w:val="both"/>
      </w:pPr>
      <w:r>
        <w:rPr>
          <w:sz w:val="22"/>
        </w:rPr>
        <w:t>CVA6, anteriormente chamado Ariane, é um processador RISC-V RV64GC de código aberto desenvolvido pelo grupo PULP da ETH Zurich. Ele implementa o ISA RISC-V de 64 bits com as extensões padrão I (inteiro), M (multiplicação/divisão), A (atômicas), F e D (ponto flutuante) e C (instruções comprimidas de 16 bits). O pipeline in-order de 6 estágios foi projetado para equilíbrio entre desempenho, área e verificabilidade.</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Processador RISC-V RV64GC in-order, pipeline de 6 estágios (IF → ID → IS → EX → WB → COMMIT). Suporta M-extension (MUL/DIV pipelined), supervisor mode, MMU Sv39, e mecanismo de commit duplo (NR_COMMIT_PORTS=2). ROB com 8 entradas (NR_SB_ENTRIES=8). Frequência alvo de 100 MHz em FPGA Xilinx.</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É o núcleo computacional de cada tile. Busca instruções via L1 ICache, decodifica, emite para unidades funcionais (ALU, multiplicador, LSU, branch unit), confirma no estágio COMMIT e atualiza o estado arquitetural. O store_buffer retém escritas pendentes até o commit, garantindo consistência com o modelo de memória RISC-V RVWMO.</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Processadores RISC-V open-source de qualidade de produção eram escassos antes do CVA6. Cores simplificados (Rocket, BOOM) têm microarquiteturas muito diferentes do estilo clássico in-order. O CVA6 preenche esse espaço com um design limpo, auditável e parametrizável, adequado tanto para ASIC quanto para FPGA, sem royalties.</w:t>
            </w:r>
          </w:p>
        </w:tc>
      </w:tr>
    </w:tbl>
    <w:p/>
    <w:p>
      <w:pPr>
        <w:pStyle w:val="Heading2"/>
        <w:spacing w:before="200" w:after="60"/>
      </w:pPr>
      <w:r>
        <w:t>3.1  Pipeline de 6 Estágios</w:t>
      </w:r>
    </w:p>
    <w:p>
      <w:pPr>
        <w:spacing w:before="0" w:after="120"/>
        <w:jc w:val="both"/>
      </w:pPr>
      <w:r>
        <w:rPr>
          <w:sz w:val="22"/>
        </w:rPr>
        <w:t>O pipeline in-order garante que as instruções sejam comprometidas na ordem do programa, simplificando o modelo de programação e a verificação. Cada estágio tem função bem definida:</w:t>
      </w:r>
    </w:p>
    <w:tbl>
      <w:tblPr>
        <w:tblStyle w:val="TableGrid"/>
        <w:tblW w:type="auto" w:w="0"/>
        <w:tblLook w:firstColumn="1" w:firstRow="1" w:lastColumn="0" w:lastRow="0" w:noHBand="0" w:noVBand="1" w:val="04A0"/>
      </w:tblPr>
      <w:tblGrid>
        <w:gridCol w:w="3135"/>
        <w:gridCol w:w="3135"/>
        <w:gridCol w:w="3135"/>
      </w:tblGrid>
      <w:tr>
        <w:tc>
          <w:tcPr>
            <w:tcW w:type="dxa" w:w="850"/>
            <w:shd w:val="clear" w:color="auto" w:fill="1F3864"/>
          </w:tcPr>
          <w:p>
            <w:pPr>
              <w:spacing w:before="0" w:after="0"/>
              <w:jc w:val="center"/>
            </w:pPr>
            <w:r>
              <w:rPr>
                <w:b/>
                <w:color w:val="FFFFFF"/>
                <w:sz w:val="18"/>
              </w:rPr>
              <w:t>Estágio</w:t>
            </w:r>
          </w:p>
        </w:tc>
        <w:tc>
          <w:tcPr>
            <w:tcW w:type="dxa" w:w="1984"/>
            <w:shd w:val="clear" w:color="auto" w:fill="1F3864"/>
          </w:tcPr>
          <w:p>
            <w:pPr>
              <w:spacing w:before="0" w:after="0"/>
              <w:jc w:val="center"/>
            </w:pPr>
            <w:r>
              <w:rPr>
                <w:b/>
                <w:color w:val="FFFFFF"/>
                <w:sz w:val="18"/>
              </w:rPr>
              <w:t>Nome</w:t>
            </w:r>
          </w:p>
        </w:tc>
        <w:tc>
          <w:tcPr>
            <w:tcW w:type="dxa" w:w="6520"/>
            <w:shd w:val="clear" w:color="auto" w:fill="1F3864"/>
          </w:tcPr>
          <w:p>
            <w:pPr>
              <w:spacing w:before="0" w:after="0"/>
              <w:jc w:val="center"/>
            </w:pPr>
            <w:r>
              <w:rPr>
                <w:b/>
                <w:color w:val="FFFFFF"/>
                <w:sz w:val="18"/>
              </w:rPr>
              <w:t>O que faz</w:t>
            </w:r>
          </w:p>
        </w:tc>
      </w:tr>
      <w:tr>
        <w:tc>
          <w:tcPr>
            <w:tcW w:type="dxa" w:w="850"/>
            <w:shd w:val="clear" w:color="auto" w:fill="EEF4FF"/>
          </w:tcPr>
          <w:p>
            <w:pPr>
              <w:spacing w:before="60" w:after="60"/>
              <w:jc w:val="center"/>
            </w:pPr>
            <w:r>
              <w:rPr>
                <w:b/>
                <w:sz w:val="18"/>
              </w:rPr>
              <w:t>IF</w:t>
            </w:r>
          </w:p>
        </w:tc>
        <w:tc>
          <w:tcPr>
            <w:tcW w:type="dxa" w:w="1984"/>
            <w:shd w:val="clear" w:color="auto" w:fill="EEF4FF"/>
          </w:tcPr>
          <w:p>
            <w:pPr>
              <w:spacing w:before="60" w:after="60"/>
              <w:jc w:val="center"/>
            </w:pPr>
            <w:r>
              <w:rPr>
                <w:sz w:val="18"/>
              </w:rPr>
              <w:t>Instruction Fetch</w:t>
            </w:r>
          </w:p>
        </w:tc>
        <w:tc>
          <w:tcPr>
            <w:tcW w:type="dxa" w:w="6520"/>
            <w:shd w:val="clear" w:color="auto" w:fill="EEF4FF"/>
          </w:tcPr>
          <w:p>
            <w:pPr>
              <w:spacing w:before="60" w:after="60"/>
              <w:jc w:val="left"/>
            </w:pPr>
            <w:r>
              <w:rPr>
                <w:sz w:val="18"/>
              </w:rPr>
              <w:t>Solicita instrução ao L1 ICache; gera PC especulativo via BPU</w:t>
            </w:r>
          </w:p>
        </w:tc>
      </w:tr>
      <w:tr>
        <w:tc>
          <w:tcPr>
            <w:tcW w:type="dxa" w:w="850"/>
            <w:shd w:val="clear" w:color="auto" w:fill="EEF4FF"/>
          </w:tcPr>
          <w:p>
            <w:pPr>
              <w:spacing w:before="60" w:after="60"/>
              <w:jc w:val="center"/>
            </w:pPr>
            <w:r>
              <w:rPr>
                <w:b/>
                <w:sz w:val="18"/>
              </w:rPr>
              <w:t>ID</w:t>
            </w:r>
          </w:p>
        </w:tc>
        <w:tc>
          <w:tcPr>
            <w:tcW w:type="dxa" w:w="1984"/>
            <w:shd w:val="clear" w:color="auto" w:fill="EEF4FF"/>
          </w:tcPr>
          <w:p>
            <w:pPr>
              <w:spacing w:before="60" w:after="60"/>
              <w:jc w:val="center"/>
            </w:pPr>
            <w:r>
              <w:rPr>
                <w:sz w:val="18"/>
              </w:rPr>
              <w:t>Decode</w:t>
            </w:r>
          </w:p>
        </w:tc>
        <w:tc>
          <w:tcPr>
            <w:tcW w:type="dxa" w:w="6520"/>
            <w:shd w:val="clear" w:color="auto" w:fill="EEF4FF"/>
          </w:tcPr>
          <w:p>
            <w:pPr>
              <w:spacing w:before="60" w:after="60"/>
              <w:jc w:val="left"/>
            </w:pPr>
            <w:r>
              <w:rPr>
                <w:sz w:val="18"/>
              </w:rPr>
              <w:t>Decodifica opcode, expande imediatos, lê register file</w:t>
            </w:r>
          </w:p>
        </w:tc>
      </w:tr>
      <w:tr>
        <w:tc>
          <w:tcPr>
            <w:tcW w:type="dxa" w:w="850"/>
            <w:shd w:val="clear" w:color="auto" w:fill="EEF4FF"/>
          </w:tcPr>
          <w:p>
            <w:pPr>
              <w:spacing w:before="60" w:after="60"/>
              <w:jc w:val="center"/>
            </w:pPr>
            <w:r>
              <w:rPr>
                <w:b/>
                <w:sz w:val="18"/>
              </w:rPr>
              <w:t>IS</w:t>
            </w:r>
          </w:p>
        </w:tc>
        <w:tc>
          <w:tcPr>
            <w:tcW w:type="dxa" w:w="1984"/>
            <w:shd w:val="clear" w:color="auto" w:fill="EEF4FF"/>
          </w:tcPr>
          <w:p>
            <w:pPr>
              <w:spacing w:before="60" w:after="60"/>
              <w:jc w:val="center"/>
            </w:pPr>
            <w:r>
              <w:rPr>
                <w:sz w:val="18"/>
              </w:rPr>
              <w:t>Issue</w:t>
            </w:r>
          </w:p>
        </w:tc>
        <w:tc>
          <w:tcPr>
            <w:tcW w:type="dxa" w:w="6520"/>
            <w:shd w:val="clear" w:color="auto" w:fill="EEF4FF"/>
          </w:tcPr>
          <w:p>
            <w:pPr>
              <w:spacing w:before="60" w:after="60"/>
              <w:jc w:val="left"/>
            </w:pPr>
            <w:r>
              <w:rPr>
                <w:sz w:val="18"/>
              </w:rPr>
              <w:t>Despacha para unidade funcional disponível (sem reorder)</w:t>
            </w:r>
          </w:p>
        </w:tc>
      </w:tr>
      <w:tr>
        <w:tc>
          <w:tcPr>
            <w:tcW w:type="dxa" w:w="850"/>
            <w:shd w:val="clear" w:color="auto" w:fill="EEF4FF"/>
          </w:tcPr>
          <w:p>
            <w:pPr>
              <w:spacing w:before="60" w:after="60"/>
              <w:jc w:val="center"/>
            </w:pPr>
            <w:r>
              <w:rPr>
                <w:b/>
                <w:sz w:val="18"/>
              </w:rPr>
              <w:t>EX</w:t>
            </w:r>
          </w:p>
        </w:tc>
        <w:tc>
          <w:tcPr>
            <w:tcW w:type="dxa" w:w="1984"/>
            <w:shd w:val="clear" w:color="auto" w:fill="EEF4FF"/>
          </w:tcPr>
          <w:p>
            <w:pPr>
              <w:spacing w:before="60" w:after="60"/>
              <w:jc w:val="center"/>
            </w:pPr>
            <w:r>
              <w:rPr>
                <w:sz w:val="18"/>
              </w:rPr>
              <w:t>Execute</w:t>
            </w:r>
          </w:p>
        </w:tc>
        <w:tc>
          <w:tcPr>
            <w:tcW w:type="dxa" w:w="6520"/>
            <w:shd w:val="clear" w:color="auto" w:fill="EEF4FF"/>
          </w:tcPr>
          <w:p>
            <w:pPr>
              <w:spacing w:before="60" w:after="60"/>
              <w:jc w:val="left"/>
            </w:pPr>
            <w:r>
              <w:rPr>
                <w:sz w:val="18"/>
              </w:rPr>
              <w:t>ALU computa resultado; multiplicador produz MUL em 1 ciclo; LSU calcula endereço</w:t>
            </w:r>
          </w:p>
        </w:tc>
      </w:tr>
      <w:tr>
        <w:tc>
          <w:tcPr>
            <w:tcW w:type="dxa" w:w="850"/>
            <w:shd w:val="clear" w:color="auto" w:fill="EEF4FF"/>
          </w:tcPr>
          <w:p>
            <w:pPr>
              <w:spacing w:before="60" w:after="60"/>
              <w:jc w:val="center"/>
            </w:pPr>
            <w:r>
              <w:rPr>
                <w:b/>
                <w:sz w:val="18"/>
              </w:rPr>
              <w:t>WB</w:t>
            </w:r>
          </w:p>
        </w:tc>
        <w:tc>
          <w:tcPr>
            <w:tcW w:type="dxa" w:w="1984"/>
            <w:shd w:val="clear" w:color="auto" w:fill="EEF4FF"/>
          </w:tcPr>
          <w:p>
            <w:pPr>
              <w:spacing w:before="60" w:after="60"/>
              <w:jc w:val="center"/>
            </w:pPr>
            <w:r>
              <w:rPr>
                <w:sz w:val="18"/>
              </w:rPr>
              <w:t>Write-Back</w:t>
            </w:r>
          </w:p>
        </w:tc>
        <w:tc>
          <w:tcPr>
            <w:tcW w:type="dxa" w:w="6520"/>
            <w:shd w:val="clear" w:color="auto" w:fill="EEF4FF"/>
          </w:tcPr>
          <w:p>
            <w:pPr>
              <w:spacing w:before="60" w:after="60"/>
              <w:jc w:val="left"/>
            </w:pPr>
            <w:r>
              <w:rPr>
                <w:sz w:val="18"/>
              </w:rPr>
              <w:t>Escreve resultado no register file (forwarding para stages seguintes)</w:t>
            </w:r>
          </w:p>
        </w:tc>
      </w:tr>
      <w:tr>
        <w:tc>
          <w:tcPr>
            <w:tcW w:type="dxa" w:w="850"/>
            <w:shd w:val="clear" w:color="auto" w:fill="FADBD8"/>
          </w:tcPr>
          <w:p>
            <w:pPr>
              <w:spacing w:before="60" w:after="60"/>
              <w:jc w:val="center"/>
            </w:pPr>
            <w:r>
              <w:rPr>
                <w:b/>
                <w:sz w:val="18"/>
              </w:rPr>
              <w:t>COMMIT</w:t>
            </w:r>
          </w:p>
        </w:tc>
        <w:tc>
          <w:tcPr>
            <w:tcW w:type="dxa" w:w="1984"/>
            <w:shd w:val="clear" w:color="auto" w:fill="FADBD8"/>
          </w:tcPr>
          <w:p>
            <w:pPr>
              <w:spacing w:before="60" w:after="60"/>
              <w:jc w:val="center"/>
            </w:pPr>
            <w:r>
              <w:rPr>
                <w:sz w:val="18"/>
              </w:rPr>
              <w:t>Commit</w:t>
            </w:r>
          </w:p>
        </w:tc>
        <w:tc>
          <w:tcPr>
            <w:tcW w:type="dxa" w:w="6520"/>
            <w:shd w:val="clear" w:color="auto" w:fill="FADBD8"/>
          </w:tcPr>
          <w:p>
            <w:pPr>
              <w:spacing w:before="60" w:after="60"/>
              <w:jc w:val="left"/>
            </w:pPr>
            <w:r>
              <w:rPr>
                <w:sz w:val="18"/>
              </w:rPr>
              <w:t>Confirma estado arquitetural; ativa store_buffer.commit_i; libera ROB</w:t>
            </w:r>
          </w:p>
        </w:tc>
      </w:tr>
    </w:tbl>
    <w:p/>
    <w:p>
      <w:pPr>
        <w:pStyle w:val="Heading2"/>
        <w:spacing w:before="200" w:after="60"/>
      </w:pPr>
      <w:r>
        <w:t>3.2  store_buffer: o Caminho de Escrita</w:t>
      </w:r>
    </w:p>
    <w:p>
      <w:pPr>
        <w:spacing w:before="0" w:after="120"/>
        <w:ind w:firstLine="709"/>
        <w:jc w:val="both"/>
      </w:pPr>
      <w:r>
        <w:rPr>
          <w:sz w:val="22"/>
        </w:rPr>
        <w:t>O store_buffer é uma fila FIFO de 4 entradas especulativas (speculative_queue) que armazena escritas pendentes antes de confirmá-las na hierarquia de cache. Quando o estágio COMMIT aprova a instrução SW, o bit commit_i é ativado e o endereço físico em speculative_queue_q[ptr].address torna-se autoritativo. Somente após o commit o store é enviado ao L1 DCache via req_port_o.</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Fila especulativa de escritas pendentes (DEPTH_SPEC=4). Cada entrada armazena endereço físico de 56 bits, dado de 64 bits (xlen_t), byte enable (8 bits), tamanho (2 bits) e flag valid. Implementado em store_buffer.sv dentro do pipeline CVA6.</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Desacopla o pipeline de escritas da latência da hierarquia de memória. Sem o store_buffer, cada SW bloquearia o pipeline aguardando o ACK da SRAM (~30 ciclos). Com ele, o pipeline pode avançar e a escrita é propagada ao cache de forma assíncrona após o commit.</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Garante que escritas especulativas (antes do commit) nunca vistam o estado da memória, evitando erros de consistência em caso de exceção ou branch misprediction. No xsim 2025.1, o caminho físico está bloqueado pelo stub 'ifndef XSIM; o monitor de commit_i contorna isso observando o bit diretamente no RTL.</w:t>
            </w:r>
          </w:p>
        </w:tc>
      </w:tr>
    </w:tbl>
    <w:p/>
    <w:p>
      <w:pPr>
        <w:pStyle w:val="Heading1"/>
        <w:spacing w:before="280" w:after="80"/>
      </w:pPr>
      <w:r>
        <w:t>4  Hierarquia de Memória</w:t>
      </w:r>
    </w:p>
    <w:p>
      <w:pPr>
        <w:spacing w:before="0" w:after="120"/>
        <w:ind w:firstLine="709"/>
        <w:jc w:val="both"/>
      </w:pPr>
      <w:r>
        <w:rPr>
          <w:sz w:val="22"/>
        </w:rPr>
        <w:t>O SoC implementa uma hierarquia de memória de três níveis: L1 privado por tile (ICache e DCache), L1.5 compartilhado por tile (TRI — Transactional Register Interface) e SRAM compartilhada entre tiles. A coerência de dados entre tiles é mantida pelo protocolo MESI no L1.5, com suporte a invalidação por broadcast na NoC3 (write-back network).</w:t>
      </w:r>
    </w:p>
    <w:p>
      <w:pPr>
        <w:pStyle w:val="Heading2"/>
        <w:spacing w:before="200" w:after="60"/>
      </w:pPr>
      <w:r>
        <w:t>4.1  L1 ICache — Cache de Instrução</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Cache de instrução de 16 KB, 4-way set-associative, com linha de 32 bytes (256 bits). Implementado em wt_icache.sv. Privado por tile, sem protocolo de coerência entre tiles (instrução é read-only).</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Reduz o número de acessos à SRAM durante o fetch de instruções. Após o primeiro miss (cold start), as instruções são servidas localmente em 1 ciclo (hit). Na simulação, os 4 blocos de 64 bytes cobrindo os 256 bytes de código foram todos carregados em ≤14 misses.</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Sem cache, cada instrução exigiria um round-trip de ~30 ciclos até a SRAM, limitando o IPC a 1/30. Com cache e código sequencial (hit rate ~100% após warm-up), o pipeline sustenta commits a ~1 instrução/ciclo. O custo de miss inicial é amortizado pelo reúso.</w:t>
            </w:r>
          </w:p>
        </w:tc>
      </w:tr>
    </w:tbl>
    <w:p/>
    <w:p>
      <w:pPr>
        <w:pStyle w:val="Heading2"/>
        <w:spacing w:before="200" w:after="60"/>
      </w:pPr>
      <w:r>
        <w:t>4.2  L1 DCache e store_buffer — Cache de Dados</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Cache de dados write-through de 16 KB, 4-way, com controlador wt_dcache_ctrl.sv. Opera em conjunto com o store_buffer (escrita) e load_unit.sv (leitura). No xsim 2025.1, o caminho de leitura (LW/LD via load_unit.sv) falha com FATAL_ERROR por bug de packed-struct no kernel do simulador.</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Armazena dados lidos e escritos pelo programa. Escritas (SW) percorrem store_buffer → DCache → L1.5 → NoC → SRAM. Leituras (LW) consultam primeiro o DCache e, em caso de miss, buscam via L1.5. O write-through garante consistência imediata com a SRAM sem necessidade de write-back explícito.</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Isola o pipeline de processador da latência de 30+ ciclos da SRAM para operações de dados, da mesma forma que o ICache faz para instruções. No contexto deste projeto, o caminho de leitura está temporariamente indisponível no simulador; os operandos são fornecidos via ADDI (imediato) como workaround documentado.</w:t>
            </w:r>
          </w:p>
        </w:tc>
      </w:tr>
    </w:tbl>
    <w:p/>
    <w:p>
      <w:pPr>
        <w:pStyle w:val="Heading2"/>
        <w:spacing w:before="200" w:after="60"/>
      </w:pPr>
      <w:r>
        <w:t>4.3  L1.5 TRI — Camada Intermediária</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Cache de nível 1.5 de 8 KB, 4-way, protocolo MESI, implementado como TRI (Transactional Register Interface). Fica entre o L1 e a NoC P-Mesh. O adaptador L15ADAP converte requisições do L1 ICache (type=16 para IFILL) e do DCache para o formato de flit da NoC.</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Serve como buffer de coerência e ponto de filtro entre o tile e a rede de interconexão. Hits no L1.5 evitam tráfego na NoC. Gerenencia invalidações MESI recebidas de outros tiles via NoC3, garantindo que leituras de um tile vejam escritas de outro.</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Sem o L1.5, cada miss do L1 geraria diretamente tráfego na NoC e na SRAM, aumentando a contenção. O L1.5 agrupa requisições pendentes (MSHR) e responde a hits sem ir à SRAM, reduzindo a latência média e o tráfego inter-tile.</w:t>
            </w:r>
          </w:p>
        </w:tc>
      </w:tr>
    </w:tbl>
    <w:p/>
    <w:p>
      <w:pPr>
        <w:pStyle w:val="Heading1"/>
        <w:spacing w:before="280" w:after="80"/>
      </w:pPr>
      <w:r>
        <w:t>5  NoC P-Mesh: a Rede de Interconexão</w:t>
      </w:r>
    </w:p>
    <w:p>
      <w:pPr>
        <w:spacing w:before="0" w:after="120"/>
        <w:ind w:firstLine="709"/>
        <w:jc w:val="both"/>
      </w:pPr>
      <w:r>
        <w:rPr>
          <w:sz w:val="22"/>
        </w:rPr>
        <w:t>A NoC P-Mesh (Packet-switched Mesh) é a espinha dorsal do OpenPiton. Ela conecta todos os tiles e o bridge de memória em uma topologia de malha, com três redes independentes para evitar deadlock: NoC1 para requisições, NoC2 para respostas e NoC3 para write-back/invalidações. Cada rede é roteada de forma determinística (dimension-order routing), sem necessidade de tabelas de roteamento dinâmicas.</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Interconexão packet-switched com topologia de malha 2D. Três redes independentes de 64 bits por flit: NoC1 (requisições: load/store/fill), NoC2 (respostas: dados, ACKs) e NoC3 (write-back e invalidações MESI). Arbitragem FIFO por porta, roteamento dimension-order (X primeiro, Y depois).</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Transporta todos os pacotes entre tiles e a memória: pedidos de fill de instrução (IFILL type=16), confirmações de store, respostas de dados e mensagens de coerência. Na configuração 2×1, os dois tiles compartilham as três redes, e o noc_axi4_bridge converte os flits P-Mesh para transações AXI4 na interface da SRAM.</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Barramentos compartilhados (como AXI4 multi-master) criam gargalos severos com múltiplos masters simultâneos. A NoC distribui o tráfego pela malha, permitindo comunicação simultânea entre pares de nós não conflitantes. A separação em 3 redes elimina deadlocks clássicos de protocolo de coerência (ciclo de dependência req → resp → wb).</w:t>
            </w:r>
          </w:p>
        </w:tc>
      </w:tr>
    </w:tbl>
    <w:p/>
    <w:p>
      <w:pPr>
        <w:pStyle w:val="Heading1"/>
        <w:spacing w:before="280" w:after="80"/>
      </w:pPr>
      <w:r>
        <w:t>6  noc_axi4_bridge: a Ponte de Memória</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Módulo RTL que traduz flits P-Mesh (NoC1/NoC2) em transações AXI4 (AR/AW/W/R/B channels) e vice-versa. Recebe requisições dos tiles via NoC1, emite beats AXI4 para a SRAM e devolve as respostas pelos flits NoC2.</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Permite que a SRAM (interface AXI4 padrão de mercado) seja conectada ao ecossistema OpenPiton sem modificação. Toda a complexidade do protocolo P-Mesh fica contida na ponte; a SRAM enxerga apenas transações AXI4 convencionais (AR len=0, 512 bits por beat).</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Sem a ponte, seria necessário implementar uma SRAM com interface P-Mesh nativa ou criar um protocolo proprietário. A ponte reutiliza modelos de SRAM AXI4 existentes (inclusive os modelos comportamentais do Vivado), reduz a complexidade de verificação e facilita a substituição futura por DDR4 ou HBM com interface AXI4.</w:t>
            </w:r>
          </w:p>
        </w:tc>
      </w:tr>
    </w:tbl>
    <w:p/>
    <w:p>
      <w:pPr>
        <w:pStyle w:val="Heading1"/>
        <w:spacing w:before="280" w:after="80"/>
      </w:pPr>
      <w:r>
        <w:t>7  AXI4 SRAM: a Memória Principal</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Modelo comportamental de SRAM com interface AXI4 Full, capacidade de 256 KB e largura de dados de 512 bits. Inicializada via $readmemh com o arquivo boot_rw.hex. Compartilhada entre os dois tiles. Latência de ~13 ciclos (130 ns @ 100 MHz) por transação AXI4 de leitura.</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Armazena o código do programa (instruções) e a área de dados (resultados SW de cada hart). No mapa de endereços: BASE=0x80000000, código em 0x000-0x0FF, dados Hart0 em 0x1000-0x1010, dados Hart1 em 0x1020-0x1030, tohost_pass em 0x8000FF50. Um único modelo de SRAM serve os dois tiles.</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Em FPGA real, este bloco seria substituído por um controlador DDR4 ou por BRAMs com interface AXI4. O modelo comportamental simplifica a simulação: resposta determinística sem latência variável de refresh DDR. O mapa de endereços fixo em 0x80000000 reflete a convenção do bootloader CVA6 para execução baremetal.</w:t>
            </w:r>
          </w:p>
        </w:tc>
      </w:tr>
    </w:tbl>
    <w:p/>
    <w:tbl>
      <w:tblPr>
        <w:tblStyle w:val="TableGrid"/>
        <w:tblW w:type="auto" w:w="0"/>
        <w:tblLook w:firstColumn="1" w:firstRow="1" w:lastColumn="0" w:lastRow="0" w:noHBand="0" w:noVBand="1" w:val="04A0"/>
      </w:tblPr>
      <w:tblGrid>
        <w:gridCol w:w="9405"/>
      </w:tblGrid>
      <w:tr>
        <w:tc>
          <w:tcPr>
            <w:tcW w:type="dxa" w:w="9405"/>
            <w:shd w:val="clear" w:color="auto" w:fill="1A4A2E"/>
          </w:tcPr>
          <w:p>
            <w:pPr>
              <w:spacing w:before="100" w:after="100"/>
              <w:jc w:val="center"/>
            </w:pPr>
            <w:r>
              <w:rPr>
                <w:b/>
                <w:color w:val="FFFFFF"/>
                <w:sz w:val="22"/>
              </w:rPr>
              <w:t>PARTE II — AMBIENTE DE VERIFICAÇÃO UVM</w:t>
            </w:r>
          </w:p>
        </w:tc>
      </w:tr>
    </w:tbl>
    <w:p/>
    <w:p>
      <w:pPr>
        <w:pStyle w:val="Heading1"/>
        <w:spacing w:before="280" w:after="80"/>
      </w:pPr>
      <w:r>
        <w:t>8  UVM: Universal Verification Methodology</w:t>
      </w:r>
    </w:p>
    <w:p>
      <w:pPr>
        <w:spacing w:before="0" w:after="120"/>
        <w:ind w:firstLine="709"/>
        <w:jc w:val="both"/>
      </w:pPr>
      <w:r>
        <w:rPr>
          <w:sz w:val="22"/>
        </w:rPr>
        <w:t>UVM (Universal Verification Methodology) é um padrão IEEE 1800.2 para construção de ambientes de verificação SystemVerilog reusáveis e estruturados. Diferente de um testbench ad-hoc, o UVM define classes base, protocolos de comunicação entre componentes (TLM), mecanismos de configuração e hierarquia de objetos que permitem reusar agentes entre projetos com mínima adaptação.</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Framework de verificação SystemVerilog baseado em classes OOP. Define a hierarquia: Test → Environment → Agent (Driver + Monitor + Sequencer) → Scoreboard. Comunicação entre componentes via TLM (Transaction Level Modeling) FIFOs e análise ports.</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Estrutura a simulação em camadas bem definidas: o Test configura o cenário, o Environment instancia agentes, os Drivers estimulam o DUT, os Monitors observam passivamente sinais, e o Scoreboard verifica resultados. Cada camada é independente — trocar o Test não afeta os Monitors, por exemplo.</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Testbenches monolíticos crescem sem estrutura e tornam-se impossíveis de manter. O UVM impõe separação de responsabilidades: um agente AXI4 escrito uma vez pode ser reutilizado em qualquer DUT com barramento AXI4. No projeto, o mesmo ambiente base valida tanto o teste matemático quanto o teste de escrita, mudando apenas o arquivo .hex.</w:t>
            </w:r>
          </w:p>
        </w:tc>
      </w:tr>
    </w:tbl>
    <w:p/>
    <w:p>
      <w:pPr>
        <w:pStyle w:val="Heading1"/>
        <w:spacing w:before="280" w:after="80"/>
      </w:pPr>
      <w:r>
        <w:t>9  Componentes do Ambiente</w:t>
      </w:r>
    </w:p>
    <w:p>
      <w:pPr>
        <w:pStyle w:val="Heading2"/>
        <w:spacing w:before="200" w:after="60"/>
      </w:pPr>
      <w:r>
        <w:t>9.1  uvmt_opc_asm_test_c — Test</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Classe de teste no topo da hierarquia UVM. Herda de uvm_test. Responsável por selecionar a sequência asm_seq, configurar o ambiente (timeout=5000000 ps, finish_mask=0x7FFF) e iniciar a fase run_phase via start() da sequência.</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Ponto de entrada da simulação. O nome do test é passado via +UVM_TESTNAME=uvmt_opc_asm_test_c na linha de comando do xsim. Carrega o binário via UVM_RUN_BINARY_OVERRIDE e delega a execução ao sequenciador do agente clk_rst.</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Centraliza a configuração do cenário em um único lugar. Para rodar um teste diferente (ex: apenas Hart 0, ou com timeout menor), basta criar um novo Test derivado — sem tocar nos agentes ou DUT wrap. O test também é o ponto onde a cobertura funcional seria configurada.</w:t>
            </w:r>
          </w:p>
        </w:tc>
      </w:tr>
    </w:tbl>
    <w:p/>
    <w:p>
      <w:pPr>
        <w:pStyle w:val="Heading2"/>
        <w:spacing w:before="200" w:after="60"/>
      </w:pPr>
      <w:r>
        <w:t>9.2  Agentes: clk_rst, noc, l15_tri, status</w:t>
      </w:r>
    </w:p>
    <w:p>
      <w:pPr>
        <w:spacing w:before="0" w:after="120"/>
        <w:jc w:val="both"/>
      </w:pPr>
      <w:r>
        <w:rPr>
          <w:sz w:val="22"/>
        </w:rPr>
        <w:t>Cada agente encapsula a interface com um protocolo ou sinal específico do DUT. Um agente UVM é composto por um Driver (ativo, estimula sinais), um Monitor (passivo, observa sinais) e um Sequencer (coordena sequências). Os agentes noc, l15_tri e status são apenas passivos (monitor-only).</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F3864"/>
          </w:tcPr>
          <w:p>
            <w:pPr>
              <w:spacing w:before="0" w:after="0"/>
              <w:jc w:val="center"/>
            </w:pPr>
            <w:r>
              <w:rPr>
                <w:b/>
                <w:color w:val="FFFFFF"/>
                <w:sz w:val="18"/>
              </w:rPr>
              <w:t>Agente</w:t>
            </w:r>
          </w:p>
        </w:tc>
        <w:tc>
          <w:tcPr>
            <w:tcW w:type="dxa" w:w="4819"/>
            <w:shd w:val="clear" w:color="auto" w:fill="1F3864"/>
          </w:tcPr>
          <w:p>
            <w:pPr>
              <w:spacing w:before="0" w:after="0"/>
              <w:jc w:val="center"/>
            </w:pPr>
            <w:r>
              <w:rPr>
                <w:b/>
                <w:color w:val="FFFFFF"/>
                <w:sz w:val="18"/>
              </w:rPr>
              <w:t>Função</w:t>
            </w:r>
          </w:p>
        </w:tc>
        <w:tc>
          <w:tcPr>
            <w:tcW w:type="dxa" w:w="2551"/>
            <w:shd w:val="clear" w:color="auto" w:fill="1F3864"/>
          </w:tcPr>
          <w:p>
            <w:pPr>
              <w:spacing w:before="0" w:after="0"/>
              <w:jc w:val="center"/>
            </w:pPr>
            <w:r>
              <w:rPr>
                <w:b/>
                <w:color w:val="FFFFFF"/>
                <w:sz w:val="18"/>
              </w:rPr>
              <w:t>Sinal Monitorado</w:t>
            </w:r>
          </w:p>
        </w:tc>
      </w:tr>
      <w:tr>
        <w:tc>
          <w:tcPr>
            <w:tcW w:type="dxa" w:w="1984"/>
            <w:shd w:val="clear" w:color="auto" w:fill="EEF4FF"/>
          </w:tcPr>
          <w:p>
            <w:pPr>
              <w:spacing w:before="60" w:after="60"/>
              <w:jc w:val="left"/>
            </w:pPr>
            <w:r>
              <w:rPr>
                <w:b/>
                <w:sz w:val="18"/>
              </w:rPr>
              <w:t>clk_rst_agent</w:t>
            </w:r>
          </w:p>
        </w:tc>
        <w:tc>
          <w:tcPr>
            <w:tcW w:type="dxa" w:w="4819"/>
            <w:shd w:val="clear" w:color="auto" w:fill="EEF4FF"/>
          </w:tcPr>
          <w:p>
            <w:pPr>
              <w:spacing w:before="60" w:after="60"/>
              <w:jc w:val="left"/>
            </w:pPr>
            <w:r>
              <w:rPr>
                <w:sz w:val="18"/>
              </w:rPr>
              <w:t>Gera clock 100 MHz e controla rst_n.</w:t>
              <w:br/>
              <w:t>Desasserta reset no ciclo 20 (t=200 ns).</w:t>
            </w:r>
          </w:p>
        </w:tc>
        <w:tc>
          <w:tcPr>
            <w:tcW w:type="dxa" w:w="2551"/>
            <w:shd w:val="clear" w:color="auto" w:fill="EEF4FF"/>
          </w:tcPr>
          <w:p>
            <w:pPr>
              <w:spacing w:before="60" w:after="60"/>
              <w:jc w:val="left"/>
            </w:pPr>
            <w:r>
              <w:rPr>
                <w:sz w:val="18"/>
              </w:rPr>
              <w:t>clk, rst_n</w:t>
            </w:r>
          </w:p>
        </w:tc>
      </w:tr>
      <w:tr>
        <w:tc>
          <w:tcPr>
            <w:tcW w:type="dxa" w:w="1984"/>
            <w:shd w:val="clear" w:color="auto" w:fill="EEF4FF"/>
          </w:tcPr>
          <w:p>
            <w:pPr>
              <w:spacing w:before="60" w:after="60"/>
              <w:jc w:val="left"/>
            </w:pPr>
            <w:r>
              <w:rPr>
                <w:b/>
                <w:sz w:val="18"/>
              </w:rPr>
              <w:t>noc_agent</w:t>
            </w:r>
          </w:p>
        </w:tc>
        <w:tc>
          <w:tcPr>
            <w:tcW w:type="dxa" w:w="4819"/>
            <w:shd w:val="clear" w:color="auto" w:fill="EEF4FF"/>
          </w:tcPr>
          <w:p>
            <w:pPr>
              <w:spacing w:before="60" w:after="60"/>
              <w:jc w:val="left"/>
            </w:pPr>
            <w:r>
              <w:rPr>
                <w:sz w:val="18"/>
              </w:rPr>
              <w:t>Monitora flits da NoC1 (NOC1_FIRST).</w:t>
              <w:br/>
              <w:t>Registra primeiro flit de cada pacote.</w:t>
            </w:r>
          </w:p>
        </w:tc>
        <w:tc>
          <w:tcPr>
            <w:tcW w:type="dxa" w:w="2551"/>
            <w:shd w:val="clear" w:color="auto" w:fill="EEF4FF"/>
          </w:tcPr>
          <w:p>
            <w:pPr>
              <w:spacing w:before="60" w:after="60"/>
              <w:jc w:val="left"/>
            </w:pPr>
            <w:r>
              <w:rPr>
                <w:sz w:val="18"/>
              </w:rPr>
              <w:t>noc1_valid, noc1_data</w:t>
            </w:r>
          </w:p>
        </w:tc>
      </w:tr>
      <w:tr>
        <w:tc>
          <w:tcPr>
            <w:tcW w:type="dxa" w:w="1984"/>
            <w:shd w:val="clear" w:color="auto" w:fill="EEF4FF"/>
          </w:tcPr>
          <w:p>
            <w:pPr>
              <w:spacing w:before="60" w:after="60"/>
              <w:jc w:val="left"/>
            </w:pPr>
            <w:r>
              <w:rPr>
                <w:b/>
                <w:sz w:val="18"/>
              </w:rPr>
              <w:t>l15_tri_agent</w:t>
            </w:r>
          </w:p>
        </w:tc>
        <w:tc>
          <w:tcPr>
            <w:tcW w:type="dxa" w:w="4819"/>
            <w:shd w:val="clear" w:color="auto" w:fill="EEF4FF"/>
          </w:tcPr>
          <w:p>
            <w:pPr>
              <w:spacing w:before="60" w:after="60"/>
              <w:jc w:val="left"/>
            </w:pPr>
            <w:r>
              <w:rPr>
                <w:sz w:val="18"/>
              </w:rPr>
              <w:t>Monitora interface L1.5 TRI (L15ADAP).</w:t>
              <w:br/>
              <w:t>Registra REQ, RTRN e IFILL_ACK.</w:t>
            </w:r>
          </w:p>
        </w:tc>
        <w:tc>
          <w:tcPr>
            <w:tcW w:type="dxa" w:w="2551"/>
            <w:shd w:val="clear" w:color="auto" w:fill="EEF4FF"/>
          </w:tcPr>
          <w:p>
            <w:pPr>
              <w:spacing w:before="60" w:after="60"/>
              <w:jc w:val="left"/>
            </w:pPr>
            <w:r>
              <w:rPr>
                <w:sz w:val="18"/>
              </w:rPr>
              <w:t>l15_req_*, l15_ack_*</w:t>
            </w:r>
          </w:p>
        </w:tc>
      </w:tr>
      <w:tr>
        <w:tc>
          <w:tcPr>
            <w:tcW w:type="dxa" w:w="1984"/>
            <w:shd w:val="clear" w:color="auto" w:fill="EEF4FF"/>
          </w:tcPr>
          <w:p>
            <w:pPr>
              <w:spacing w:before="60" w:after="60"/>
              <w:jc w:val="left"/>
            </w:pPr>
            <w:r>
              <w:rPr>
                <w:b/>
                <w:sz w:val="18"/>
              </w:rPr>
              <w:t>status_agent</w:t>
            </w:r>
          </w:p>
        </w:tc>
        <w:tc>
          <w:tcPr>
            <w:tcW w:type="dxa" w:w="4819"/>
            <w:shd w:val="clear" w:color="auto" w:fill="EEF4FF"/>
          </w:tcPr>
          <w:p>
            <w:pPr>
              <w:spacing w:before="60" w:after="60"/>
              <w:jc w:val="left"/>
            </w:pPr>
            <w:r>
              <w:rPr>
                <w:sz w:val="18"/>
              </w:rPr>
              <w:t>Detecta good_trap e bad_trap.</w:t>
              <w:br/>
              <w:t>Emite 'HIT GOOD TRAP' e notifica scoreboard.</w:t>
            </w:r>
          </w:p>
        </w:tc>
        <w:tc>
          <w:tcPr>
            <w:tcW w:type="dxa" w:w="2551"/>
            <w:shd w:val="clear" w:color="auto" w:fill="EEF4FF"/>
          </w:tcPr>
          <w:p>
            <w:pPr>
              <w:spacing w:before="60" w:after="60"/>
              <w:jc w:val="left"/>
            </w:pPr>
            <w:r>
              <w:rPr>
                <w:sz w:val="18"/>
              </w:rPr>
              <w:t>good_trap, bad_trap</w:t>
            </w:r>
          </w:p>
        </w:tc>
      </w:tr>
    </w:tbl>
    <w:p/>
    <w:p>
      <w:pPr>
        <w:pStyle w:val="Heading2"/>
        <w:spacing w:before="200" w:after="60"/>
      </w:pPr>
      <w:r>
        <w:t>9.3  uvmt_opc_scoreboard — Scoreboard</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Componente de verificação que recebe notificações de GOOD_TRAP e BAD_TRAP do status_agent via analysis port TLM. Mantém um contador de tiles concluídos contra a máscara finish_mask=0x7FFF (bitmask dos tiles esperados).</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Determina o veredicto final da simulação. Quando Completados == Esperados (0x1 == 0x1 neste projeto), o scoreboard declara PASS e a simulação pode ser encerrada. Também detecta BAD_TRAP e declara FAIL imediatamente.</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Sem scoreboard, o critério de sucesso seria hard-coded no DUT wrap via $finish após um número fixo de ciclos — frágil e não escalável. O scoreboard centraliza a lógica de veredicto e permite escalar para N tiles simplesmente ajustando finish_mask, sem tocar no RTL.</w:t>
            </w:r>
          </w:p>
        </w:tc>
      </w:tr>
    </w:tbl>
    <w:p/>
    <w:p>
      <w:pPr>
        <w:pStyle w:val="Heading1"/>
        <w:spacing w:before="280" w:after="80"/>
      </w:pPr>
      <w:r>
        <w:t>10  uvmt_opc_dut_wrap: o DUT e seus Monitores</w:t>
      </w:r>
    </w:p>
    <w:p>
      <w:pPr>
        <w:spacing w:before="0" w:after="120"/>
        <w:ind w:firstLine="709"/>
        <w:jc w:val="both"/>
      </w:pPr>
      <w:r>
        <w:rPr>
          <w:sz w:val="22"/>
        </w:rPr>
        <w:t>O DUT wrap é o módulo SystemVerilog que instancia o chip OpenPiton e conecta suas interfaces aos virtual interfaces UVM. É nele que estão os monitores customizados adicionados a este projeto para observar o comportamento interno do SoC sem modificar o RTL sintetizável.</w:t>
      </w:r>
    </w:p>
    <w:p>
      <w:pPr>
        <w:pStyle w:val="Heading2"/>
        <w:spacing w:before="200" w:after="60"/>
      </w:pPr>
      <w:r>
        <w:t>10.1  H0_COMMIT e H1_COMMIT</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Blocos always @(posedge clk) que amostram os sinais commit_i[0].valid e commit_i[0].pc de cada CVA6 via hierarquia de caminhos hierárquicos (backtick paths). Exibem no log a linha '[t ns] H0_COMMIT pc=0x... @cyc=...' a cada instrução comprometida.</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Produzem o rastreamento de execução instrução a instrução para ambos os harts. Permitem verificar manualmente (ou por script) se o fluxo de controle seguiu o caminho esperado: hart0_init → compute → store_h0 → verify_h0 → pass, e hart1_init → compute → store_h1 → verify_h1.</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O xsim não tem suporte a waveform stepping conveniente para grandes simulações. Os logs H0/H1_COMMIT fornecem visibilidade de execução equivalente a um trace de simulador ISA (como Spike), permitindo correlacionar cada commit com a instrução assembly correspondente no build_rw_test.py.</w:t>
            </w:r>
          </w:p>
        </w:tc>
      </w:tr>
    </w:tbl>
    <w:p/>
    <w:p>
      <w:pPr>
        <w:pStyle w:val="Heading2"/>
        <w:spacing w:before="200" w:after="60"/>
      </w:pPr>
      <w:r>
        <w:t>10.2  SB0_STORE e SB1_STORE</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Monitores que observam store_buffer.commit_i e os campos speculative_queue_q[speculative_read_pointer_q].address e .data de cada tile via hierarchical references. Exibem '[t ns] SB0_STORE addr=... data=... @cyc=...' a cada store comprometido.</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Verificam que os resultados aritméticos foram corretamente gravados na memória: Hart0 grava ADD=16, SUB=4, MUL=60, AND=2, OR=14 em 0x80001000-0x80001010; Hart1 grava ADD=12, SUB=6, MUL=27, AND=1, OR=11 em 0x80001020-0x80001030. Também detecta a escrita de GOOD TRAP em 0x8000FF50.</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Como o stub xsim suprime data_req=0, os stores nunca chegam ao barramento AXI4 e não são visíveis como transações AW/W. O monitor de commit_i é o único meio de observar o resultado dos stores sem modificar o RTL sintetizável. Este bypass foi implementado especificamente para contornar a limitação do simulador enquanto a funcionalidade de D-cache é restaurada em ambiente FPGA.</w:t>
            </w:r>
          </w:p>
        </w:tc>
      </w:tr>
    </w:tbl>
    <w:p/>
    <w:p>
      <w:pPr>
        <w:pStyle w:val="Heading2"/>
        <w:spacing w:before="200" w:after="60"/>
      </w:pPr>
      <w:r>
        <w:t>10.3  AXI_AR monitor</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Monitor do canal AR (Address Read) do barramento AXI4 entre o noc_axi4_bridge e a SRAM. Detecta m_axi_arvalid &amp; arready e classifica o beat como INST (addr &lt; 0x80001000) ou DATA (addr &gt;= 0x80001000). Exibe '[t ns] AXI_AR[N] INST/DATA addr=...'.</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Rastreia os acessos de instrução à SRAM, permitindo calcular o número de misses de L1 ICache e a latência de cada fill. Na simulação foram 14 beats AR[0..13], todos INST, cobrindo 4 blocos de 64 bytes (0x80000000, 0x80000040, 0x80000080, 0x800000C0).</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Sem este monitor, os acessos AXI4 só seriam visíveis via waveform VCD/WDB (centenas de MB para esta simulação). O log textual permite análise rápida de padrões de acesso à memória, identificação de acessos redundantes (mesmo bloco requisitado duas vezes por tiles diferentes) e cálculo de métricas de desempenho de cache.</w:t>
            </w:r>
          </w:p>
        </w:tc>
      </w:tr>
    </w:tbl>
    <w:p/>
    <w:p>
      <w:pPr>
        <w:pStyle w:val="Heading2"/>
        <w:spacing w:before="200" w:after="60"/>
      </w:pPr>
      <w:r>
        <w:t>10.4  STORE_COMMIT e Detecção de GOOD TRAP</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Monitor específico para o endereço tohost_pass (0x8000FF50). Quando SB0_STORE detecta addr==0x8000FF50, seta o sinal good_trap na interface de status. Um contador de drenagem de 25 ciclos é iniciado antes do $finish, permitindo capturar commits adicionais de Hart1.</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Encerra a simulação de forma determinística quando o programa sinaliza conclusão. Substitui o mecanismo padrão AXI4-AW (que não funciona no xsim por causa do stub). Também detecta BAD TRAP (addr==0x8000FF58) e encerra com veredicto de falha.</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Uma simulação sem critério de parada precisa de timeout fixo, que ou é muito curto (termina antes do GOOD TRAP) ou muito longo (desperdiça tempo de simulação). O mecanismo de store_buffer.commit_i + drain de 25 ciclos equilibra os dois requisitos: termina rápido após PASS e ainda captura evidências do Hart1 em execução.</w:t>
            </w:r>
          </w:p>
        </w:tc>
      </w:tr>
    </w:tbl>
    <w:p/>
    <w:p>
      <w:pPr>
        <w:pStyle w:val="Heading1"/>
        <w:spacing w:before="280" w:after="80"/>
      </w:pPr>
      <w:r>
        <w:t>11  Programa Baremetal: boot_rw.hex</w:t>
      </w:r>
    </w:p>
    <w:tbl>
      <w:tblPr>
        <w:tblStyle w:val="TableGrid"/>
        <w:tblW w:type="auto" w:w="0"/>
        <w:tblLook w:firstColumn="1" w:firstRow="1" w:lastColumn="0" w:lastRow="0" w:noHBand="0" w:noVBand="1" w:val="04A0"/>
      </w:tblPr>
      <w:tblGrid>
        <w:gridCol w:w="4702"/>
        <w:gridCol w:w="4702"/>
      </w:tblGrid>
      <w:tr>
        <w:tc>
          <w:tcPr>
            <w:tcW w:type="dxa" w:w="1984"/>
            <w:shd w:val="clear" w:color="auto" w:fill="1F3864"/>
          </w:tcPr>
          <w:p>
            <w:pPr>
              <w:spacing w:before="80" w:after="80"/>
              <w:jc w:val="center"/>
            </w:pPr>
            <w:r>
              <w:rPr>
                <w:b/>
                <w:color w:val="FFFFFF"/>
                <w:sz w:val="18"/>
              </w:rPr>
              <w:t>O que é</w:t>
            </w:r>
          </w:p>
        </w:tc>
        <w:tc>
          <w:tcPr>
            <w:tcW w:type="dxa" w:w="7370"/>
            <w:shd w:val="clear" w:color="auto" w:fill="EEF4FF"/>
          </w:tcPr>
          <w:p>
            <w:pPr>
              <w:spacing w:before="80" w:after="80"/>
              <w:jc w:val="both"/>
            </w:pPr>
            <w:r>
              <w:rPr>
                <w:sz w:val="19"/>
              </w:rPr>
              <w:t>Binário RISC-V baremetal gerado pelo montador Python build_rw_test.py, sem toolchain GCC. Cada instrução é codificada diretamente nos formatos R/I/S/B/U/J do ISA. Contém 1040 words de 32 bits (4160 bytes), carregado via $readmemh na SRAM.</w:t>
            </w:r>
          </w:p>
        </w:tc>
      </w:tr>
      <w:tr>
        <w:tc>
          <w:tcPr>
            <w:tcW w:type="dxa" w:w="1984"/>
            <w:shd w:val="clear" w:color="auto" w:fill="2E5E8E"/>
          </w:tcPr>
          <w:p>
            <w:pPr>
              <w:spacing w:before="80" w:after="80"/>
              <w:jc w:val="center"/>
            </w:pPr>
            <w:r>
              <w:rPr>
                <w:b/>
                <w:color w:val="FFFFFF"/>
                <w:sz w:val="18"/>
              </w:rPr>
              <w:t>Para que serve</w:t>
            </w:r>
          </w:p>
        </w:tc>
        <w:tc>
          <w:tcPr>
            <w:tcW w:type="dxa" w:w="7370"/>
            <w:shd w:val="clear" w:color="auto" w:fill="F0F5FF"/>
          </w:tcPr>
          <w:p>
            <w:pPr>
              <w:spacing w:before="80" w:after="80"/>
              <w:jc w:val="both"/>
            </w:pPr>
            <w:r>
              <w:rPr>
                <w:sz w:val="19"/>
              </w:rPr>
              <w:t>Executa o teste de escrita dual-core: identifica o hart via CSR mhartid, carrega operandos por ADDI, computa 5 operações aritméticas (ADD/SUB/MUL/AND/OR), grava via SW em regiões exclusivas da SRAM, verifica os resultados e sinaliza PASS (escrita em 0x8000FF50) ou FAIL (escrita em 0x8000FF58).</w:t>
            </w:r>
          </w:p>
        </w:tc>
      </w:tr>
      <w:tr>
        <w:tc>
          <w:tcPr>
            <w:tcW w:type="dxa" w:w="1984"/>
            <w:shd w:val="clear" w:color="auto" w:fill="1A4A2E"/>
          </w:tcPr>
          <w:p>
            <w:pPr>
              <w:spacing w:before="80" w:after="80"/>
              <w:jc w:val="center"/>
            </w:pPr>
            <w:r>
              <w:rPr>
                <w:b/>
                <w:color w:val="FFFFFF"/>
                <w:sz w:val="18"/>
              </w:rPr>
              <w:t>Qual problema resolve</w:t>
            </w:r>
          </w:p>
        </w:tc>
        <w:tc>
          <w:tcPr>
            <w:tcW w:type="dxa" w:w="7370"/>
            <w:shd w:val="clear" w:color="auto" w:fill="EDFAF1"/>
          </w:tcPr>
          <w:p>
            <w:pPr>
              <w:spacing w:before="80" w:after="80"/>
              <w:jc w:val="both"/>
            </w:pPr>
            <w:r>
              <w:rPr>
                <w:sz w:val="19"/>
              </w:rPr>
              <w:t>Compiladores GCC/LLVM para RISC-V requerem toolchain completa (300+ MB), linker scripts, bibliotecas de startup e são difíceis de auditar para testes simples. O montador Python produz exatamente as instruções desejadas em 250 linhas de código auditável, facilita ajuste de imediatos e endereços, e pode ser integrado a qualquer pipeline CI sem dependências externas.</w:t>
            </w:r>
          </w:p>
        </w:tc>
      </w:tr>
    </w:tbl>
    <w:p/>
    <w:tbl>
      <w:tblPr>
        <w:tblStyle w:val="TableGrid"/>
        <w:tblW w:type="auto" w:w="0"/>
        <w:tblLook w:firstColumn="1" w:firstRow="1" w:lastColumn="0" w:lastRow="0" w:noHBand="0" w:noVBand="1" w:val="04A0"/>
      </w:tblPr>
      <w:tblGrid>
        <w:gridCol w:w="9405"/>
      </w:tblGrid>
      <w:tr>
        <w:tc>
          <w:tcPr>
            <w:tcW w:type="dxa" w:w="9405"/>
            <w:shd w:val="clear" w:color="auto" w:fill="7B241C"/>
          </w:tcPr>
          <w:p>
            <w:pPr>
              <w:spacing w:before="100" w:after="100"/>
              <w:jc w:val="center"/>
            </w:pPr>
            <w:r>
              <w:rPr>
                <w:b/>
                <w:color w:val="FFFFFF"/>
                <w:sz w:val="22"/>
              </w:rPr>
              <w:t>PARTE III — LIMITAÇÕES CONHECIDAS E PRÓXIMOS PASSOS</w:t>
            </w:r>
          </w:p>
        </w:tc>
      </w:tr>
    </w:tbl>
    <w:p/>
    <w:p>
      <w:pPr>
        <w:pStyle w:val="Heading1"/>
        <w:spacing w:before="280" w:after="80"/>
      </w:pPr>
      <w:r>
        <w:t>12  Limitações do Simulador xsim 2025.1</w:t>
      </w:r>
    </w:p>
    <w:p>
      <w:pPr>
        <w:spacing w:before="0" w:after="120"/>
        <w:ind w:firstLine="709"/>
        <w:jc w:val="both"/>
      </w:pPr>
      <w:r>
        <w:rPr>
          <w:sz w:val="22"/>
        </w:rPr>
        <w:t>Duas limitações do kernel do xsim 2025.1 afetam diretamente a simulação deste projeto. Ambas têm origem no mesmo bug de avaliação de always_comb com arrays de structs packed de 131 bits, mas se manifestam em módulos diferentes.</w:t>
      </w:r>
    </w:p>
    <w:tbl>
      <w:tblPr>
        <w:tblStyle w:val="TableGrid"/>
        <w:tblW w:type="auto" w:w="0"/>
        <w:tblLook w:firstColumn="1" w:firstRow="1" w:lastColumn="0" w:lastRow="0" w:noHBand="0" w:noVBand="1" w:val="04A0"/>
      </w:tblPr>
      <w:tblGrid>
        <w:gridCol w:w="3135"/>
        <w:gridCol w:w="3135"/>
        <w:gridCol w:w="3135"/>
      </w:tblGrid>
      <w:tr>
        <w:tc>
          <w:tcPr>
            <w:tcW w:type="dxa" w:w="3118"/>
            <w:shd w:val="clear" w:color="auto" w:fill="7B241C"/>
          </w:tcPr>
          <w:p>
            <w:pPr>
              <w:spacing w:before="0" w:after="0"/>
              <w:jc w:val="center"/>
            </w:pPr>
            <w:r>
              <w:rPr>
                <w:b/>
                <w:color w:val="FFFFFF"/>
                <w:sz w:val="18"/>
              </w:rPr>
              <w:t>Limitação</w:t>
            </w:r>
          </w:p>
        </w:tc>
        <w:tc>
          <w:tcPr>
            <w:tcW w:type="dxa" w:w="2551"/>
            <w:shd w:val="clear" w:color="auto" w:fill="7B241C"/>
          </w:tcPr>
          <w:p>
            <w:pPr>
              <w:spacing w:before="0" w:after="0"/>
              <w:jc w:val="center"/>
            </w:pPr>
            <w:r>
              <w:rPr>
                <w:b/>
                <w:color w:val="FFFFFF"/>
                <w:sz w:val="18"/>
              </w:rPr>
              <w:t>Módulo afetado</w:t>
            </w:r>
          </w:p>
        </w:tc>
        <w:tc>
          <w:tcPr>
            <w:tcW w:type="dxa" w:w="3685"/>
            <w:shd w:val="clear" w:color="auto" w:fill="7B241C"/>
          </w:tcPr>
          <w:p>
            <w:pPr>
              <w:spacing w:before="0" w:after="0"/>
              <w:jc w:val="center"/>
            </w:pPr>
            <w:r>
              <w:rPr>
                <w:b/>
                <w:color w:val="FFFFFF"/>
                <w:sz w:val="18"/>
              </w:rPr>
              <w:t>Workaround adotado</w:t>
            </w:r>
          </w:p>
        </w:tc>
      </w:tr>
      <w:tr>
        <w:tc>
          <w:tcPr>
            <w:tcW w:type="dxa" w:w="3118"/>
            <w:shd w:val="clear" w:color="auto" w:fill="FEF9E7"/>
          </w:tcPr>
          <w:p>
            <w:pPr>
              <w:spacing w:before="60" w:after="60"/>
              <w:jc w:val="left"/>
            </w:pPr>
            <w:r>
              <w:rPr>
                <w:sz w:val="18"/>
              </w:rPr>
              <w:t>Writes não chegam ao AXI4</w:t>
              <w:br/>
              <w:t>(data_req forçado a 0)</w:t>
            </w:r>
          </w:p>
        </w:tc>
        <w:tc>
          <w:tcPr>
            <w:tcW w:type="dxa" w:w="2551"/>
            <w:shd w:val="clear" w:color="auto" w:fill="FEF9E7"/>
          </w:tcPr>
          <w:p>
            <w:pPr>
              <w:spacing w:before="60" w:after="60"/>
              <w:jc w:val="left"/>
            </w:pPr>
            <w:r>
              <w:rPr>
                <w:sz w:val="18"/>
              </w:rPr>
              <w:t>store_buffer.sv</w:t>
              <w:br/>
              <w:t>('ifndef XSIM stub)</w:t>
            </w:r>
          </w:p>
        </w:tc>
        <w:tc>
          <w:tcPr>
            <w:tcW w:type="dxa" w:w="3685"/>
            <w:shd w:val="clear" w:color="auto" w:fill="EDFAF1"/>
          </w:tcPr>
          <w:p>
            <w:pPr>
              <w:spacing w:before="60" w:after="60"/>
              <w:jc w:val="left"/>
            </w:pPr>
            <w:r>
              <w:rPr>
                <w:sz w:val="18"/>
              </w:rPr>
              <w:t>Monitor commit_i + speculative_queue_q observado diretamente no RTL</w:t>
            </w:r>
          </w:p>
        </w:tc>
      </w:tr>
      <w:tr>
        <w:tc>
          <w:tcPr>
            <w:tcW w:type="dxa" w:w="3118"/>
            <w:shd w:val="clear" w:color="auto" w:fill="FEF9E7"/>
          </w:tcPr>
          <w:p>
            <w:pPr>
              <w:spacing w:before="60" w:after="60"/>
              <w:jc w:val="left"/>
            </w:pPr>
            <w:r>
              <w:rPr>
                <w:sz w:val="18"/>
              </w:rPr>
              <w:t>LW/LD causam FATAL_ERROR</w:t>
              <w:br/>
              <w:t>(D-cache crash em load_unit.sv)</w:t>
            </w:r>
          </w:p>
        </w:tc>
        <w:tc>
          <w:tcPr>
            <w:tcW w:type="dxa" w:w="2551"/>
            <w:shd w:val="clear" w:color="auto" w:fill="FEF9E7"/>
          </w:tcPr>
          <w:p>
            <w:pPr>
              <w:spacing w:before="60" w:after="60"/>
              <w:jc w:val="left"/>
            </w:pPr>
            <w:r>
              <w:rPr>
                <w:sz w:val="18"/>
              </w:rPr>
              <w:t>wt_dcache_ctrl.sv:95</w:t>
              <w:br/>
              <w:t>NetRegassign345_31703</w:t>
            </w:r>
          </w:p>
        </w:tc>
        <w:tc>
          <w:tcPr>
            <w:tcW w:type="dxa" w:w="3685"/>
            <w:shd w:val="clear" w:color="auto" w:fill="EDFAF1"/>
          </w:tcPr>
          <w:p>
            <w:pPr>
              <w:spacing w:before="60" w:after="60"/>
              <w:jc w:val="left"/>
            </w:pPr>
            <w:r>
              <w:rPr>
                <w:sz w:val="18"/>
              </w:rPr>
              <w:t>Operandos carregados por ADDI (imediato); sem instruções de carga</w:t>
            </w:r>
          </w:p>
        </w:tc>
      </w:tr>
    </w:tbl>
    <w:p/>
    <w:p>
      <w:pPr>
        <w:pStyle w:val="Heading1"/>
        <w:spacing w:before="280" w:after="80"/>
      </w:pPr>
      <w:r>
        <w:t>13  Próximos Passos</w:t>
      </w:r>
    </w:p>
    <w:p>
      <w:pPr>
        <w:spacing w:before="0" w:after="120"/>
        <w:ind w:firstLine="709"/>
        <w:jc w:val="both"/>
      </w:pPr>
      <w:r>
        <w:rPr>
          <w:sz w:val="22"/>
        </w:rPr>
        <w:t>Os próximos desenvolvimentos naturais para este projeto são: (1) Migração para Vivado 2024 ou implementação FPGA, onde as limitações do xsim desaparecem e o caminho completo de D-cache pode ser exercitado; (2) Adição de instruções LW para leitura dos resultados gravados na SRAM e verificação cross-hart (Hart0 lê o que Hart1 escreveu); (3) Testes de sincronização inter-core usando instruções atômicas (A-ext: LR/SC, AMOSWAP), exercitando o protocolo MESI do L1.5; (4) Cobertura funcional UVM formal para garantir que todos os caminhos da hierarquia de cache sejam exercitados.</w:t>
      </w:r>
    </w:p>
    <w:p>
      <w:pPr>
        <w:pStyle w:val="Heading1"/>
        <w:spacing w:before="280" w:after="80"/>
      </w:pPr>
      <w:r>
        <w:t>14  Conclusão</w:t>
      </w:r>
    </w:p>
    <w:p>
      <w:pPr>
        <w:spacing w:before="0" w:after="120"/>
        <w:ind w:firstLine="709"/>
        <w:jc w:val="both"/>
      </w:pPr>
      <w:r>
        <w:rPr>
          <w:sz w:val="22"/>
        </w:rPr>
        <w:t>Este projeto demonstra uma plataforma completa e auditável de verificação de SoC multi-core: do ISA RISC-V ao RTL do processador, da hierarquia de cache à rede de interconexão, do binário baremetal ao ambiente UVM. Cada componente foi escolhido por ser de código aberto, rastreável e educacionalmente rico.</w:t>
      </w:r>
    </w:p>
    <w:p>
      <w:pPr>
        <w:spacing w:before="0" w:after="120"/>
        <w:ind w:firstLine="709"/>
        <w:jc w:val="both"/>
      </w:pPr>
      <w:r>
        <w:rPr>
          <w:sz w:val="22"/>
        </w:rPr>
        <w:t>O teste de escrita dual-core validou com sucesso o caminho SW → store_buffer.commit_i em ambos os núcleos CVA6, com resultados aritméticos corretos (incluindo MUL da extensão M) e detecção de GOOD TRAP no ciclo 397. As limitações do xsim foram documentadas e contornadas de forma não-intrusiva — os workarounds não modificam o RTL sintetizável e serão transparentemente removidos quando a simulação migrar para FPGA ou para versão corrigida do simulador.</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