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VRID Utilization Deep Dive</w:t>
      </w:r>
    </w:p>
    <w:p>
      <w:r>
        <w:rPr>
          <w:color w:val="666666"/>
          <w:sz w:val="28"/>
          <w:szCs w:val="28"/>
        </w:rPr>
        <w:t xml:space="preserve">Site-Level Analysis &amp; Framework</w:t>
      </w:r>
    </w:p>
    <w:p>
      <w:r>
        <w:rPr>
          <w:color w:val="666666"/>
          <w:sz w:val="22"/>
          <w:szCs w:val="22"/>
        </w:rPr>
        <w:t xml:space="preserve">Data Period: Weeks 17-19, 2026 | Platforms: Flintstones (FMC) &amp; CASA_UI</w:t>
      </w:r>
    </w:p>
    <w:p/>
    <w:p>
      <w:pPr>
        <w:pStyle w:val="Heading1"/>
      </w:pPr>
      <w:r>
        <w:t xml:space="preserve">1. Scope &amp; Methodology</w:t>
      </w:r>
    </w:p>
    <w:p>
      <w:r>
        <w:rPr>
          <w:sz w:val="22"/>
          <w:szCs w:val="22"/>
        </w:rPr>
        <w:t xml:space="preserve">This analysis considers only loads created through </w:t>
      </w:r>
      <w:r>
        <w:rPr>
          <w:b/>
          <w:bCs/>
          <w:sz w:val="22"/>
          <w:szCs w:val="22"/>
        </w:rPr>
        <w:t xml:space="preserve">Flintstones (FMC)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CASA_UI</w:t>
      </w:r>
      <w:r>
        <w:rPr>
          <w:sz w:val="22"/>
          <w:szCs w:val="22"/>
        </w:rPr>
        <w:t xml:space="preserve"> platforms. Only active loads (is_active = 1) with valid fill and target cube data are included.</w:t>
      </w:r>
    </w:p>
    <w:p/>
    <w:p>
      <w:r>
        <w:rPr>
          <w:b/>
          <w:bCs/>
          <w:sz w:val="22"/>
          <w:szCs w:val="22"/>
        </w:rPr>
        <w:t xml:space="preserve">Utilization Formula: </w:t>
      </w:r>
      <w:r>
        <w:rPr>
          <w:i/>
          <w:iCs/>
          <w:sz w:val="22"/>
          <w:szCs w:val="22"/>
        </w:rPr>
        <w:t xml:space="preserve">fill_cube_num / target_cube_den × 100</w:t>
      </w:r>
    </w:p>
    <w:p>
      <w:r>
        <w:rPr>
          <w:b/>
          <w:bCs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60% utilization</w:t>
      </w:r>
    </w:p>
    <w:p>
      <w:r>
        <w:rPr>
          <w:b/>
          <w:bCs/>
          <w:sz w:val="22"/>
          <w:szCs w:val="22"/>
        </w:rPr>
        <w:t xml:space="preserve">Focus: </w:t>
      </w:r>
      <w:r>
        <w:rPr>
          <w:sz w:val="22"/>
          <w:szCs w:val="22"/>
        </w:rPr>
        <w:t xml:space="preserve">Sites below 60% utilization with 20+ active loads (high-volume, actionable sites)</w:t>
      </w:r>
    </w:p>
    <w:p/>
    <w:p>
      <w:pPr>
        <w:pStyle w:val="Heading1"/>
      </w:pPr>
      <w:r>
        <w:t xml:space="preserve">2. Executive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Utilization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51.4%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Below Target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Active Loads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25,492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17-19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Flintstones (FMC) Utilization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600"/>
                <w:sz w:val="18"/>
                <w:szCs w:val="18"/>
              </w:rPr>
              <w:t xml:space="preserve">60.5% (17,882 loads)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 Target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CASA_UI Utilization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29.8% (7,610 loads)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 - 30pp below target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Sites Below 60% (20+ loads)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233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Requires intervention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/>
    <w:p>
      <w:r>
        <w:rPr>
          <w:b/>
          <w:bCs/>
          <w:sz w:val="22"/>
          <w:szCs w:val="22"/>
        </w:rPr>
        <w:t xml:space="preserve">Key Finding: </w:t>
      </w:r>
      <w:r>
        <w:rPr>
          <w:sz w:val="22"/>
          <w:szCs w:val="22"/>
        </w:rPr>
        <w:t xml:space="preserve">CASA-created loads are the primary drag on utilization, running at 29.8% vs FMC at 60.5%. Across every adhoc bucket, CASA underperforms FMC by 20-33 percentage points. This indicates a systemic platform/process issue — loads are being created before sufficient volume accumulates at the origin site.</w:t>
      </w:r>
    </w:p>
    <w:p/>
    <w:p>
      <w:pPr>
        <w:pStyle w:val="Heading1"/>
      </w:pPr>
      <w:r>
        <w:t xml:space="preserve">3. Weekly Utilization Trend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Utilization 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Active Loads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11,037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12,885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▼ -0.6pp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1,570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Observation: </w:t>
      </w:r>
      <w:r>
        <w:rPr>
          <w:sz w:val="22"/>
          <w:szCs w:val="22"/>
        </w:rPr>
        <w:t xml:space="preserve">Utilization is flat at ~51% with no organic improvement week-over-week. Without structured intervention, this metric will not self-correct.</w:t>
      </w:r>
    </w:p>
    <w:p/>
    <w:p>
      <w:pPr>
        <w:pStyle w:val="Heading1"/>
      </w:pPr>
      <w:r>
        <w:t xml:space="preserve">4. Utilization by Adhoc Bucket</w:t>
      </w:r>
    </w:p>
    <w:p>
      <w:r>
        <w:rPr>
          <w:sz w:val="22"/>
          <w:szCs w:val="22"/>
        </w:rPr>
        <w:t xml:space="preserve">Breakdown of utilization by load creation reason — identifies which categories are dragging performance.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Adhoc Bucket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Utilization 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 Count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18.8%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2,421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Scheduling/Planning (Last CPT VA &gt; TC)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1,187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GTWY Underutilized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31.4%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Rolled Freight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34.2%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Enough Volume By TRT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35.6%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1,342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Future Volume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Lane CPT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39.9%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UB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 Underutilized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Inbound Volume Not Available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1,508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Weather/LSE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Yard Dwell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Forecast UB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1,683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 Cancel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Delayed Loading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Disruption Management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3,123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10,109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/>
    <w:p>
      <w:pPr>
        <w:pStyle w:val="Heading1"/>
      </w:pPr>
      <w:r>
        <w:t xml:space="preserve">5. Site-Level Utilization — Priority Sites</w:t>
      </w:r>
    </w:p>
    <w:p>
      <w:r>
        <w:rPr>
          <w:sz w:val="22"/>
          <w:szCs w:val="22"/>
        </w:rPr>
        <w:t xml:space="preserve">All sites below 60% utilization with 20+ active loads, sorted by volume. These are the actionable sites where intervention will have measurable impact.</w:t>
      </w:r>
    </w:p>
    <w:p/>
    <w:p>
      <w:pPr>
        <w:pStyle w:val="Heading2"/>
      </w:pPr>
      <w:r>
        <w:t xml:space="preserve">5.1 Tier 1 — Severely Underutilized (Below 40%)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Util%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Loads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Wk17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Wk18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Wk19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CASA Util%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FMC Util%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 Issue Bucket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SYR1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38.7%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20.3%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(18%)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BTR1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36.5%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13.4%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SCK6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32.1%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16.8%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(14%)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LGB3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29.0%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16.5%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(11%)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ORF3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39.9%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14.6%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(20%)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BDL3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32.8%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(37%)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DCA1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17.5%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Disruption Management (38%)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LGA9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20.6%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(25%)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MTN1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34.5%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18.8%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(17%)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BDL4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37.2%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18.5%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(21%)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AUS2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32.9%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(14%)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SHV1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14.6%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(14%)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IGQ1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28.7%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18.5%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(14%)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SBD6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22.5%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(12%)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BDL2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29.1%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15.2%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(35%)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BFI4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27.4%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13.5%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(16%)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BFL1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34.5%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23.2%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(62%)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DET6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(67%)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BWI2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37.3%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(49%)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EWR9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29.4%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17.4%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(33%)</w:t>
            </w:r>
          </w:p>
        </w:tc>
      </w:tr>
    </w:tbl>
    <w:p/>
    <w:p>
      <w:pPr>
        <w:pStyle w:val="Heading2"/>
      </w:pPr>
      <w:r>
        <w:t xml:space="preserve">5.2 Tier 2 — Moderate Gap (40-60%)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Util%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Loads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Wk17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Wk18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Wk19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CASA Util%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FMC Util%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 Issue Bucket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LDJ5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54.7%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43.3%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TPA4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45.9%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21.0%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(50%)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SAN3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40.2%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19.0%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(51%)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MQY1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41.2%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18.6%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(50%)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CLT4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46.8%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22.4%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(49%)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MTN6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54.2%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41.6%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Inbound Volume Not Available (45%)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DAB2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41.5%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22.4%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 Underutilized (25%)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BNA7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49.3%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44.0%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Inbound Volume Not Available (32%)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MCO1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58.3%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17.5%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(79%)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MGE5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51.8%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41.1%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(60%)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RDU1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42.3%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16.1%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(66%)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JAX2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19.5%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(66%)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ZEWR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57.7%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35.6%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(72%)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BOS3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56.2%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23.7%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(87%)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SMF1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47.0%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14.9%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(60%)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MQJ5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58.3%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53.6%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 Cancel (57%)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JFK8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17.6%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(88%)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EWR4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48.7%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21.0%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(65%)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GEG5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21.6%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(66%)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MIA1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6600"/>
                <w:sz w:val="18"/>
                <w:szCs w:val="18"/>
              </w:rPr>
              <w:t xml:space="preserve">57.3%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18"/>
                <w:szCs w:val="18"/>
              </w:rPr>
              <w:t xml:space="preserve">21.1%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Adhoc (77%)</w:t>
            </w:r>
          </w:p>
        </w:tc>
      </w:tr>
    </w:tbl>
    <w:p/>
    <w:p>
      <w:pPr>
        <w:pStyle w:val="Heading1"/>
      </w:pPr>
      <w:r>
        <w:t xml:space="preserve">6. Root Cause Classification Framework</w:t>
      </w:r>
    </w:p>
    <w:p>
      <w:r>
        <w:rPr>
          <w:sz w:val="22"/>
          <w:szCs w:val="22"/>
        </w:rPr>
        <w:t xml:space="preserve">Each underutilized site is classified into one or more root cause categories based on data patterns: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Indicator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Impact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Premature Load Creation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+ FC Underutilized + fill &lt; 20%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~35% of gap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 fill threshold before dispatch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Insufficient Volume at Origin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Enough Volume By TRT + low pkg count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~20% of gap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Delay creation until volume exists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Scheduling/Timing Mismatch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Scheduling/Planning bucket + negative hourstocpt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~15% of gap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 creation window / adjust CPT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Target Overcalibration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target_cube vs actual available freight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~15% of gap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Recalibrate target cube per lane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Disruption Spillover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DM bucket + low fill (expected)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~10% of gap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separately — not fully controllable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Manual Override Issues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+ specific creator patterns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~5% of gap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/ creation guardrails</w:t>
            </w:r>
          </w:p>
        </w:tc>
      </w:tr>
    </w:tbl>
    <w:p/>
    <w:p>
      <w:pPr>
        <w:pStyle w:val="Heading1"/>
      </w:pPr>
      <w:r>
        <w:t xml:space="preserve">7. Execution Framework — Ongoing Mechanism</w:t>
      </w:r>
    </w:p>
    <w:p/>
    <w:p>
      <w:pPr>
        <w:pStyle w:val="Heading2"/>
      </w:pPr>
      <w:r>
        <w:t xml:space="preserve">Step 1: Weekly Site Identification (5 min)</w:t>
      </w:r>
    </w:p>
    <w:p>
      <w:r>
        <w:rPr>
          <w:sz w:val="22"/>
          <w:szCs w:val="22"/>
        </w:rPr>
        <w:t xml:space="preserve">• Pull site utilization for all sites with 10+ active loads</w:t>
      </w:r>
    </w:p>
    <w:p>
      <w:r>
        <w:rPr>
          <w:sz w:val="22"/>
          <w:szCs w:val="22"/>
        </w:rPr>
        <w:t xml:space="preserve">• Flag sites below 60% utilization</w:t>
      </w:r>
    </w:p>
    <w:p>
      <w:r>
        <w:rPr>
          <w:sz w:val="22"/>
          <w:szCs w:val="22"/>
        </w:rPr>
        <w:t xml:space="preserve">• Identify sites trending downward (Wk-over-Wk decline &gt; 5pp)</w:t>
      </w:r>
    </w:p>
    <w:p/>
    <w:p>
      <w:pPr>
        <w:pStyle w:val="Heading2"/>
      </w:pPr>
      <w:r>
        <w:t xml:space="preserve">Step 2: Site-Level Deep Dive (15 min per site)</w:t>
      </w:r>
    </w:p>
    <w:p>
      <w:r>
        <w:rPr>
          <w:sz w:val="22"/>
          <w:szCs w:val="22"/>
        </w:rPr>
        <w:t xml:space="preserve">• For each flagged site, analyze platform split (CASA vs FMC)</w:t>
      </w:r>
    </w:p>
    <w:p>
      <w:r>
        <w:rPr>
          <w:sz w:val="22"/>
          <w:szCs w:val="22"/>
        </w:rPr>
        <w:t xml:space="preserve">• Identify dominant adhoc bucket driving low utilization</w:t>
      </w:r>
    </w:p>
    <w:p>
      <w:r>
        <w:rPr>
          <w:sz w:val="22"/>
          <w:szCs w:val="22"/>
        </w:rPr>
        <w:t xml:space="preserve">• Check if issue is CASA-driven (premature creation) or FMC-driven (system logic)</w:t>
      </w:r>
    </w:p>
    <w:p>
      <w:r>
        <w:rPr>
          <w:sz w:val="22"/>
          <w:szCs w:val="22"/>
        </w:rPr>
        <w:t xml:space="preserve">• Classify root cause using framework above</w:t>
      </w:r>
    </w:p>
    <w:p/>
    <w:p>
      <w:pPr>
        <w:pStyle w:val="Heading2"/>
      </w:pPr>
      <w:r>
        <w:t xml:space="preserve">Step 3: Site Outreach &amp; Follow-Up</w:t>
      </w:r>
    </w:p>
    <w:p>
      <w:r>
        <w:rPr>
          <w:sz w:val="22"/>
          <w:szCs w:val="22"/>
        </w:rPr>
        <w:t xml:space="preserve">• Share site-specific findings with POC (platform split, bucket breakdown, trend)</w:t>
      </w:r>
    </w:p>
    <w:p>
      <w:r>
        <w:rPr>
          <w:sz w:val="22"/>
          <w:szCs w:val="22"/>
        </w:rPr>
        <w:t xml:space="preserve">• Request observations: What is causing low fill at their site?</w:t>
      </w:r>
    </w:p>
    <w:p>
      <w:r>
        <w:rPr>
          <w:sz w:val="22"/>
          <w:szCs w:val="22"/>
        </w:rPr>
        <w:t xml:space="preserve">• Set up bi-weekly 15-min sync with top priority sites</w:t>
      </w:r>
    </w:p>
    <w:p>
      <w:r>
        <w:rPr>
          <w:sz w:val="22"/>
          <w:szCs w:val="22"/>
        </w:rPr>
        <w:t xml:space="preserve">• POCs to suggest process/timing changes that could improve fill rates</w:t>
      </w:r>
    </w:p>
    <w:p/>
    <w:p>
      <w:pPr>
        <w:pStyle w:val="Heading2"/>
      </w:pPr>
      <w:r>
        <w:t xml:space="preserve">Step 4: Track &amp; Report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 POCs submit observations + blockers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 POC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Bi-weekly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Consolidate findings, update tracker, flag trends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 Owner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Leadership update with trend data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 Owner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refresh — re-score all sites, recalibrate targets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 Owner + POCs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</w:tbl>
    <w:p/>
    <w:p>
      <w:pPr>
        <w:pStyle w:val="Heading1"/>
      </w:pPr>
      <w:r>
        <w:t xml:space="preserve">8. Targets &amp; Milestones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(Wk17-19)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4-Week Target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12-Week Target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Utilization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51.4%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Utilization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29.8%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FMC Utilization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600"/>
                <w:sz w:val="18"/>
                <w:szCs w:val="18"/>
              </w:rPr>
              <w:t xml:space="preserve">60.5%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Sites Below 60%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151</w:t>
            </w:r>
          </w:p>
        </w:tc>
      </w:tr>
    </w:tbl>
    <w:p/>
    <w:p>
      <w:pPr>
        <w:pStyle w:val="Heading1"/>
      </w:pPr>
      <w:r>
        <w:t xml:space="preserve">9. Timeline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color="23294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complete, sites prioritized, framework documented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document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Outreach to Tier 1 sites (top 10 by severity)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POC responses collected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Site-level deep dive for top 5 sites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cause classification per site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leadership update with trend data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report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5-8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Monitor, iterate, expand to Tier 2 sites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Trend improvement evidence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9-12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Mechanism stabilized, playbook documented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Reusable framework for other metrics</w:t>
            </w:r>
          </w:p>
        </w:tc>
      </w:tr>
    </w:tbl>
    <w:p/>
    <w:p>
      <w:pPr>
        <w:pStyle w:val="Heading1"/>
      </w:pPr>
      <w:r>
        <w:t xml:space="preserve">10. Key Recommendations</w:t>
      </w:r>
    </w:p>
    <w:p/>
    <w:p>
      <w:r>
        <w:rPr>
          <w:b/>
          <w:bCs/>
          <w:sz w:val="22"/>
          <w:szCs w:val="22"/>
        </w:rPr>
        <w:t xml:space="preserve">1. Address CASA Load Creation Logic (Primary Lever)</w:t>
      </w:r>
    </w:p>
    <w:p>
      <w:r>
        <w:rPr>
          <w:sz w:val="22"/>
          <w:szCs w:val="22"/>
        </w:rPr>
        <w:t xml:space="preserve">   CASA loads run at 29.8% — half the rate of FMC. Implementing a minimum fill threshold before CASA allows load dispatch could move overall utilization from 51.4% toward 57-60% without site-level intervention.</w:t>
      </w:r>
    </w:p>
    <w:p/>
    <w:p>
      <w:r>
        <w:rPr>
          <w:b/>
          <w:bCs/>
          <w:sz w:val="22"/>
          <w:szCs w:val="22"/>
        </w:rPr>
        <w:t xml:space="preserve">2. Prioritize "FC Underutilized" Bucket</w:t>
      </w:r>
    </w:p>
    <w:p>
      <w:r>
        <w:rPr>
          <w:sz w:val="22"/>
          <w:szCs w:val="22"/>
        </w:rPr>
        <w:t xml:space="preserve">   This bucket runs at 18.8% utilization across 2,421 loads. Loads are being created with almost no freight available. This is the single biggest opportunity.</w:t>
      </w:r>
    </w:p>
    <w:p/>
    <w:p>
      <w:r>
        <w:rPr>
          <w:b/>
          <w:bCs/>
          <w:sz w:val="22"/>
          <w:szCs w:val="22"/>
        </w:rPr>
        <w:t xml:space="preserve">3. Site-Specific Engagement for Tier 1 Sites</w:t>
      </w:r>
    </w:p>
    <w:p>
      <w:r>
        <w:rPr>
          <w:sz w:val="22"/>
          <w:szCs w:val="22"/>
        </w:rPr>
        <w:t xml:space="preserve">   The top 10 underutilized high-volume sites need direct POC engagement to understand local factors (volume patterns, timing, process gaps).</w:t>
      </w:r>
    </w:p>
    <w:p/>
    <w:p>
      <w:r>
        <w:rPr>
          <w:b/>
          <w:bCs/>
          <w:sz w:val="22"/>
          <w:szCs w:val="22"/>
        </w:rPr>
        <w:t xml:space="preserve">4. Build Repeatable Mechanism</w:t>
      </w:r>
    </w:p>
    <w:p>
      <w:r>
        <w:rPr>
          <w:sz w:val="22"/>
          <w:szCs w:val="22"/>
        </w:rPr>
        <w:t xml:space="preserve">   This is not a one-time analysis. The weekly/bi-weekly/monthly cadence ensures sustained improvement and provides leadership with ongoing visibility.</w:t>
      </w:r>
    </w:p>
    <w:p/>
    <w:p>
      <w:r>
        <w:rPr>
          <w:color w:val="CCCCCC"/>
        </w:rPr>
        <w:t xml:space="preserve">_______________________________________________</w:t>
      </w:r>
    </w:p>
    <w:p>
      <w:r>
        <w:rPr>
          <w:color w:val="999999"/>
          <w:sz w:val="18"/>
          <w:szCs w:val="18"/>
        </w:rPr>
        <w:t xml:space="preserve">Document prepared: May 2026 | Data: Weeks 17-19, 2026</w:t>
      </w:r>
    </w:p>
    <w:p>
      <w:r>
        <w:rPr>
          <w:color w:val="999999"/>
          <w:sz w:val="18"/>
          <w:szCs w:val="18"/>
        </w:rPr>
        <w:t xml:space="preserve">Platforms in scope: Flintstones (FMC) &amp; CASA_UI only</w:t>
      </w:r>
    </w:p>
    <w:p>
      <w:r>
        <w:rPr>
          <w:color w:val="999999"/>
          <w:sz w:val="18"/>
          <w:szCs w:val="18"/>
        </w:rPr>
        <w:t xml:space="preserve">Active loads only (is_active = 1) with valid fill_cube_num and target_cube_den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2026-05-09T01:09:47.865Z</dcterms:created>
  <dcterms:modified xsi:type="dcterms:W3CDTF">2026-05-09T01:09:47.866Z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