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80" w:after="80"/>
        <w:jc w:val="center"/>
      </w:pPr>
      <w:r>
        <w:rPr>
          <w:rFonts w:ascii="Arial" w:cs="Arial" w:eastAsia="Arial" w:hAnsi="Arial"/>
          <w:b/>
          <w:bCs/>
          <w:color w:val="111111"/>
          <w:sz w:val="64"/>
          <w:szCs w:val="64"/>
        </w:rPr>
        <w:t xml:space="preserve">NOIZY</w:t>
      </w:r>
    </w:p>
    <w:p>
      <w:pPr>
        <w:spacing w:before="0" w:after="80"/>
        <w:jc w:val="center"/>
      </w:pPr>
      <w:r>
        <w:rPr>
          <w:rFonts w:ascii="Arial" w:cs="Arial" w:eastAsia="Arial" w:hAnsi="Arial"/>
          <w:b/>
          <w:bCs/>
          <w:color w:val="C89B2A"/>
          <w:sz w:val="34"/>
          <w:szCs w:val="34"/>
        </w:rPr>
        <w:t xml:space="preserve">Global Adoption Playbook</w:t>
      </w:r>
    </w:p>
    <w:p>
      <w:pPr>
        <w:spacing w:before="0" w:after="80"/>
        <w:jc w:val="center"/>
      </w:pPr>
      <w:r>
        <w:rPr>
          <w:rFonts w:ascii="Arial" w:cs="Arial" w:eastAsia="Arial" w:hAnsi="Arial"/>
          <w:i/>
          <w:iCs/>
          <w:color w:val="4A6080"/>
          <w:sz w:val="22"/>
          <w:szCs w:val="22"/>
        </w:rPr>
        <w:t xml:space="preserve">How the NOIZY consent standard spreads from Canada to the world</w:t>
      </w:r>
    </w:p>
    <w:p>
      <w:pPr>
        <w:spacing w:before="80" w:after="1080"/>
        <w:jc w:val="center"/>
      </w:pPr>
      <w:r>
        <w:rPr>
          <w:rFonts w:ascii="Arial" w:cs="Arial" w:eastAsia="Arial" w:hAnsi="Arial"/>
          <w:color w:val="4A6080"/>
          <w:sz w:val="18"/>
          <w:szCs w:val="18"/>
        </w:rPr>
        <w:t xml:space="preserve">Fish Music Inc. · NOIZYFISH INC. · Ottawa, Canada · RSP_001 · March 2026</w:t>
      </w:r>
    </w:p>
    <w:p>
      <w:pPr>
        <w:pBdr>
          <w:bottom w:color="E0E0E0" w:sz="4"/>
        </w:pBdr>
        <w:spacing w:before="160" w:after="160"/>
      </w:pPr>
    </w:p>
    <w:p>
      <w:pPr>
        <w:pStyle w:val="Heading1"/>
      </w:pPr>
      <w:r>
        <w:rPr>
          <w:rFonts w:ascii="Arial" w:cs="Arial" w:eastAsia="Arial" w:hAnsi="Arial"/>
          <w:b/>
          <w:bCs/>
          <w:color w:val="111111"/>
          <w:sz w:val="36"/>
          <w:szCs w:val="36"/>
        </w:rPr>
        <w:t xml:space="preserve">The Adoption Thesis</w:t>
      </w:r>
    </w:p>
    <w:p>
      <w:pPr>
        <w:spacing w:before="60" w:after="80"/>
      </w:pPr>
      <w:r>
        <w:rPr>
          <w:rFonts w:ascii="Arial" w:cs="Arial" w:eastAsia="Arial" w:hAnsi="Arial"/>
          <w:color w:val="333333"/>
          <w:sz w:val="22"/>
          <w:szCs w:val="22"/>
        </w:rPr>
        <w:t xml:space="preserve">The NOIZY consent standard spreads the same way HTTP spread: not because anyone forced adoption, but because it solved a problem that could not be solved any other way. Every AI company building with audio or voice needs consent infrastructure. Every regulator needs a standard to point to. Every studio needs a compliance trail. NOIZY builds it once, in Canada, correctly — then licenses the standard outward.</w:t>
      </w:r>
    </w:p>
    <w:p>
      <w:pPr>
        <w:spacing w:before="80"/>
      </w:pP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C89B2A" w:val="solid"/>
          </w:tcPr>
          <w:p/>
        </w:tc>
        <w:tc>
          <w:tcPr>
            <w:tcBorders>
              <w:top w:color="auto" w:sz="0"/>
              <w:left w:color="auto" w:sz="0"/>
              <w:bottom w:color="auto" w:sz="0"/>
              <w:right w:color="auto" w:sz="0"/>
            </w:tcBorders>
            <w:shd w:color="FFFBE6" w:val="solid"/>
            <w:tcMar>
              <w:top w:type="dxa" w:w="120"/>
              <w:left w:type="dxa" w:w="200"/>
              <w:bottom w:type="dxa" w:w="120"/>
              <w:right w:type="dxa" w:w="200"/>
            </w:tcMar>
          </w:tcPr>
          <w:p>
            <w:r>
              <w:rPr>
                <w:rFonts w:ascii="Arial" w:cs="Arial" w:eastAsia="Arial" w:hAnsi="Arial"/>
                <w:i/>
                <w:iCs/>
                <w:color w:val="333333"/>
                <w:sz w:val="20"/>
                <w:szCs w:val="20"/>
              </w:rPr>
              <w:t xml:space="preserve">The adoption sequencing: Canada proves it works. EU AI Act compliance forces a decision point. North American studios need the same story for their insurers. IETF/W3C submission makes it an open standard. Competitors must implement it or be excluded from regulated markets. NOIZY becomes the reference implementation.</w:t>
            </w:r>
          </w:p>
        </w:tc>
      </w:tr>
    </w:tbl>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Phase 1 — Canada Proves It (2026)</w:t>
      </w:r>
    </w:p>
    <w:p>
      <w:pPr>
        <w:spacing w:before="200" w:after="80"/>
      </w:pPr>
      <w:r>
        <w:rPr>
          <w:rFonts w:ascii="Arial" w:cs="Arial" w:eastAsia="Arial" w:hAnsi="Arial"/>
          <w:b/>
          <w:bCs/>
          <w:color w:val="0A8B7D"/>
          <w:sz w:val="22"/>
          <w:szCs w:val="22"/>
        </w:rPr>
        <w:t xml:space="preserve">The Ādisōke Moment</w:t>
      </w:r>
    </w:p>
    <w:p>
      <w:pPr>
        <w:spacing w:before="60" w:after="80"/>
      </w:pPr>
      <w:r>
        <w:rPr>
          <w:rFonts w:ascii="Arial" w:cs="Arial" w:eastAsia="Arial" w:hAnsi="Arial"/>
          <w:color w:val="333333"/>
          <w:sz w:val="22"/>
          <w:szCs w:val="22"/>
        </w:rPr>
        <w:t xml:space="preserve">Target: Summer 2026. NOIZY demonstrates the complete trust stack at Ādisōke (LAC + Ottawa Public Library). Projected 1.7M visitors per year. The demo is: voice input → DreamChamber → consent chain visible → NOIZY PROOF attached → Canadian Sound Library accessed with attribution live on screen.</w:t>
      </w:r>
    </w:p>
    <w:p>
      <w:pPr>
        <w:spacing w:before="60" w:after="80"/>
      </w:pPr>
      <w:r>
        <w:rPr>
          <w:rFonts w:ascii="Arial" w:cs="Arial" w:eastAsia="Arial" w:hAnsi="Arial"/>
          <w:color w:val="333333"/>
          <w:sz w:val="22"/>
          <w:szCs w:val="22"/>
        </w:rPr>
        <w:t xml:space="preserve">This is not a pitch. It is a working system, publicly auditable, in Canada's most prominent cultural institution.</w:t>
      </w:r>
    </w:p>
    <w:p>
      <w:pPr>
        <w:spacing w:before="200" w:after="80"/>
      </w:pPr>
      <w:r>
        <w:rPr>
          <w:rFonts w:ascii="Arial" w:cs="Arial" w:eastAsia="Arial" w:hAnsi="Arial"/>
          <w:b/>
          <w:bCs/>
          <w:color w:val="C4524A"/>
          <w:sz w:val="22"/>
          <w:szCs w:val="22"/>
        </w:rPr>
        <w:t xml:space="preserve">The EU AI Act Proof (August 2, 2026)</w:t>
      </w:r>
    </w:p>
    <w:p>
      <w:pPr>
        <w:spacing w:before="60" w:after="80"/>
      </w:pPr>
      <w:r>
        <w:rPr>
          <w:rFonts w:ascii="Arial" w:cs="Arial" w:eastAsia="Arial" w:hAnsi="Arial"/>
          <w:color w:val="333333"/>
          <w:sz w:val="22"/>
          <w:szCs w:val="22"/>
        </w:rPr>
        <w:t xml:space="preserve">Every AI platform operating in the EU must demonstrate consent disclosure, watermarking, and audit trails by this date. NOIZY PROOF satisfies all three requirements. NOIZY's Trust Receipts satisfy the transparency requirement. The consent ledger satisfies the data rights requirement.</w:t>
      </w:r>
    </w:p>
    <w:p>
      <w:pPr>
        <w:spacing w:before="60" w:after="80"/>
      </w:pPr>
      <w:r>
        <w:rPr>
          <w:rFonts w:ascii="Arial" w:cs="Arial" w:eastAsia="Arial" w:hAnsi="Arial"/>
          <w:color w:val="333333"/>
          <w:sz w:val="22"/>
          <w:szCs w:val="22"/>
        </w:rPr>
        <w:t xml:space="preserve">Target press release: August 3, 2026 — 'NOIZY is the first AI music platform to publish a verified EU AI Act compliance receipt.'</w:t>
      </w:r>
    </w:p>
    <w:p>
      <w:pPr>
        <w:spacing w:before="200" w:after="80"/>
      </w:pPr>
      <w:r>
        <w:rPr>
          <w:rFonts w:ascii="Arial" w:cs="Arial" w:eastAsia="Arial" w:hAnsi="Arial"/>
          <w:b/>
          <w:bCs/>
          <w:color w:val="5B52C4"/>
          <w:sz w:val="22"/>
          <w:szCs w:val="22"/>
        </w:rPr>
        <w:t xml:space="preserve">The Series A Positioning</w:t>
      </w:r>
    </w:p>
    <w:p>
      <w:pPr>
        <w:spacing w:before="60" w:after="80"/>
      </w:pPr>
      <w:r>
        <w:rPr>
          <w:rFonts w:ascii="Arial" w:cs="Arial" w:eastAsia="Arial" w:hAnsi="Arial"/>
          <w:color w:val="333333"/>
          <w:sz w:val="22"/>
          <w:szCs w:val="22"/>
        </w:rPr>
        <w:t xml:space="preserve">The Series A narrative is not 'AI music startup.' It is 'consent infrastructure for the creative economy — the layer every AI company building with audio will be forced to license.' The Ādisōke demo + EU AI Act receipt + weekly Trust Receipts form the evidence base.</w:t>
      </w:r>
    </w:p>
    <w:p>
      <w:pPr>
        <w:pStyle w:val="ListParagraph"/>
        <w:numPr>
          <w:ilvl w:val="0"/>
          <w:numId w:val="1"/>
        </w:numPr>
        <w:spacing w:before="40" w:after="40"/>
      </w:pPr>
      <w:r>
        <w:rPr>
          <w:rFonts w:ascii="Arial" w:cs="Arial" w:eastAsia="Arial" w:hAnsi="Arial"/>
          <w:color w:val="333333"/>
          <w:sz w:val="21"/>
          <w:szCs w:val="21"/>
        </w:rPr>
        <w:t xml:space="preserve">$4B licensing opportunity before 2028 — NOIZY PROOF as the EU compliance standard</w:t>
      </w:r>
    </w:p>
    <w:p>
      <w:pPr>
        <w:pStyle w:val="ListParagraph"/>
        <w:numPr>
          <w:ilvl w:val="0"/>
          <w:numId w:val="1"/>
        </w:numPr>
        <w:spacing w:before="40" w:after="40"/>
      </w:pPr>
      <w:r>
        <w:rPr>
          <w:rFonts w:ascii="Arial" w:cs="Arial" w:eastAsia="Arial" w:hAnsi="Arial"/>
          <w:color w:val="333333"/>
          <w:sz w:val="21"/>
          <w:szCs w:val="21"/>
        </w:rPr>
        <w:t xml:space="preserve">Creator Data Union — most valuable consented audio training dataset in existence</w:t>
      </w:r>
    </w:p>
    <w:p>
      <w:pPr>
        <w:pStyle w:val="ListParagraph"/>
        <w:numPr>
          <w:ilvl w:val="0"/>
          <w:numId w:val="1"/>
        </w:numPr>
        <w:spacing w:before="40" w:after="40"/>
      </w:pPr>
      <w:r>
        <w:rPr>
          <w:rFonts w:ascii="Arial" w:cs="Arial" w:eastAsia="Arial" w:hAnsi="Arial"/>
          <w:color w:val="333333"/>
          <w:sz w:val="21"/>
          <w:szCs w:val="21"/>
        </w:rPr>
        <w:t xml:space="preserve">IETF/W3C Creator Consent Protocol — the open standard that legitimizes the category</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Phase 2 — Enterprise Adoption (2026–2027)</w:t>
      </w:r>
    </w:p>
    <w:p>
      <w:pPr>
        <w:spacing w:before="200" w:after="80"/>
      </w:pPr>
      <w:r>
        <w:rPr>
          <w:rFonts w:ascii="Arial" w:cs="Arial" w:eastAsia="Arial" w:hAnsi="Arial"/>
          <w:b/>
          <w:bCs/>
          <w:color w:val="2A6FAD"/>
          <w:sz w:val="22"/>
          <w:szCs w:val="22"/>
        </w:rPr>
        <w:t xml:space="preserve">Target 1: VSI International (London)</w:t>
      </w:r>
    </w:p>
    <w:p>
      <w:pPr>
        <w:spacing w:before="60" w:after="80"/>
      </w:pPr>
      <w:r>
        <w:rPr>
          <w:rFonts w:ascii="Arial" w:cs="Arial" w:eastAsia="Arial" w:hAnsi="Arial"/>
          <w:color w:val="333333"/>
          <w:sz w:val="22"/>
          <w:szCs w:val="22"/>
        </w:rPr>
        <w:t xml:space="preserve">VSI is the world's largest voice localization company — 75+ languages, AAA games, global studios. The pitch: NOIZY is the consent infrastructure layer for voice asset management. VSI talent gets NOIZYVOX Voice Estates. VSI studios get NOIZY PROOF on all voice assets. The Kobalt MFN clause trigger means any deal VSI does above 65% forces upgrades across their roster — NOIZY is already at 75%.</w:t>
      </w:r>
    </w:p>
    <w:p>
      <w:pPr>
        <w:pStyle w:val="ListParagraph"/>
        <w:numPr>
          <w:ilvl w:val="0"/>
          <w:numId w:val="1"/>
        </w:numPr>
        <w:spacing w:before="40" w:after="40"/>
      </w:pPr>
      <w:r>
        <w:rPr>
          <w:rFonts w:ascii="Arial" w:cs="Arial" w:eastAsia="Arial" w:hAnsi="Arial"/>
          <w:color w:val="333333"/>
          <w:sz w:val="21"/>
          <w:szCs w:val="21"/>
        </w:rPr>
        <w:t xml:space="preserve">Opening: NOIZYSTUDIOS cultural intelligence demonstration for VSI London team</w:t>
      </w:r>
    </w:p>
    <w:p>
      <w:pPr>
        <w:pStyle w:val="ListParagraph"/>
        <w:numPr>
          <w:ilvl w:val="0"/>
          <w:numId w:val="1"/>
        </w:numPr>
        <w:spacing w:before="40" w:after="40"/>
      </w:pPr>
      <w:r>
        <w:rPr>
          <w:rFonts w:ascii="Arial" w:cs="Arial" w:eastAsia="Arial" w:hAnsi="Arial"/>
          <w:color w:val="333333"/>
          <w:sz w:val="21"/>
          <w:szCs w:val="21"/>
        </w:rPr>
        <w:t xml:space="preserve">Ask: pilot program — 10 VSI voice actors, NOIZYVOX Voice Estates, NOIZY PROOF on first 100 assets</w:t>
      </w:r>
    </w:p>
    <w:p>
      <w:pPr>
        <w:pStyle w:val="ListParagraph"/>
        <w:numPr>
          <w:ilvl w:val="0"/>
          <w:numId w:val="1"/>
        </w:numPr>
        <w:spacing w:before="40" w:after="40"/>
      </w:pPr>
      <w:r>
        <w:rPr>
          <w:rFonts w:ascii="Arial" w:cs="Arial" w:eastAsia="Arial" w:hAnsi="Arial"/>
          <w:color w:val="333333"/>
          <w:sz w:val="21"/>
          <w:szCs w:val="21"/>
        </w:rPr>
        <w:t xml:space="preserve">Expansion: VSI as NOIZY's enterprise reseller in the UK and Europe</w:t>
      </w:r>
    </w:p>
    <w:p>
      <w:pPr>
        <w:spacing w:before="200" w:after="80"/>
      </w:pPr>
      <w:r>
        <w:rPr>
          <w:rFonts w:ascii="Arial" w:cs="Arial" w:eastAsia="Arial" w:hAnsi="Arial"/>
          <w:b/>
          <w:bCs/>
          <w:color w:val="0A8B7D"/>
          <w:sz w:val="22"/>
          <w:szCs w:val="22"/>
        </w:rPr>
        <w:t xml:space="preserve">Target 2: AIVA · BandLab · Boomy (AI Platform Licensing)</w:t>
      </w:r>
    </w:p>
    <w:p>
      <w:pPr>
        <w:spacing w:before="60" w:after="80"/>
      </w:pPr>
      <w:r>
        <w:rPr>
          <w:rFonts w:ascii="Arial" w:cs="Arial" w:eastAsia="Arial" w:hAnsi="Arial"/>
          <w:color w:val="333333"/>
          <w:sz w:val="22"/>
          <w:szCs w:val="22"/>
        </w:rPr>
        <w:t xml:space="preserve">These platforms need EU AI Act compliance infrastructure. None of them has it. NOIZY PROOF is the API they license, not build. Pricing architecture: $0.001 per watermarked asset. At 100M assets per year (BandLab scale), that is $100K/year per platform — and that is the floor, not the ceiling.</w:t>
      </w:r>
    </w:p>
    <w:p>
      <w:pPr>
        <w:pStyle w:val="ListParagraph"/>
        <w:numPr>
          <w:ilvl w:val="0"/>
          <w:numId w:val="1"/>
        </w:numPr>
        <w:spacing w:before="40" w:after="40"/>
      </w:pPr>
      <w:r>
        <w:rPr>
          <w:rFonts w:ascii="Arial" w:cs="Arial" w:eastAsia="Arial" w:hAnsi="Arial"/>
          <w:color w:val="333333"/>
          <w:sz w:val="21"/>
          <w:szCs w:val="21"/>
        </w:rPr>
        <w:t xml:space="preserve">AIVA: classical AI composition — needs provenance for publisher licensing</w:t>
      </w:r>
    </w:p>
    <w:p>
      <w:pPr>
        <w:pStyle w:val="ListParagraph"/>
        <w:numPr>
          <w:ilvl w:val="0"/>
          <w:numId w:val="1"/>
        </w:numPr>
        <w:spacing w:before="40" w:after="40"/>
      </w:pPr>
      <w:r>
        <w:rPr>
          <w:rFonts w:ascii="Arial" w:cs="Arial" w:eastAsia="Arial" w:hAnsi="Arial"/>
          <w:color w:val="333333"/>
          <w:sz w:val="21"/>
          <w:szCs w:val="21"/>
        </w:rPr>
        <w:t xml:space="preserve">BandLab: 100M+ users — needs consent layer for UGC monetization at scale</w:t>
      </w:r>
    </w:p>
    <w:p>
      <w:pPr>
        <w:pStyle w:val="ListParagraph"/>
        <w:numPr>
          <w:ilvl w:val="0"/>
          <w:numId w:val="1"/>
        </w:numPr>
        <w:spacing w:before="40" w:after="40"/>
      </w:pPr>
      <w:r>
        <w:rPr>
          <w:rFonts w:ascii="Arial" w:cs="Arial" w:eastAsia="Arial" w:hAnsi="Arial"/>
          <w:color w:val="333333"/>
          <w:sz w:val="21"/>
          <w:szCs w:val="21"/>
        </w:rPr>
        <w:t xml:space="preserve">Boomy: 15M+ tracks generated — needs EU compliance or faces market exclusion</w:t>
      </w:r>
    </w:p>
    <w:p>
      <w:pPr>
        <w:spacing w:before="200" w:after="80"/>
      </w:pPr>
      <w:r>
        <w:rPr>
          <w:rFonts w:ascii="Arial" w:cs="Arial" w:eastAsia="Arial" w:hAnsi="Arial"/>
          <w:b/>
          <w:bCs/>
          <w:color w:val="3B6D11"/>
          <w:sz w:val="22"/>
          <w:szCs w:val="22"/>
        </w:rPr>
        <w:t xml:space="preserve">Target 3: Canadian Public Institutions</w:t>
      </w:r>
    </w:p>
    <w:p>
      <w:pPr>
        <w:spacing w:before="60" w:after="80"/>
      </w:pPr>
      <w:r>
        <w:rPr>
          <w:rFonts w:ascii="Arial" w:cs="Arial" w:eastAsia="Arial" w:hAnsi="Arial"/>
          <w:color w:val="333333"/>
          <w:sz w:val="22"/>
          <w:szCs w:val="22"/>
        </w:rPr>
        <w:t xml:space="preserve">LAC (Library and Archives Canada), CBC/Radio-Canada, NFB. These institutions have vast sound archives with unresolved provenance questions. NOIZY PROOF is the solution to their digitization challenge. The pitch: turn your archive into a consented, attributed, licensed asset with NOIZY PROOF — and keep 100% of the licensing revenue.</w:t>
      </w:r>
    </w:p>
    <w:p>
      <w:pPr>
        <w:pStyle w:val="ListParagraph"/>
        <w:numPr>
          <w:ilvl w:val="0"/>
          <w:numId w:val="1"/>
        </w:numPr>
        <w:spacing w:before="40" w:after="40"/>
      </w:pPr>
      <w:r>
        <w:rPr>
          <w:rFonts w:ascii="Arial" w:cs="Arial" w:eastAsia="Arial" w:hAnsi="Arial"/>
          <w:color w:val="333333"/>
          <w:sz w:val="21"/>
          <w:szCs w:val="21"/>
        </w:rPr>
        <w:t xml:space="preserve">LAC partnership: Great Canadian Sound Library — institutional foundation</w:t>
      </w:r>
    </w:p>
    <w:p>
      <w:pPr>
        <w:pStyle w:val="ListParagraph"/>
        <w:numPr>
          <w:ilvl w:val="0"/>
          <w:numId w:val="1"/>
        </w:numPr>
        <w:spacing w:before="40" w:after="40"/>
      </w:pPr>
      <w:r>
        <w:rPr>
          <w:rFonts w:ascii="Arial" w:cs="Arial" w:eastAsia="Arial" w:hAnsi="Arial"/>
          <w:color w:val="333333"/>
          <w:sz w:val="21"/>
          <w:szCs w:val="21"/>
        </w:rPr>
        <w:t xml:space="preserve">CBC/Radio-Canada: voice archive consent remediation — 70+ years of content</w:t>
      </w:r>
    </w:p>
    <w:p>
      <w:pPr>
        <w:pStyle w:val="ListParagraph"/>
        <w:numPr>
          <w:ilvl w:val="0"/>
          <w:numId w:val="1"/>
        </w:numPr>
        <w:spacing w:before="40" w:after="40"/>
      </w:pPr>
      <w:r>
        <w:rPr>
          <w:rFonts w:ascii="Arial" w:cs="Arial" w:eastAsia="Arial" w:hAnsi="Arial"/>
          <w:color w:val="333333"/>
          <w:sz w:val="21"/>
          <w:szCs w:val="21"/>
        </w:rPr>
        <w:t xml:space="preserve">NFB: documentary voice rights — consent infrastructure for re-licensing</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Phase 3 — Open Standard (2027–2028)</w:t>
      </w:r>
    </w:p>
    <w:p>
      <w:pPr>
        <w:spacing w:before="200" w:after="80"/>
      </w:pPr>
      <w:r>
        <w:rPr>
          <w:rFonts w:ascii="Arial" w:cs="Arial" w:eastAsia="Arial" w:hAnsi="Arial"/>
          <w:b/>
          <w:bCs/>
          <w:color w:val="5B52C4"/>
          <w:sz w:val="22"/>
          <w:szCs w:val="22"/>
        </w:rPr>
        <w:t xml:space="preserve">The Creator Consent Protocol — IETF/W3C Submission</w:t>
      </w:r>
    </w:p>
    <w:p>
      <w:pPr>
        <w:spacing w:before="60" w:after="80"/>
      </w:pPr>
      <w:r>
        <w:rPr>
          <w:rFonts w:ascii="Arial" w:cs="Arial" w:eastAsia="Arial" w:hAnsi="Arial"/>
          <w:color w:val="333333"/>
          <w:sz w:val="22"/>
          <w:szCs w:val="22"/>
        </w:rPr>
        <w:t xml:space="preserve">The NOIZY consent architecture is submitted as a proposed standard to IETF (Internet Engineering Task Force) and W3C (World Wide Web Consortium). The submission includes: the consent token specification, the provenance manifest format, the revocation protocol, and the audit event taxonomy.</w:t>
      </w:r>
    </w:p>
    <w:p>
      <w:pPr>
        <w:spacing w:before="60" w:after="80"/>
      </w:pPr>
      <w:r>
        <w:rPr>
          <w:rFonts w:ascii="Arial" w:cs="Arial" w:eastAsia="Arial" w:hAnsi="Arial"/>
          <w:color w:val="333333"/>
          <w:sz w:val="22"/>
          <w:szCs w:val="22"/>
        </w:rPr>
        <w:t xml:space="preserve">Once accepted as a proposed standard, NOIZY becomes the reference implementation. Every platform that implements the protocol validates NOIZY's architecture. Every regulator that references the protocol extends NOIZY's reach without requiring direct licensing.</w:t>
      </w:r>
    </w:p>
    <w:p>
      <w:pPr>
        <w:spacing w:before="200" w:after="80"/>
      </w:pPr>
      <w:r>
        <w:rPr>
          <w:rFonts w:ascii="Arial" w:cs="Arial" w:eastAsia="Arial" w:hAnsi="Arial"/>
          <w:b/>
          <w:bCs/>
          <w:color w:val="0A8B7D"/>
          <w:sz w:val="22"/>
          <w:szCs w:val="22"/>
        </w:rPr>
        <w:t xml:space="preserve">The Creator Data Union</w:t>
      </w:r>
    </w:p>
    <w:p>
      <w:pPr>
        <w:spacing w:before="60" w:after="80"/>
      </w:pPr>
      <w:r>
        <w:rPr>
          <w:rFonts w:ascii="Arial" w:cs="Arial" w:eastAsia="Arial" w:hAnsi="Arial"/>
          <w:color w:val="333333"/>
          <w:sz w:val="22"/>
          <w:szCs w:val="22"/>
        </w:rPr>
        <w:t xml:space="preserve">The most valuable consented audio training dataset in existence. Not scraped. Not settled. Explicitly consented, artist-owned, collectively governed. NOIZY manages the infrastructure; creators own the union. The union licenses its dataset to AI training companies at rates set by the creators themselves.</w:t>
      </w:r>
    </w:p>
    <w:p>
      <w:pPr>
        <w:pStyle w:val="ListParagraph"/>
        <w:numPr>
          <w:ilvl w:val="0"/>
          <w:numId w:val="1"/>
        </w:numPr>
        <w:spacing w:before="40" w:after="40"/>
      </w:pPr>
      <w:r>
        <w:rPr>
          <w:rFonts w:ascii="Arial" w:cs="Arial" w:eastAsia="Arial" w:hAnsi="Arial"/>
          <w:color w:val="333333"/>
          <w:sz w:val="21"/>
          <w:szCs w:val="21"/>
        </w:rPr>
        <w:t xml:space="preserve">Founding members: the first 100 Dreamers (NOIZYVOX Voice Estates)</w:t>
      </w:r>
    </w:p>
    <w:p>
      <w:pPr>
        <w:pStyle w:val="ListParagraph"/>
        <w:numPr>
          <w:ilvl w:val="0"/>
          <w:numId w:val="1"/>
        </w:numPr>
        <w:spacing w:before="40" w:after="40"/>
      </w:pPr>
      <w:r>
        <w:rPr>
          <w:rFonts w:ascii="Arial" w:cs="Arial" w:eastAsia="Arial" w:hAnsi="Arial"/>
          <w:color w:val="333333"/>
          <w:sz w:val="21"/>
          <w:szCs w:val="21"/>
        </w:rPr>
        <w:t xml:space="preserve">Governance: one creator one vote on licensing terms</w:t>
      </w:r>
    </w:p>
    <w:p>
      <w:pPr>
        <w:pStyle w:val="ListParagraph"/>
        <w:numPr>
          <w:ilvl w:val="0"/>
          <w:numId w:val="1"/>
        </w:numPr>
        <w:spacing w:before="40" w:after="40"/>
      </w:pPr>
      <w:r>
        <w:rPr>
          <w:rFonts w:ascii="Arial" w:cs="Arial" w:eastAsia="Arial" w:hAnsi="Arial"/>
          <w:color w:val="333333"/>
          <w:sz w:val="21"/>
          <w:szCs w:val="21"/>
        </w:rPr>
        <w:t xml:space="preserve">Revenue: licensing fees distributed pro rata to contributing creators</w:t>
      </w:r>
    </w:p>
    <w:p>
      <w:pPr>
        <w:pStyle w:val="ListParagraph"/>
        <w:numPr>
          <w:ilvl w:val="0"/>
          <w:numId w:val="1"/>
        </w:numPr>
        <w:spacing w:before="40" w:after="40"/>
      </w:pPr>
      <w:r>
        <w:rPr>
          <w:rFonts w:ascii="Arial" w:cs="Arial" w:eastAsia="Arial" w:hAnsi="Arial"/>
          <w:color w:val="333333"/>
          <w:sz w:val="21"/>
          <w:szCs w:val="21"/>
        </w:rPr>
        <w:t xml:space="preserve">Protection: NO AI training without active consent flag — enforced by SHIRL at the ledger level</w:t>
      </w:r>
    </w:p>
    <w:p>
      <w:pPr>
        <w:spacing w:before="200" w:after="80"/>
      </w:pPr>
      <w:r>
        <w:rPr>
          <w:rFonts w:ascii="Arial" w:cs="Arial" w:eastAsia="Arial" w:hAnsi="Arial"/>
          <w:b/>
          <w:bCs/>
          <w:color w:val="2A6FAD"/>
          <w:sz w:val="22"/>
          <w:szCs w:val="22"/>
        </w:rPr>
        <w:t xml:space="preserve">The C2PA Integration</w:t>
      </w:r>
    </w:p>
    <w:p>
      <w:pPr>
        <w:spacing w:before="60" w:after="80"/>
      </w:pPr>
      <w:r>
        <w:rPr>
          <w:rFonts w:ascii="Arial" w:cs="Arial" w:eastAsia="Arial" w:hAnsi="Arial"/>
          <w:color w:val="333333"/>
          <w:sz w:val="22"/>
          <w:szCs w:val="22"/>
        </w:rPr>
        <w:t xml:space="preserve">C2PA (Coalition for Content Provenance and Authenticity) is the emerging global standard for content credentials. NOIZY PROOF is designed to be C2PA-compatible. As C2PA adoption accelerates across platforms (Adobe, Microsoft, Google, Meta are all C2PA members), NOIZY PROOF becomes the audio-native implementation that fills the gap C2PA's current architecture lacks.</w:t>
      </w:r>
    </w:p>
    <w:p>
      <w:pPr>
        <w:pStyle w:val="ListParagraph"/>
        <w:numPr>
          <w:ilvl w:val="0"/>
          <w:numId w:val="1"/>
        </w:numPr>
        <w:spacing w:before="40" w:after="40"/>
      </w:pPr>
      <w:r>
        <w:rPr>
          <w:rFonts w:ascii="Arial" w:cs="Arial" w:eastAsia="Arial" w:hAnsi="Arial"/>
          <w:color w:val="333333"/>
          <w:sz w:val="21"/>
          <w:szCs w:val="21"/>
        </w:rPr>
        <w:t xml:space="preserve">Audio provenance standard: NOIZY is building the missing C2PA audio layer</w:t>
      </w:r>
    </w:p>
    <w:p>
      <w:pPr>
        <w:pStyle w:val="ListParagraph"/>
        <w:numPr>
          <w:ilvl w:val="0"/>
          <w:numId w:val="1"/>
        </w:numPr>
        <w:spacing w:before="40" w:after="40"/>
      </w:pPr>
      <w:r>
        <w:rPr>
          <w:rFonts w:ascii="Arial" w:cs="Arial" w:eastAsia="Arial" w:hAnsi="Arial"/>
          <w:color w:val="333333"/>
          <w:sz w:val="21"/>
          <w:szCs w:val="21"/>
        </w:rPr>
        <w:t xml:space="preserve">C2PA technical committee participation: target by Q4 2026</w:t>
      </w:r>
    </w:p>
    <w:p>
      <w:pPr>
        <w:pStyle w:val="ListParagraph"/>
        <w:numPr>
          <w:ilvl w:val="0"/>
          <w:numId w:val="1"/>
        </w:numPr>
        <w:spacing w:before="40" w:after="40"/>
      </w:pPr>
      <w:r>
        <w:rPr>
          <w:rFonts w:ascii="Arial" w:cs="Arial" w:eastAsia="Arial" w:hAnsi="Arial"/>
          <w:color w:val="333333"/>
          <w:sz w:val="21"/>
          <w:szCs w:val="21"/>
        </w:rPr>
        <w:t xml:space="preserve">Joint press release with C2PA member: positions NOIZY as the audio standard</w:t>
      </w:r>
    </w:p>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Phase 4 — Jurisdictional Adoption (2028–2030)</w:t>
      </w:r>
    </w:p>
    <w:p>
      <w:pPr>
        <w:spacing w:before="60" w:after="80"/>
      </w:pPr>
      <w:r>
        <w:rPr>
          <w:rFonts w:ascii="Arial" w:cs="Arial" w:eastAsia="Arial" w:hAnsi="Arial"/>
          <w:color w:val="4A6080"/>
          <w:sz w:val="18"/>
          <w:szCs w:val="18"/>
        </w:rPr>
        <w:t xml:space="preserve">NOIZY's consent architecture maps to existing and emerging regulations across six jurisdictions. The mapping below is the sales tool for regulators and enterprise compliance teams.</w:t>
      </w:r>
    </w:p>
    <w:p>
      <w:pPr>
        <w:spacing w:before="120"/>
      </w:pPr>
    </w:p>
    <w:tbl>
      <w:tblPr>
        <w:tblW w:type="dxa" w:w="9360"/>
        <w:tblBorders>
          <w:top w:color="E0E0E0" w:sz="4"/>
          <w:left/>
          <w:bottom w:color="E0E0E0" w:sz="4"/>
          <w:right/>
          <w:insideH w:val="single" w:color="auto" w:sz="4"/>
          <w:insideV w:val="single" w:color="auto" w:sz="4"/>
        </w:tblBorders>
      </w:tblPr>
      <w:tblGrid>
        <w:gridCol w:w="100"/>
        <w:gridCol w:w="100"/>
        <w:gridCol w:w="100"/>
        <w:gridCol w:w="100"/>
      </w:tblGrid>
      <w:tr>
        <w:tc>
          <w:tcPr>
            <w:tcW w:type="dxa" w:w="1800"/>
            <w:shd w:color="F0F4F8" w:val="solid"/>
            <w:tcMar>
              <w:top w:type="dxa" w:w="80"/>
              <w:left w:type="dxa" w:w="120"/>
              <w:bottom w:type="dxa" w:w="80"/>
              <w:right w:type="dxa" w:w="80"/>
            </w:tcMar>
          </w:tcPr>
          <w:p>
            <w:r>
              <w:rPr>
                <w:rFonts w:ascii="Arial" w:cs="Arial" w:eastAsia="Arial" w:hAnsi="Arial"/>
                <w:b/>
                <w:bCs/>
                <w:color w:val="111111"/>
                <w:sz w:val="18"/>
                <w:szCs w:val="18"/>
              </w:rPr>
              <w:t xml:space="preserve">Jurisdiction</w:t>
            </w:r>
          </w:p>
        </w:tc>
        <w:tc>
          <w:tcPr>
            <w:tcW w:type="dxa" w:w="2200"/>
            <w:shd w:color="F0F4F8" w:val="solid"/>
            <w:tcMar>
              <w:top w:type="dxa" w:w="80"/>
              <w:left w:type="dxa" w:w="120"/>
              <w:bottom w:type="dxa" w:w="80"/>
              <w:right w:type="dxa" w:w="80"/>
            </w:tcMar>
          </w:tcPr>
          <w:p>
            <w:r>
              <w:rPr>
                <w:rFonts w:ascii="Arial" w:cs="Arial" w:eastAsia="Arial" w:hAnsi="Arial"/>
                <w:b/>
                <w:bCs/>
                <w:color w:val="111111"/>
                <w:sz w:val="18"/>
                <w:szCs w:val="18"/>
              </w:rPr>
              <w:t xml:space="preserve">Regulation</w:t>
            </w:r>
          </w:p>
        </w:tc>
        <w:tc>
          <w:tcPr>
            <w:tcW w:type="dxa" w:w="2000"/>
            <w:shd w:color="F0F4F8" w:val="solid"/>
            <w:tcMar>
              <w:top w:type="dxa" w:w="80"/>
              <w:left w:type="dxa" w:w="120"/>
              <w:bottom w:type="dxa" w:w="80"/>
              <w:right w:type="dxa" w:w="80"/>
            </w:tcMar>
          </w:tcPr>
          <w:p>
            <w:r>
              <w:rPr>
                <w:rFonts w:ascii="Arial" w:cs="Arial" w:eastAsia="Arial" w:hAnsi="Arial"/>
                <w:b/>
                <w:bCs/>
                <w:color w:val="111111"/>
                <w:sz w:val="18"/>
                <w:szCs w:val="18"/>
              </w:rPr>
              <w:t xml:space="preserve">NOIZY mechanism</w:t>
            </w:r>
          </w:p>
        </w:tc>
        <w:tc>
          <w:tcPr>
            <w:shd w:color="F0F4F8" w:val="solid"/>
            <w:tcMar>
              <w:top w:type="dxa" w:w="80"/>
              <w:left w:type="dxa" w:w="120"/>
              <w:bottom w:type="dxa" w:w="80"/>
              <w:right w:type="dxa" w:w="80"/>
            </w:tcMar>
          </w:tcPr>
          <w:p>
            <w:r>
              <w:rPr>
                <w:rFonts w:ascii="Arial" w:cs="Arial" w:eastAsia="Arial" w:hAnsi="Arial"/>
                <w:b/>
                <w:bCs/>
                <w:color w:val="111111"/>
                <w:sz w:val="18"/>
                <w:szCs w:val="18"/>
              </w:rPr>
              <w:t xml:space="preserve">Status</w:t>
            </w:r>
          </w:p>
        </w:tc>
      </w:tr>
      <w:tr>
        <w:tc>
          <w:tcPr>
            <w:tcMar>
              <w:top w:type="dxa" w:w="60"/>
              <w:left w:type="dxa" w:w="120"/>
              <w:bottom w:type="dxa" w:w="60"/>
              <w:right w:type="dxa" w:w="80"/>
            </w:tcMar>
          </w:tcPr>
          <w:p>
            <w:r>
              <w:rPr>
                <w:rFonts w:ascii="Arial" w:cs="Arial" w:eastAsia="Arial" w:hAnsi="Arial"/>
                <w:color w:val="333333"/>
                <w:sz w:val="18"/>
                <w:szCs w:val="18"/>
              </w:rPr>
              <w:t xml:space="preserve">Canada</w:t>
            </w:r>
          </w:p>
        </w:tc>
        <w:tc>
          <w:tcPr>
            <w:tcMar>
              <w:top w:type="dxa" w:w="60"/>
              <w:left w:type="dxa" w:w="120"/>
              <w:bottom w:type="dxa" w:w="60"/>
              <w:right w:type="dxa" w:w="80"/>
            </w:tcMar>
          </w:tcPr>
          <w:p>
            <w:r>
              <w:rPr>
                <w:rFonts w:ascii="Arial" w:cs="Arial" w:eastAsia="Arial" w:hAnsi="Arial"/>
                <w:color w:val="333333"/>
                <w:sz w:val="18"/>
                <w:szCs w:val="18"/>
              </w:rPr>
              <w:t xml:space="preserve">PIPEDA + Bill C-27</w:t>
            </w:r>
          </w:p>
        </w:tc>
        <w:tc>
          <w:tcPr>
            <w:tcMar>
              <w:top w:type="dxa" w:w="60"/>
              <w:left w:type="dxa" w:w="120"/>
              <w:bottom w:type="dxa" w:w="60"/>
              <w:right w:type="dxa" w:w="80"/>
            </w:tcMar>
          </w:tcPr>
          <w:p>
            <w:r>
              <w:rPr>
                <w:rFonts w:ascii="Arial" w:cs="Arial" w:eastAsia="Arial" w:hAnsi="Arial"/>
                <w:color w:val="333333"/>
                <w:sz w:val="18"/>
                <w:szCs w:val="18"/>
              </w:rPr>
              <w:t xml:space="preserve">Consent-as-Code · FPIC-as-Code</w:t>
            </w:r>
          </w:p>
        </w:tc>
        <w:tc>
          <w:tcPr>
            <w:shd w:color="EAF3DE" w:val="solid"/>
            <w:tcMar>
              <w:top w:type="dxa" w:w="60"/>
              <w:left w:type="dxa" w:w="120"/>
              <w:bottom w:type="dxa" w:w="60"/>
              <w:right w:type="dxa" w:w="80"/>
            </w:tcMar>
          </w:tcPr>
          <w:p>
            <w:r>
              <w:rPr>
                <w:rFonts w:ascii="Arial" w:cs="Arial" w:eastAsia="Arial" w:hAnsi="Arial"/>
                <w:b/>
                <w:bCs/>
                <w:color w:val="3B6D11"/>
                <w:sz w:val="18"/>
                <w:szCs w:val="18"/>
              </w:rPr>
              <w:t xml:space="preserve">COMPLIANT</w:t>
            </w:r>
          </w:p>
        </w:tc>
      </w:tr>
      <w:tr>
        <w:tc>
          <w:tcPr>
            <w:tcMar>
              <w:top w:type="dxa" w:w="60"/>
              <w:left w:type="dxa" w:w="120"/>
              <w:bottom w:type="dxa" w:w="60"/>
              <w:right w:type="dxa" w:w="80"/>
            </w:tcMar>
          </w:tcPr>
          <w:p>
            <w:r>
              <w:rPr>
                <w:rFonts w:ascii="Arial" w:cs="Arial" w:eastAsia="Arial" w:hAnsi="Arial"/>
                <w:color w:val="333333"/>
                <w:sz w:val="18"/>
                <w:szCs w:val="18"/>
              </w:rPr>
              <w:t xml:space="preserve">EU</w:t>
            </w:r>
          </w:p>
        </w:tc>
        <w:tc>
          <w:tcPr>
            <w:tcMar>
              <w:top w:type="dxa" w:w="60"/>
              <w:left w:type="dxa" w:w="120"/>
              <w:bottom w:type="dxa" w:w="60"/>
              <w:right w:type="dxa" w:w="80"/>
            </w:tcMar>
          </w:tcPr>
          <w:p>
            <w:r>
              <w:rPr>
                <w:rFonts w:ascii="Arial" w:cs="Arial" w:eastAsia="Arial" w:hAnsi="Arial"/>
                <w:color w:val="333333"/>
                <w:sz w:val="18"/>
                <w:szCs w:val="18"/>
              </w:rPr>
              <w:t xml:space="preserve">AI Act (Aug 2, 2026)</w:t>
            </w:r>
          </w:p>
        </w:tc>
        <w:tc>
          <w:tcPr>
            <w:tcMar>
              <w:top w:type="dxa" w:w="60"/>
              <w:left w:type="dxa" w:w="120"/>
              <w:bottom w:type="dxa" w:w="60"/>
              <w:right w:type="dxa" w:w="80"/>
            </w:tcMar>
          </w:tcPr>
          <w:p>
            <w:r>
              <w:rPr>
                <w:rFonts w:ascii="Arial" w:cs="Arial" w:eastAsia="Arial" w:hAnsi="Arial"/>
                <w:color w:val="333333"/>
                <w:sz w:val="18"/>
                <w:szCs w:val="18"/>
              </w:rPr>
              <w:t xml:space="preserve">NOIZY PROOF · consent disclosure</w:t>
            </w:r>
          </w:p>
        </w:tc>
        <w:tc>
          <w:tcPr>
            <w:shd w:color="EAF3DE" w:val="solid"/>
            <w:tcMar>
              <w:top w:type="dxa" w:w="60"/>
              <w:left w:type="dxa" w:w="120"/>
              <w:bottom w:type="dxa" w:w="60"/>
              <w:right w:type="dxa" w:w="80"/>
            </w:tcMar>
          </w:tcPr>
          <w:p>
            <w:r>
              <w:rPr>
                <w:rFonts w:ascii="Arial" w:cs="Arial" w:eastAsia="Arial" w:hAnsi="Arial"/>
                <w:b/>
                <w:bCs/>
                <w:color w:val="3B6D11"/>
                <w:sz w:val="18"/>
                <w:szCs w:val="18"/>
              </w:rPr>
              <w:t xml:space="preserve">COMPLIANT</w:t>
            </w:r>
          </w:p>
        </w:tc>
      </w:tr>
      <w:tr>
        <w:tc>
          <w:tcPr>
            <w:tcMar>
              <w:top w:type="dxa" w:w="60"/>
              <w:left w:type="dxa" w:w="120"/>
              <w:bottom w:type="dxa" w:w="60"/>
              <w:right w:type="dxa" w:w="80"/>
            </w:tcMar>
          </w:tcPr>
          <w:p>
            <w:r>
              <w:rPr>
                <w:rFonts w:ascii="Arial" w:cs="Arial" w:eastAsia="Arial" w:hAnsi="Arial"/>
                <w:color w:val="333333"/>
                <w:sz w:val="18"/>
                <w:szCs w:val="18"/>
              </w:rPr>
              <w:t xml:space="preserve">USA</w:t>
            </w:r>
          </w:p>
        </w:tc>
        <w:tc>
          <w:tcPr>
            <w:tcMar>
              <w:top w:type="dxa" w:w="60"/>
              <w:left w:type="dxa" w:w="120"/>
              <w:bottom w:type="dxa" w:w="60"/>
              <w:right w:type="dxa" w:w="80"/>
            </w:tcMar>
          </w:tcPr>
          <w:p>
            <w:r>
              <w:rPr>
                <w:rFonts w:ascii="Arial" w:cs="Arial" w:eastAsia="Arial" w:hAnsi="Arial"/>
                <w:color w:val="333333"/>
                <w:sz w:val="18"/>
                <w:szCs w:val="18"/>
              </w:rPr>
              <w:t xml:space="preserve">NO FAKES Act (advancing)</w:t>
            </w:r>
          </w:p>
        </w:tc>
        <w:tc>
          <w:tcPr>
            <w:tcMar>
              <w:top w:type="dxa" w:w="60"/>
              <w:left w:type="dxa" w:w="120"/>
              <w:bottom w:type="dxa" w:w="60"/>
              <w:right w:type="dxa" w:w="80"/>
            </w:tcMar>
          </w:tcPr>
          <w:p>
            <w:r>
              <w:rPr>
                <w:rFonts w:ascii="Arial" w:cs="Arial" w:eastAsia="Arial" w:hAnsi="Arial"/>
                <w:color w:val="333333"/>
                <w:sz w:val="18"/>
                <w:szCs w:val="18"/>
              </w:rPr>
              <w:t xml:space="preserve">NOIZYVOX consent tokens</w:t>
            </w:r>
          </w:p>
        </w:tc>
        <w:tc>
          <w:tcPr>
            <w:shd w:color="E6F1FB" w:val="solid"/>
            <w:tcMar>
              <w:top w:type="dxa" w:w="60"/>
              <w:left w:type="dxa" w:w="120"/>
              <w:bottom w:type="dxa" w:w="60"/>
              <w:right w:type="dxa" w:w="80"/>
            </w:tcMar>
          </w:tcPr>
          <w:p>
            <w:r>
              <w:rPr>
                <w:rFonts w:ascii="Arial" w:cs="Arial" w:eastAsia="Arial" w:hAnsi="Arial"/>
                <w:b/>
                <w:bCs/>
                <w:color w:val="2A6FAD"/>
                <w:sz w:val="18"/>
                <w:szCs w:val="18"/>
              </w:rPr>
              <w:t xml:space="preserve">ALIGNED</w:t>
            </w:r>
          </w:p>
        </w:tc>
      </w:tr>
      <w:tr>
        <w:tc>
          <w:tcPr>
            <w:tcMar>
              <w:top w:type="dxa" w:w="60"/>
              <w:left w:type="dxa" w:w="120"/>
              <w:bottom w:type="dxa" w:w="60"/>
              <w:right w:type="dxa" w:w="80"/>
            </w:tcMar>
          </w:tcPr>
          <w:p>
            <w:r>
              <w:rPr>
                <w:rFonts w:ascii="Arial" w:cs="Arial" w:eastAsia="Arial" w:hAnsi="Arial"/>
                <w:color w:val="333333"/>
                <w:sz w:val="18"/>
                <w:szCs w:val="18"/>
              </w:rPr>
              <w:t xml:space="preserve">USA</w:t>
            </w:r>
          </w:p>
        </w:tc>
        <w:tc>
          <w:tcPr>
            <w:tcMar>
              <w:top w:type="dxa" w:w="60"/>
              <w:left w:type="dxa" w:w="120"/>
              <w:bottom w:type="dxa" w:w="60"/>
              <w:right w:type="dxa" w:w="80"/>
            </w:tcMar>
          </w:tcPr>
          <w:p>
            <w:r>
              <w:rPr>
                <w:rFonts w:ascii="Arial" w:cs="Arial" w:eastAsia="Arial" w:hAnsi="Arial"/>
                <w:color w:val="333333"/>
                <w:sz w:val="18"/>
                <w:szCs w:val="18"/>
              </w:rPr>
              <w:t xml:space="preserve">CASE Act</w:t>
            </w:r>
          </w:p>
        </w:tc>
        <w:tc>
          <w:tcPr>
            <w:tcMar>
              <w:top w:type="dxa" w:w="60"/>
              <w:left w:type="dxa" w:w="120"/>
              <w:bottom w:type="dxa" w:w="60"/>
              <w:right w:type="dxa" w:w="80"/>
            </w:tcMar>
          </w:tcPr>
          <w:p>
            <w:r>
              <w:rPr>
                <w:rFonts w:ascii="Arial" w:cs="Arial" w:eastAsia="Arial" w:hAnsi="Arial"/>
                <w:color w:val="333333"/>
                <w:sz w:val="18"/>
                <w:szCs w:val="18"/>
              </w:rPr>
              <w:t xml:space="preserve">NOIZY PROOF provenance chain</w:t>
            </w:r>
          </w:p>
        </w:tc>
        <w:tc>
          <w:tcPr>
            <w:shd w:color="E6F1FB" w:val="solid"/>
            <w:tcMar>
              <w:top w:type="dxa" w:w="60"/>
              <w:left w:type="dxa" w:w="120"/>
              <w:bottom w:type="dxa" w:w="60"/>
              <w:right w:type="dxa" w:w="80"/>
            </w:tcMar>
          </w:tcPr>
          <w:p>
            <w:r>
              <w:rPr>
                <w:rFonts w:ascii="Arial" w:cs="Arial" w:eastAsia="Arial" w:hAnsi="Arial"/>
                <w:b/>
                <w:bCs/>
                <w:color w:val="2A6FAD"/>
                <w:sz w:val="18"/>
                <w:szCs w:val="18"/>
              </w:rPr>
              <w:t xml:space="preserve">ALIGNED</w:t>
            </w:r>
          </w:p>
        </w:tc>
      </w:tr>
      <w:tr>
        <w:tc>
          <w:tcPr>
            <w:tcMar>
              <w:top w:type="dxa" w:w="60"/>
              <w:left w:type="dxa" w:w="120"/>
              <w:bottom w:type="dxa" w:w="60"/>
              <w:right w:type="dxa" w:w="80"/>
            </w:tcMar>
          </w:tcPr>
          <w:p>
            <w:r>
              <w:rPr>
                <w:rFonts w:ascii="Arial" w:cs="Arial" w:eastAsia="Arial" w:hAnsi="Arial"/>
                <w:color w:val="333333"/>
                <w:sz w:val="18"/>
                <w:szCs w:val="18"/>
              </w:rPr>
              <w:t xml:space="preserve">UK</w:t>
            </w:r>
          </w:p>
        </w:tc>
        <w:tc>
          <w:tcPr>
            <w:tcMar>
              <w:top w:type="dxa" w:w="60"/>
              <w:left w:type="dxa" w:w="120"/>
              <w:bottom w:type="dxa" w:w="60"/>
              <w:right w:type="dxa" w:w="80"/>
            </w:tcMar>
          </w:tcPr>
          <w:p>
            <w:r>
              <w:rPr>
                <w:rFonts w:ascii="Arial" w:cs="Arial" w:eastAsia="Arial" w:hAnsi="Arial"/>
                <w:color w:val="333333"/>
                <w:sz w:val="18"/>
                <w:szCs w:val="18"/>
              </w:rPr>
              <w:t xml:space="preserve">Online Safety Act</w:t>
            </w:r>
          </w:p>
        </w:tc>
        <w:tc>
          <w:tcPr>
            <w:tcMar>
              <w:top w:type="dxa" w:w="60"/>
              <w:left w:type="dxa" w:w="120"/>
              <w:bottom w:type="dxa" w:w="60"/>
              <w:right w:type="dxa" w:w="80"/>
            </w:tcMar>
          </w:tcPr>
          <w:p>
            <w:r>
              <w:rPr>
                <w:rFonts w:ascii="Arial" w:cs="Arial" w:eastAsia="Arial" w:hAnsi="Arial"/>
                <w:color w:val="333333"/>
                <w:sz w:val="18"/>
                <w:szCs w:val="18"/>
              </w:rPr>
              <w:t xml:space="preserve">AI-OFF opt-out · no lurking</w:t>
            </w:r>
          </w:p>
        </w:tc>
        <w:tc>
          <w:tcPr>
            <w:shd w:color="E6F1FB" w:val="solid"/>
            <w:tcMar>
              <w:top w:type="dxa" w:w="60"/>
              <w:left w:type="dxa" w:w="120"/>
              <w:bottom w:type="dxa" w:w="60"/>
              <w:right w:type="dxa" w:w="80"/>
            </w:tcMar>
          </w:tcPr>
          <w:p>
            <w:r>
              <w:rPr>
                <w:rFonts w:ascii="Arial" w:cs="Arial" w:eastAsia="Arial" w:hAnsi="Arial"/>
                <w:b/>
                <w:bCs/>
                <w:color w:val="2A6FAD"/>
                <w:sz w:val="18"/>
                <w:szCs w:val="18"/>
              </w:rPr>
              <w:t xml:space="preserve">ALIGNED</w:t>
            </w:r>
          </w:p>
        </w:tc>
      </w:tr>
      <w:tr>
        <w:tc>
          <w:tcPr>
            <w:tcMar>
              <w:top w:type="dxa" w:w="60"/>
              <w:left w:type="dxa" w:w="120"/>
              <w:bottom w:type="dxa" w:w="60"/>
              <w:right w:type="dxa" w:w="80"/>
            </w:tcMar>
          </w:tcPr>
          <w:p>
            <w:r>
              <w:rPr>
                <w:rFonts w:ascii="Arial" w:cs="Arial" w:eastAsia="Arial" w:hAnsi="Arial"/>
                <w:color w:val="333333"/>
                <w:sz w:val="18"/>
                <w:szCs w:val="18"/>
              </w:rPr>
              <w:t xml:space="preserve">Australia</w:t>
            </w:r>
          </w:p>
        </w:tc>
        <w:tc>
          <w:tcPr>
            <w:tcMar>
              <w:top w:type="dxa" w:w="60"/>
              <w:left w:type="dxa" w:w="120"/>
              <w:bottom w:type="dxa" w:w="60"/>
              <w:right w:type="dxa" w:w="80"/>
            </w:tcMar>
          </w:tcPr>
          <w:p>
            <w:r>
              <w:rPr>
                <w:rFonts w:ascii="Arial" w:cs="Arial" w:eastAsia="Arial" w:hAnsi="Arial"/>
                <w:color w:val="333333"/>
                <w:sz w:val="18"/>
                <w:szCs w:val="18"/>
              </w:rPr>
              <w:t xml:space="preserve">AI Safety Policy</w:t>
            </w:r>
          </w:p>
        </w:tc>
        <w:tc>
          <w:tcPr>
            <w:tcMar>
              <w:top w:type="dxa" w:w="60"/>
              <w:left w:type="dxa" w:w="120"/>
              <w:bottom w:type="dxa" w:w="60"/>
              <w:right w:type="dxa" w:w="80"/>
            </w:tcMar>
          </w:tcPr>
          <w:p>
            <w:r>
              <w:rPr>
                <w:rFonts w:ascii="Arial" w:cs="Arial" w:eastAsia="Arial" w:hAnsi="Arial"/>
                <w:color w:val="333333"/>
                <w:sz w:val="18"/>
                <w:szCs w:val="18"/>
              </w:rPr>
              <w:t xml:space="preserve">Consent tokens · audit trail</w:t>
            </w:r>
          </w:p>
        </w:tc>
        <w:tc>
          <w:tcPr>
            <w:shd w:color="E6F1FB" w:val="solid"/>
            <w:tcMar>
              <w:top w:type="dxa" w:w="60"/>
              <w:left w:type="dxa" w:w="120"/>
              <w:bottom w:type="dxa" w:w="60"/>
              <w:right w:type="dxa" w:w="80"/>
            </w:tcMar>
          </w:tcPr>
          <w:p>
            <w:r>
              <w:rPr>
                <w:rFonts w:ascii="Arial" w:cs="Arial" w:eastAsia="Arial" w:hAnsi="Arial"/>
                <w:b/>
                <w:bCs/>
                <w:color w:val="2A6FAD"/>
                <w:sz w:val="18"/>
                <w:szCs w:val="18"/>
              </w:rPr>
              <w:t xml:space="preserve">READY</w:t>
            </w:r>
          </w:p>
        </w:tc>
      </w:tr>
    </w:tbl>
    <w:p>
      <w:pPr>
        <w:pBdr>
          <w:bottom w:color="E0E0E0" w:sz="4"/>
        </w:pBdr>
        <w:spacing w:before="160" w:after="160"/>
      </w:pPr>
    </w:p>
    <w:p>
      <w:pPr>
        <w:pageBreakBefore/>
      </w:pPr>
    </w:p>
    <w:p>
      <w:pPr>
        <w:pStyle w:val="Heading1"/>
      </w:pPr>
      <w:r>
        <w:rPr>
          <w:rFonts w:ascii="Arial" w:cs="Arial" w:eastAsia="Arial" w:hAnsi="Arial"/>
          <w:b/>
          <w:bCs/>
          <w:color w:val="111111"/>
          <w:sz w:val="36"/>
          <w:szCs w:val="36"/>
        </w:rPr>
        <w:t xml:space="preserve">The 500-Year Horizon</w:t>
      </w:r>
    </w:p>
    <w:tbl>
      <w:tblPr>
        <w:tblW w:type="dxa" w:w="9360"/>
        <w:tblBorders>
          <w:top w:color="auto" w:sz="0"/>
          <w:left w:color="auto" w:sz="0"/>
          <w:bottom w:color="auto" w:sz="0"/>
          <w:right w:color="auto" w:sz="0"/>
          <w:insideH w:val="single" w:color="auto" w:sz="4"/>
          <w:insideV w:val="single" w:color="auto" w:sz="4"/>
        </w:tblBorders>
      </w:tblPr>
      <w:tblGrid>
        <w:gridCol w:w="100"/>
        <w:gridCol w:w="100"/>
      </w:tblGrid>
      <w:tr>
        <w:tc>
          <w:tcPr>
            <w:tcW w:type="dxa" w:w="120"/>
            <w:tcBorders>
              <w:top w:color="auto" w:sz="0"/>
              <w:left w:color="auto" w:sz="0"/>
              <w:bottom w:color="auto" w:sz="0"/>
              <w:right w:color="auto" w:sz="0"/>
            </w:tcBorders>
            <w:shd w:color="5B52C4" w:val="solid"/>
          </w:tcPr>
          <w:p/>
        </w:tc>
        <w:tc>
          <w:tcPr>
            <w:tcBorders>
              <w:top w:color="auto" w:sz="0"/>
              <w:left w:color="auto" w:sz="0"/>
              <w:bottom w:color="auto" w:sz="0"/>
              <w:right w:color="auto" w:sz="0"/>
            </w:tcBorders>
            <w:shd w:color="EEEDFE" w:val="solid"/>
            <w:tcMar>
              <w:top w:type="dxa" w:w="120"/>
              <w:left w:type="dxa" w:w="200"/>
              <w:bottom w:type="dxa" w:w="120"/>
              <w:right w:type="dxa" w:w="200"/>
            </w:tcMar>
          </w:tcPr>
          <w:p>
            <w:r>
              <w:rPr>
                <w:rFonts w:ascii="Arial" w:cs="Arial" w:eastAsia="Arial" w:hAnsi="Arial"/>
                <w:i/>
                <w:iCs/>
                <w:color w:val="333333"/>
                <w:sz w:val="20"/>
                <w:szCs w:val="20"/>
              </w:rPr>
              <w:t xml:space="preserve">The playbook ends at a date beyond any current business cycle. The point is not prediction — it is commitment. The consent infrastructure NOIZY builds in 2026 is designed to be the foundation that lasts. Not because NOIZY will exist in 500 years, but because the standards it establishes — consent, provenance, attribution, sovereignty — are the permanent minimum for a civilization that respects human creativity.</w:t>
            </w:r>
          </w:p>
        </w:tc>
      </w:tr>
    </w:tbl>
    <w:p>
      <w:pPr>
        <w:spacing w:before="80"/>
      </w:pPr>
    </w:p>
    <w:p>
      <w:pPr>
        <w:spacing w:before="60" w:after="80"/>
      </w:pPr>
      <w:r>
        <w:rPr>
          <w:rFonts w:ascii="Arial" w:cs="Arial" w:eastAsia="Arial" w:hAnsi="Arial"/>
          <w:color w:val="333333"/>
          <w:sz w:val="22"/>
          <w:szCs w:val="22"/>
        </w:rPr>
        <w:t xml:space="preserve">Five epoch sequence of the Human Voice Signature global vision:</w:t>
      </w:r>
    </w:p>
    <w:p>
      <w:pPr>
        <w:pStyle w:val="ListParagraph"/>
        <w:numPr>
          <w:ilvl w:val="0"/>
          <w:numId w:val="1"/>
        </w:numPr>
        <w:spacing w:before="40" w:after="40"/>
      </w:pPr>
      <w:r>
        <w:rPr>
          <w:rFonts w:ascii="Arial" w:cs="Arial" w:eastAsia="Arial" w:hAnsi="Arial"/>
          <w:color w:val="333333"/>
          <w:sz w:val="21"/>
          <w:szCs w:val="21"/>
        </w:rPr>
        <w:t xml:space="preserve">Epoch 1 (2026–2030): Canada lighthouse · EU compliance proof · Series A · 1,000 Voice Estates</w:t>
      </w:r>
    </w:p>
    <w:p>
      <w:pPr>
        <w:pStyle w:val="ListParagraph"/>
        <w:numPr>
          <w:ilvl w:val="0"/>
          <w:numId w:val="1"/>
        </w:numPr>
        <w:spacing w:before="40" w:after="40"/>
      </w:pPr>
      <w:r>
        <w:rPr>
          <w:rFonts w:ascii="Arial" w:cs="Arial" w:eastAsia="Arial" w:hAnsi="Arial"/>
          <w:color w:val="333333"/>
          <w:sz w:val="21"/>
          <w:szCs w:val="21"/>
        </w:rPr>
        <w:t xml:space="preserve">Epoch 2 (2030–2035): Creator Data Union · IETF/W3C standard ratified · 50,000 Dreamers</w:t>
      </w:r>
    </w:p>
    <w:p>
      <w:pPr>
        <w:pStyle w:val="ListParagraph"/>
        <w:numPr>
          <w:ilvl w:val="0"/>
          <w:numId w:val="1"/>
        </w:numPr>
        <w:spacing w:before="40" w:after="40"/>
      </w:pPr>
      <w:r>
        <w:rPr>
          <w:rFonts w:ascii="Arial" w:cs="Arial" w:eastAsia="Arial" w:hAnsi="Arial"/>
          <w:color w:val="333333"/>
          <w:sz w:val="21"/>
          <w:szCs w:val="21"/>
        </w:rPr>
        <w:t xml:space="preserve">Epoch 3 (2035–2045): Global Guild of Artists · HVS as enterprise standard · 1M+ Voice Estates</w:t>
      </w:r>
    </w:p>
    <w:p>
      <w:pPr>
        <w:pStyle w:val="ListParagraph"/>
        <w:numPr>
          <w:ilvl w:val="0"/>
          <w:numId w:val="1"/>
        </w:numPr>
        <w:spacing w:before="40" w:after="40"/>
      </w:pPr>
      <w:r>
        <w:rPr>
          <w:rFonts w:ascii="Arial" w:cs="Arial" w:eastAsia="Arial" w:hAnsi="Arial"/>
          <w:color w:val="333333"/>
          <w:sz w:val="21"/>
          <w:szCs w:val="21"/>
        </w:rPr>
        <w:t xml:space="preserve">Epoch 4 (2045–2100): HVS embedded in global IP law · Inheritance rights standard · institutional governance</w:t>
      </w:r>
    </w:p>
    <w:p>
      <w:pPr>
        <w:pStyle w:val="ListParagraph"/>
        <w:numPr>
          <w:ilvl w:val="0"/>
          <w:numId w:val="1"/>
        </w:numPr>
        <w:spacing w:before="40" w:after="40"/>
      </w:pPr>
      <w:r>
        <w:rPr>
          <w:rFonts w:ascii="Arial" w:cs="Arial" w:eastAsia="Arial" w:hAnsi="Arial"/>
          <w:color w:val="333333"/>
          <w:sz w:val="21"/>
          <w:szCs w:val="21"/>
        </w:rPr>
        <w:t xml:space="preserve">Epoch 5 (2100–2526): Human Voice Signature becomes a universal right, like literacy</w:t>
      </w:r>
    </w:p>
    <w:p>
      <w:pPr>
        <w:spacing w:before="80"/>
      </w:pPr>
    </w:p>
    <w:p>
      <w:pPr>
        <w:spacing w:before="480" w:after="160"/>
        <w:jc w:val="center"/>
      </w:pPr>
      <w:r>
        <w:rPr>
          <w:rFonts w:ascii="Arial" w:cs="Arial" w:eastAsia="Arial" w:hAnsi="Arial"/>
          <w:b/>
          <w:bCs/>
          <w:color w:val="111111"/>
          <w:sz w:val="28"/>
          <w:szCs w:val="28"/>
        </w:rPr>
        <w:t xml:space="preserve">"We didn't build AI to replace artists.</w:t>
      </w:r>
    </w:p>
    <w:p>
      <w:pPr>
        <w:spacing w:before="0" w:after="480"/>
        <w:jc w:val="center"/>
      </w:pPr>
      <w:r>
        <w:rPr>
          <w:rFonts w:ascii="Arial" w:cs="Arial" w:eastAsia="Arial" w:hAnsi="Arial"/>
          <w:b/>
          <w:bCs/>
          <w:color w:val="C89B2A"/>
          <w:sz w:val="28"/>
          <w:szCs w:val="28"/>
        </w:rPr>
        <w:t xml:space="preserve">We built it to finally listen to them."</w:t>
      </w:r>
    </w:p>
    <w:p>
      <w:pPr>
        <w:spacing w:before="0" w:after="0"/>
        <w:jc w:val="center"/>
      </w:pPr>
      <w:r>
        <w:rPr>
          <w:rFonts w:ascii="Arial" w:cs="Arial" w:eastAsia="Arial" w:hAnsi="Arial"/>
          <w:color w:val="4A6080"/>
          <w:sz w:val="18"/>
          <w:szCs w:val="18"/>
        </w:rPr>
        <w:t xml:space="preserve">RSP_001 · Fish Music Inc. · Ottawa, Canada · GORUNFREE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11111"/>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2222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2026-03-19T01:54:56.161Z</dcterms:created>
  <dcterms:modified xsi:type="dcterms:W3CDTF">2026-03-19T01:54:56.161Z</dcterms:modified>
</cp:coreProperties>
</file>

<file path=docProps/custom.xml><?xml version="1.0" encoding="utf-8"?>
<Properties xmlns="http://schemas.openxmlformats.org/officeDocument/2006/custom-properties" xmlns:vt="http://schemas.openxmlformats.org/officeDocument/2006/docPropsVTypes"/>
</file>