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80" w:after="80"/>
        <w:jc w:val="center"/>
      </w:pPr>
      <w:r>
        <w:rPr>
          <w:rFonts w:ascii="Arial" w:cs="Arial" w:eastAsia="Arial" w:hAnsi="Arial"/>
          <w:b/>
          <w:bCs/>
          <w:color w:val="111111"/>
          <w:sz w:val="64"/>
          <w:szCs w:val="64"/>
        </w:rPr>
        <w:t xml:space="preserve">NOIZY</w:t>
      </w:r>
    </w:p>
    <w:p>
      <w:pPr>
        <w:spacing w:before="0" w:after="80"/>
        <w:jc w:val="center"/>
      </w:pPr>
      <w:r>
        <w:rPr>
          <w:rFonts w:ascii="Arial" w:cs="Arial" w:eastAsia="Arial" w:hAnsi="Arial"/>
          <w:b/>
          <w:bCs/>
          <w:color w:val="0A8B7D"/>
          <w:sz w:val="34"/>
          <w:szCs w:val="34"/>
        </w:rPr>
        <w:t xml:space="preserve">Indigenous Co-Design Protocol</w:t>
      </w:r>
    </w:p>
    <w:p>
      <w:pPr>
        <w:spacing w:before="0" w:after="80"/>
        <w:jc w:val="center"/>
      </w:pPr>
      <w:r>
        <w:rPr>
          <w:rFonts w:ascii="Arial" w:cs="Arial" w:eastAsia="Arial" w:hAnsi="Arial"/>
          <w:i/>
          <w:iCs/>
          <w:color w:val="4A6080"/>
          <w:sz w:val="22"/>
          <w:szCs w:val="22"/>
        </w:rPr>
        <w:t xml:space="preserve">Protocole de co-conception avec les peuples autochtones</w:t>
      </w:r>
    </w:p>
    <w:p>
      <w:pPr>
        <w:spacing w:before="80" w:after="80"/>
        <w:jc w:val="center"/>
      </w:pPr>
      <w:r>
        <w:rPr>
          <w:rFonts w:ascii="Arial" w:cs="Arial" w:eastAsia="Arial" w:hAnsi="Arial"/>
          <w:color w:val="4A6080"/>
          <w:sz w:val="18"/>
          <w:szCs w:val="18"/>
        </w:rPr>
        <w:t xml:space="preserve">Version 1.0 · March 2026 · For community review and revision</w:t>
      </w:r>
    </w:p>
    <w:p>
      <w:pPr>
        <w:spacing w:before="0" w:after="1080"/>
        <w:jc w:val="center"/>
      </w:pPr>
      <w:r>
        <w:rPr>
          <w:rFonts w:ascii="Arial" w:cs="Arial" w:eastAsia="Arial" w:hAnsi="Arial"/>
          <w:color w:val="4A6080"/>
          <w:sz w:val="18"/>
          <w:szCs w:val="18"/>
        </w:rPr>
        <w:t xml:space="preserve">Fish Music Inc. · NOIZYFISH INC. · Ottawa, Canada · rp@fishmusicinc.com</w:t>
      </w:r>
    </w:p>
    <w:p>
      <w:pPr>
        <w:pBdr>
          <w:bottom w:color="E0E0E0" w:sz="4"/>
        </w:pBdr>
        <w:spacing w:before="160" w:after="160"/>
      </w:pPr>
    </w:p>
    <w:p>
      <w:pPr>
        <w:pStyle w:val="Heading1"/>
      </w:pPr>
      <w:r>
        <w:rPr>
          <w:rFonts w:ascii="Arial" w:cs="Arial" w:eastAsia="Arial" w:hAnsi="Arial"/>
          <w:b/>
          <w:bCs/>
          <w:color w:val="111111"/>
          <w:sz w:val="36"/>
          <w:szCs w:val="36"/>
        </w:rPr>
        <w:t xml:space="preserve">Preamble — Why This Protocol Exists</w:t>
      </w:r>
    </w:p>
    <w:tbl>
      <w:tblPr>
        <w:tblW w:type="dxa" w:w="9360"/>
        <w:tblBorders>
          <w:top w:color="auto" w:sz="0"/>
          <w:left w:color="auto" w:sz="0"/>
          <w:bottom w:color="auto" w:sz="0"/>
          <w:right w:color="auto" w:sz="0"/>
          <w:insideH w:val="single" w:color="auto" w:sz="4"/>
          <w:insideV w:val="single" w:color="auto" w:sz="4"/>
        </w:tblBorders>
      </w:tblPr>
      <w:tblGrid>
        <w:gridCol w:w="100"/>
        <w:gridCol w:w="100"/>
      </w:tblGrid>
      <w:tr>
        <w:tc>
          <w:tcPr>
            <w:tcW w:type="dxa" w:w="120"/>
            <w:tcBorders>
              <w:top w:color="auto" w:sz="0"/>
              <w:left w:color="auto" w:sz="0"/>
              <w:bottom w:color="auto" w:sz="0"/>
              <w:right w:color="auto" w:sz="0"/>
            </w:tcBorders>
            <w:shd w:color="0A8B7D" w:val="solid"/>
          </w:tcPr>
          <w:p/>
        </w:tc>
        <w:tc>
          <w:tcPr>
            <w:tcBorders>
              <w:top w:color="auto" w:sz="0"/>
              <w:left w:color="auto" w:sz="0"/>
              <w:bottom w:color="auto" w:sz="0"/>
              <w:right w:color="auto" w:sz="0"/>
            </w:tcBorders>
            <w:shd w:color="EAF5F3" w:val="solid"/>
            <w:tcMar>
              <w:top w:type="dxa" w:w="120"/>
              <w:left w:type="dxa" w:w="200"/>
              <w:bottom w:type="dxa" w:w="120"/>
              <w:right w:type="dxa" w:w="200"/>
            </w:tcMar>
          </w:tcPr>
          <w:p>
            <w:r>
              <w:rPr>
                <w:rFonts w:ascii="Arial" w:cs="Arial" w:eastAsia="Arial" w:hAnsi="Arial"/>
                <w:i/>
                <w:iCs/>
                <w:color w:val="333333"/>
                <w:sz w:val="20"/>
                <w:szCs w:val="20"/>
              </w:rPr>
              <w:t xml:space="preserve">This protocol is not a legal document crafted by NOIZY to govern Indigenous communities. It is a co-design scaffold — a starting point for conversation. Every provision is offered, not imposed. Communities revise, reject, or expand any provision. The final protocol is theirs.</w:t>
            </w:r>
          </w:p>
        </w:tc>
      </w:tr>
    </w:tbl>
    <w:p>
      <w:pPr>
        <w:spacing w:before="80"/>
      </w:pPr>
    </w:p>
    <w:p>
      <w:pPr>
        <w:spacing w:before="60" w:after="80"/>
      </w:pPr>
      <w:r>
        <w:rPr>
          <w:rFonts w:ascii="Arial" w:cs="Arial" w:eastAsia="Arial" w:hAnsi="Arial"/>
          <w:color w:val="333333"/>
          <w:sz w:val="22"/>
          <w:szCs w:val="22"/>
        </w:rPr>
        <w:t xml:space="preserve">We begin from the position that NOIZY does not have the right to engage with Indigenous cultural sound simply because the technology exists. That right must be earned through relationship, granted through consent, and renewed through accountability.</w:t>
      </w:r>
    </w:p>
    <w:p>
      <w:pPr>
        <w:spacing w:before="40" w:after="60"/>
        <w:ind w:left="360"/>
      </w:pPr>
      <w:r>
        <w:rPr>
          <w:rFonts w:ascii="Arial" w:cs="Arial" w:eastAsia="Arial" w:hAnsi="Arial"/>
          <w:i/>
          <w:iCs/>
          <w:color w:val="4A6080"/>
          <w:sz w:val="20"/>
          <w:szCs w:val="20"/>
        </w:rPr>
        <w:t xml:space="preserve">Nous partons du principe que NOIZY n'a pas le droit d'utiliser les sons culturels autochtones simplement parce que la technologie existe. Ce droit doit être mérité par la relation, accordé par le consentement et renouvelé par la responsabilité.</w:t>
      </w:r>
    </w:p>
    <w:p>
      <w:pPr>
        <w:spacing w:before="80"/>
      </w:pPr>
    </w:p>
    <w:p>
      <w:pPr>
        <w:spacing w:before="60" w:after="80"/>
      </w:pPr>
      <w:r>
        <w:rPr>
          <w:rFonts w:ascii="Arial" w:cs="Arial" w:eastAsia="Arial" w:hAnsi="Arial"/>
          <w:color w:val="333333"/>
          <w:sz w:val="22"/>
          <w:szCs w:val="22"/>
        </w:rPr>
        <w:t xml:space="preserve">The Principle of FPIC: Free, Prior, and Informed Consent is not a checkbox — it is a relationship protocol. 'Free' means without coercion. 'Prior' means before any recording or collection. 'Informed' means full disclosure of how sounds will be used, by whom, and under what technical conditions.</w:t>
      </w:r>
    </w:p>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The Eight Co-Design Stages</w:t>
      </w:r>
    </w:p>
    <w:p>
      <w:pPr>
        <w:spacing w:before="60" w:after="80"/>
      </w:pPr>
      <w:r>
        <w:rPr>
          <w:rFonts w:ascii="Arial" w:cs="Arial" w:eastAsia="Arial" w:hAnsi="Arial"/>
          <w:color w:val="4A6080"/>
          <w:sz w:val="18"/>
          <w:szCs w:val="18"/>
        </w:rPr>
        <w:t xml:space="preserve">Each stage must be completed before proceeding to the next. No stage can be skipped. If a community declines at any stage, the process stops and NOIZY accepts that decision without appeal.</w:t>
      </w:r>
    </w:p>
    <w:p>
      <w:pPr>
        <w:spacing w:before="120"/>
      </w:pPr>
    </w:p>
    <w:tbl>
      <w:tblPr>
        <w:tblW w:type="dxa" w:w="9360"/>
        <w:tblBorders>
          <w:top w:color="auto" w:sz="0"/>
          <w:left w:color="auto" w:sz="0"/>
          <w:bottom w:color="auto" w:sz="0"/>
          <w:right w:color="auto" w:sz="0"/>
          <w:insideH w:val="single" w:color="auto" w:sz="4"/>
          <w:insideV w:val="single" w:color="auto" w:sz="4"/>
        </w:tblBorders>
      </w:tblPr>
      <w:tblGrid>
        <w:gridCol w:w="100"/>
        <w:gridCol w:w="100"/>
        <w:gridCol w:w="100"/>
      </w:tblGrid>
      <w:tr>
        <w:tc>
          <w:tcPr>
            <w:tcW w:type="dxa" w:w="700"/>
            <w:tcBorders>
              <w:top w:color="auto" w:sz="0"/>
              <w:left w:color="auto" w:sz="0"/>
              <w:bottom w:color="auto" w:sz="0"/>
              <w:right w:color="auto" w:sz="0"/>
            </w:tcBorders>
            <w:shd w:color="3B6D11" w:val="solid"/>
            <w:tcMar>
              <w:top w:type="dxa" w:w="100"/>
              <w:left w:type="dxa" w:w="140"/>
              <w:bottom w:type="dxa" w:w="100"/>
              <w:right w:type="dxa" w:w="100"/>
            </w:tcMar>
          </w:tcPr>
          <w:p>
            <w:pPr>
              <w:jc w:val="center"/>
            </w:pPr>
            <w:r>
              <w:rPr>
                <w:rFonts w:ascii="Arial" w:cs="Arial" w:eastAsia="Arial" w:hAnsi="Arial"/>
                <w:b/>
                <w:bCs/>
                <w:color w:val="FFFFFF"/>
                <w:sz w:val="22"/>
                <w:szCs w:val="22"/>
              </w:rPr>
              <w:t xml:space="preserve">01</w:t>
            </w:r>
          </w:p>
        </w:tc>
        <w:tc>
          <w:tcPr>
            <w:tcW w:type="dxa" w:w="2800"/>
            <w:tcBorders>
              <w:top w:color="auto" w:sz="0"/>
              <w:left w:color="auto" w:sz="0"/>
              <w:bottom w:color="auto" w:sz="0"/>
              <w:right w:color="auto" w:sz="0"/>
            </w:tcBorders>
            <w:shd w:color="F8F8F8" w:val="solid"/>
            <w:tcMar>
              <w:top w:type="dxa" w:w="100"/>
              <w:left w:type="dxa" w:w="160"/>
              <w:bottom w:type="dxa" w:w="100"/>
              <w:right w:type="dxa" w:w="100"/>
            </w:tcMar>
          </w:tcPr>
          <w:p>
            <w:r>
              <w:rPr>
                <w:rFonts w:ascii="Arial" w:cs="Arial" w:eastAsia="Arial" w:hAnsi="Arial"/>
                <w:b/>
                <w:bCs/>
                <w:color w:val="111111"/>
                <w:sz w:val="21"/>
                <w:szCs w:val="21"/>
              </w:rPr>
              <w:t xml:space="preserve">First Contact</w:t>
            </w:r>
          </w:p>
          <w:p>
            <w:r>
              <w:rPr>
                <w:rFonts w:ascii="Arial" w:cs="Arial" w:eastAsia="Arial" w:hAnsi="Arial"/>
                <w:i/>
                <w:iCs/>
                <w:color w:val="4A6080"/>
                <w:sz w:val="18"/>
                <w:szCs w:val="18"/>
              </w:rPr>
              <w:t xml:space="preserve">NOIZY initiates</w:t>
            </w:r>
          </w:p>
        </w:tc>
        <w:tc>
          <w:tcPr>
            <w:tcBorders>
              <w:top w:color="auto" w:sz="0"/>
              <w:left w:color="auto" w:sz="0"/>
              <w:bottom w:color="auto" w:sz="0"/>
              <w:right w:color="auto" w:sz="0"/>
            </w:tcBorders>
            <w:tcMar>
              <w:top w:type="dxa" w:w="100"/>
              <w:left w:type="dxa" w:w="160"/>
              <w:bottom w:type="dxa" w:w="100"/>
              <w:right w:type="dxa" w:w="100"/>
            </w:tcMar>
          </w:tcPr>
          <w:p>
            <w:r>
              <w:rPr>
                <w:rFonts w:ascii="Arial" w:cs="Arial" w:eastAsia="Arial" w:hAnsi="Arial"/>
                <w:color w:val="444444"/>
                <w:sz w:val="19"/>
                <w:szCs w:val="19"/>
              </w:rPr>
              <w:t xml:space="preserve">Written outreach to identified cultural liaison. Purpose stated plainly. No data collected. No recording requested. Meeting arranged on community terms.</w:t>
            </w:r>
          </w:p>
        </w:tc>
      </w:tr>
    </w:tbl>
    <w:p>
      <w:pPr>
        <w:spacing w:before="40"/>
      </w:pPr>
    </w:p>
    <w:tbl>
      <w:tblPr>
        <w:tblW w:type="dxa" w:w="9360"/>
        <w:tblBorders>
          <w:top w:color="auto" w:sz="0"/>
          <w:left w:color="auto" w:sz="0"/>
          <w:bottom w:color="auto" w:sz="0"/>
          <w:right w:color="auto" w:sz="0"/>
          <w:insideH w:val="single" w:color="auto" w:sz="4"/>
          <w:insideV w:val="single" w:color="auto" w:sz="4"/>
        </w:tblBorders>
      </w:tblPr>
      <w:tblGrid>
        <w:gridCol w:w="100"/>
        <w:gridCol w:w="100"/>
        <w:gridCol w:w="100"/>
      </w:tblGrid>
      <w:tr>
        <w:tc>
          <w:tcPr>
            <w:tcW w:type="dxa" w:w="700"/>
            <w:tcBorders>
              <w:top w:color="auto" w:sz="0"/>
              <w:left w:color="auto" w:sz="0"/>
              <w:bottom w:color="auto" w:sz="0"/>
              <w:right w:color="auto" w:sz="0"/>
            </w:tcBorders>
            <w:shd w:color="0A8B7D" w:val="solid"/>
            <w:tcMar>
              <w:top w:type="dxa" w:w="100"/>
              <w:left w:type="dxa" w:w="140"/>
              <w:bottom w:type="dxa" w:w="100"/>
              <w:right w:type="dxa" w:w="100"/>
            </w:tcMar>
          </w:tcPr>
          <w:p>
            <w:pPr>
              <w:jc w:val="center"/>
            </w:pPr>
            <w:r>
              <w:rPr>
                <w:rFonts w:ascii="Arial" w:cs="Arial" w:eastAsia="Arial" w:hAnsi="Arial"/>
                <w:b/>
                <w:bCs/>
                <w:color w:val="FFFFFF"/>
                <w:sz w:val="22"/>
                <w:szCs w:val="22"/>
              </w:rPr>
              <w:t xml:space="preserve">02</w:t>
            </w:r>
          </w:p>
        </w:tc>
        <w:tc>
          <w:tcPr>
            <w:tcW w:type="dxa" w:w="2800"/>
            <w:tcBorders>
              <w:top w:color="auto" w:sz="0"/>
              <w:left w:color="auto" w:sz="0"/>
              <w:bottom w:color="auto" w:sz="0"/>
              <w:right w:color="auto" w:sz="0"/>
            </w:tcBorders>
            <w:shd w:color="F8F8F8" w:val="solid"/>
            <w:tcMar>
              <w:top w:type="dxa" w:w="100"/>
              <w:left w:type="dxa" w:w="160"/>
              <w:bottom w:type="dxa" w:w="100"/>
              <w:right w:type="dxa" w:w="100"/>
            </w:tcMar>
          </w:tcPr>
          <w:p>
            <w:r>
              <w:rPr>
                <w:rFonts w:ascii="Arial" w:cs="Arial" w:eastAsia="Arial" w:hAnsi="Arial"/>
                <w:b/>
                <w:bCs/>
                <w:color w:val="111111"/>
                <w:sz w:val="21"/>
                <w:szCs w:val="21"/>
              </w:rPr>
              <w:t xml:space="preserve">Listening Session</w:t>
            </w:r>
          </w:p>
          <w:p>
            <w:r>
              <w:rPr>
                <w:rFonts w:ascii="Arial" w:cs="Arial" w:eastAsia="Arial" w:hAnsi="Arial"/>
                <w:i/>
                <w:iCs/>
                <w:color w:val="4A6080"/>
                <w:sz w:val="18"/>
                <w:szCs w:val="18"/>
              </w:rPr>
              <w:t xml:space="preserve">Community leads</w:t>
            </w:r>
          </w:p>
        </w:tc>
        <w:tc>
          <w:tcPr>
            <w:tcBorders>
              <w:top w:color="auto" w:sz="0"/>
              <w:left w:color="auto" w:sz="0"/>
              <w:bottom w:color="auto" w:sz="0"/>
              <w:right w:color="auto" w:sz="0"/>
            </w:tcBorders>
            <w:tcMar>
              <w:top w:type="dxa" w:w="100"/>
              <w:left w:type="dxa" w:w="160"/>
              <w:bottom w:type="dxa" w:w="100"/>
              <w:right w:type="dxa" w:w="100"/>
            </w:tcMar>
          </w:tcPr>
          <w:p>
            <w:r>
              <w:rPr>
                <w:rFonts w:ascii="Arial" w:cs="Arial" w:eastAsia="Arial" w:hAnsi="Arial"/>
                <w:color w:val="444444"/>
                <w:sz w:val="19"/>
                <w:szCs w:val="19"/>
              </w:rPr>
              <w:t xml:space="preserve">Community describes its relationship to its sounds. NOIZY listens. No technical discussion. No products pitched. Notes shared back for community review.</w:t>
            </w:r>
          </w:p>
        </w:tc>
      </w:tr>
    </w:tbl>
    <w:p>
      <w:pPr>
        <w:spacing w:before="40"/>
      </w:pPr>
    </w:p>
    <w:tbl>
      <w:tblPr>
        <w:tblW w:type="dxa" w:w="9360"/>
        <w:tblBorders>
          <w:top w:color="auto" w:sz="0"/>
          <w:left w:color="auto" w:sz="0"/>
          <w:bottom w:color="auto" w:sz="0"/>
          <w:right w:color="auto" w:sz="0"/>
          <w:insideH w:val="single" w:color="auto" w:sz="4"/>
          <w:insideV w:val="single" w:color="auto" w:sz="4"/>
        </w:tblBorders>
      </w:tblPr>
      <w:tblGrid>
        <w:gridCol w:w="100"/>
        <w:gridCol w:w="100"/>
        <w:gridCol w:w="100"/>
      </w:tblGrid>
      <w:tr>
        <w:tc>
          <w:tcPr>
            <w:tcW w:type="dxa" w:w="700"/>
            <w:tcBorders>
              <w:top w:color="auto" w:sz="0"/>
              <w:left w:color="auto" w:sz="0"/>
              <w:bottom w:color="auto" w:sz="0"/>
              <w:right w:color="auto" w:sz="0"/>
            </w:tcBorders>
            <w:shd w:color="5B52C4" w:val="solid"/>
            <w:tcMar>
              <w:top w:type="dxa" w:w="100"/>
              <w:left w:type="dxa" w:w="140"/>
              <w:bottom w:type="dxa" w:w="100"/>
              <w:right w:type="dxa" w:w="100"/>
            </w:tcMar>
          </w:tcPr>
          <w:p>
            <w:pPr>
              <w:jc w:val="center"/>
            </w:pPr>
            <w:r>
              <w:rPr>
                <w:rFonts w:ascii="Arial" w:cs="Arial" w:eastAsia="Arial" w:hAnsi="Arial"/>
                <w:b/>
                <w:bCs/>
                <w:color w:val="FFFFFF"/>
                <w:sz w:val="22"/>
                <w:szCs w:val="22"/>
              </w:rPr>
              <w:t xml:space="preserve">03</w:t>
            </w:r>
          </w:p>
        </w:tc>
        <w:tc>
          <w:tcPr>
            <w:tcW w:type="dxa" w:w="2800"/>
            <w:tcBorders>
              <w:top w:color="auto" w:sz="0"/>
              <w:left w:color="auto" w:sz="0"/>
              <w:bottom w:color="auto" w:sz="0"/>
              <w:right w:color="auto" w:sz="0"/>
            </w:tcBorders>
            <w:shd w:color="F8F8F8" w:val="solid"/>
            <w:tcMar>
              <w:top w:type="dxa" w:w="100"/>
              <w:left w:type="dxa" w:w="160"/>
              <w:bottom w:type="dxa" w:w="100"/>
              <w:right w:type="dxa" w:w="100"/>
            </w:tcMar>
          </w:tcPr>
          <w:p>
            <w:r>
              <w:rPr>
                <w:rFonts w:ascii="Arial" w:cs="Arial" w:eastAsia="Arial" w:hAnsi="Arial"/>
                <w:b/>
                <w:bCs/>
                <w:color w:val="111111"/>
                <w:sz w:val="21"/>
                <w:szCs w:val="21"/>
              </w:rPr>
              <w:t xml:space="preserve">Cultural Director Designation</w:t>
            </w:r>
          </w:p>
          <w:p>
            <w:r>
              <w:rPr>
                <w:rFonts w:ascii="Arial" w:cs="Arial" w:eastAsia="Arial" w:hAnsi="Arial"/>
                <w:i/>
                <w:iCs/>
                <w:color w:val="4A6080"/>
                <w:sz w:val="18"/>
                <w:szCs w:val="18"/>
              </w:rPr>
              <w:t xml:space="preserve">Community designates</w:t>
            </w:r>
          </w:p>
        </w:tc>
        <w:tc>
          <w:tcPr>
            <w:tcBorders>
              <w:top w:color="auto" w:sz="0"/>
              <w:left w:color="auto" w:sz="0"/>
              <w:bottom w:color="auto" w:sz="0"/>
              <w:right w:color="auto" w:sz="0"/>
            </w:tcBorders>
            <w:tcMar>
              <w:top w:type="dxa" w:w="100"/>
              <w:left w:type="dxa" w:w="160"/>
              <w:bottom w:type="dxa" w:w="100"/>
              <w:right w:type="dxa" w:w="100"/>
            </w:tcMar>
          </w:tcPr>
          <w:p>
            <w:r>
              <w:rPr>
                <w:rFonts w:ascii="Arial" w:cs="Arial" w:eastAsia="Arial" w:hAnsi="Arial"/>
                <w:color w:val="444444"/>
                <w:sz w:val="19"/>
                <w:szCs w:val="19"/>
              </w:rPr>
              <w:t xml:space="preserve">Community identifies its Cultural Director (and deputies if desired). This person has signing authority for all subsequent consent events. NOIZY accepts this authority without question.</w:t>
            </w:r>
          </w:p>
        </w:tc>
      </w:tr>
    </w:tbl>
    <w:p>
      <w:pPr>
        <w:spacing w:before="40"/>
      </w:pPr>
    </w:p>
    <w:tbl>
      <w:tblPr>
        <w:tblW w:type="dxa" w:w="9360"/>
        <w:tblBorders>
          <w:top w:color="auto" w:sz="0"/>
          <w:left w:color="auto" w:sz="0"/>
          <w:bottom w:color="auto" w:sz="0"/>
          <w:right w:color="auto" w:sz="0"/>
          <w:insideH w:val="single" w:color="auto" w:sz="4"/>
          <w:insideV w:val="single" w:color="auto" w:sz="4"/>
        </w:tblBorders>
      </w:tblPr>
      <w:tblGrid>
        <w:gridCol w:w="100"/>
        <w:gridCol w:w="100"/>
        <w:gridCol w:w="100"/>
      </w:tblGrid>
      <w:tr>
        <w:tc>
          <w:tcPr>
            <w:tcW w:type="dxa" w:w="700"/>
            <w:tcBorders>
              <w:top w:color="auto" w:sz="0"/>
              <w:left w:color="auto" w:sz="0"/>
              <w:bottom w:color="auto" w:sz="0"/>
              <w:right w:color="auto" w:sz="0"/>
            </w:tcBorders>
            <w:shd w:color="C89B2A" w:val="solid"/>
            <w:tcMar>
              <w:top w:type="dxa" w:w="100"/>
              <w:left w:type="dxa" w:w="140"/>
              <w:bottom w:type="dxa" w:w="100"/>
              <w:right w:type="dxa" w:w="100"/>
            </w:tcMar>
          </w:tcPr>
          <w:p>
            <w:pPr>
              <w:jc w:val="center"/>
            </w:pPr>
            <w:r>
              <w:rPr>
                <w:rFonts w:ascii="Arial" w:cs="Arial" w:eastAsia="Arial" w:hAnsi="Arial"/>
                <w:b/>
                <w:bCs/>
                <w:color w:val="FFFFFF"/>
                <w:sz w:val="22"/>
                <w:szCs w:val="22"/>
              </w:rPr>
              <w:t xml:space="preserve">04</w:t>
            </w:r>
          </w:p>
        </w:tc>
        <w:tc>
          <w:tcPr>
            <w:tcW w:type="dxa" w:w="2800"/>
            <w:tcBorders>
              <w:top w:color="auto" w:sz="0"/>
              <w:left w:color="auto" w:sz="0"/>
              <w:bottom w:color="auto" w:sz="0"/>
              <w:right w:color="auto" w:sz="0"/>
            </w:tcBorders>
            <w:shd w:color="F8F8F8" w:val="solid"/>
            <w:tcMar>
              <w:top w:type="dxa" w:w="100"/>
              <w:left w:type="dxa" w:w="160"/>
              <w:bottom w:type="dxa" w:w="100"/>
              <w:right w:type="dxa" w:w="100"/>
            </w:tcMar>
          </w:tcPr>
          <w:p>
            <w:r>
              <w:rPr>
                <w:rFonts w:ascii="Arial" w:cs="Arial" w:eastAsia="Arial" w:hAnsi="Arial"/>
                <w:b/>
                <w:bCs/>
                <w:color w:val="111111"/>
                <w:sz w:val="21"/>
                <w:szCs w:val="21"/>
              </w:rPr>
              <w:t xml:space="preserve">Co-Design Workshop</w:t>
            </w:r>
          </w:p>
          <w:p>
            <w:r>
              <w:rPr>
                <w:rFonts w:ascii="Arial" w:cs="Arial" w:eastAsia="Arial" w:hAnsi="Arial"/>
                <w:i/>
                <w:iCs/>
                <w:color w:val="4A6080"/>
                <w:sz w:val="18"/>
                <w:szCs w:val="18"/>
              </w:rPr>
              <w:t xml:space="preserve">Joint</w:t>
            </w:r>
          </w:p>
        </w:tc>
        <w:tc>
          <w:tcPr>
            <w:tcBorders>
              <w:top w:color="auto" w:sz="0"/>
              <w:left w:color="auto" w:sz="0"/>
              <w:bottom w:color="auto" w:sz="0"/>
              <w:right w:color="auto" w:sz="0"/>
            </w:tcBorders>
            <w:tcMar>
              <w:top w:type="dxa" w:w="100"/>
              <w:left w:type="dxa" w:w="160"/>
              <w:bottom w:type="dxa" w:w="100"/>
              <w:right w:type="dxa" w:w="100"/>
            </w:tcMar>
          </w:tcPr>
          <w:p>
            <w:r>
              <w:rPr>
                <w:rFonts w:ascii="Arial" w:cs="Arial" w:eastAsia="Arial" w:hAnsi="Arial"/>
                <w:color w:val="444444"/>
                <w:sz w:val="19"/>
                <w:szCs w:val="19"/>
              </w:rPr>
              <w:t xml:space="preserve">NOIZY presents the three-tier consent system (Public, Cultural, Sacred). Community members propose modifications, additions, or rejections. All modifications are binding. Facilitated in the community's preferred language(s).</w:t>
            </w:r>
          </w:p>
        </w:tc>
      </w:tr>
    </w:tbl>
    <w:p>
      <w:pPr>
        <w:spacing w:before="40"/>
      </w:pPr>
    </w:p>
    <w:tbl>
      <w:tblPr>
        <w:tblW w:type="dxa" w:w="9360"/>
        <w:tblBorders>
          <w:top w:color="auto" w:sz="0"/>
          <w:left w:color="auto" w:sz="0"/>
          <w:bottom w:color="auto" w:sz="0"/>
          <w:right w:color="auto" w:sz="0"/>
          <w:insideH w:val="single" w:color="auto" w:sz="4"/>
          <w:insideV w:val="single" w:color="auto" w:sz="4"/>
        </w:tblBorders>
      </w:tblPr>
      <w:tblGrid>
        <w:gridCol w:w="100"/>
        <w:gridCol w:w="100"/>
        <w:gridCol w:w="100"/>
      </w:tblGrid>
      <w:tr>
        <w:tc>
          <w:tcPr>
            <w:tcW w:type="dxa" w:w="700"/>
            <w:tcBorders>
              <w:top w:color="auto" w:sz="0"/>
              <w:left w:color="auto" w:sz="0"/>
              <w:bottom w:color="auto" w:sz="0"/>
              <w:right w:color="auto" w:sz="0"/>
            </w:tcBorders>
            <w:shd w:color="C4524A" w:val="solid"/>
            <w:tcMar>
              <w:top w:type="dxa" w:w="100"/>
              <w:left w:type="dxa" w:w="140"/>
              <w:bottom w:type="dxa" w:w="100"/>
              <w:right w:type="dxa" w:w="100"/>
            </w:tcMar>
          </w:tcPr>
          <w:p>
            <w:pPr>
              <w:jc w:val="center"/>
            </w:pPr>
            <w:r>
              <w:rPr>
                <w:rFonts w:ascii="Arial" w:cs="Arial" w:eastAsia="Arial" w:hAnsi="Arial"/>
                <w:b/>
                <w:bCs/>
                <w:color w:val="FFFFFF"/>
                <w:sz w:val="22"/>
                <w:szCs w:val="22"/>
              </w:rPr>
              <w:t xml:space="preserve">05</w:t>
            </w:r>
          </w:p>
        </w:tc>
        <w:tc>
          <w:tcPr>
            <w:tcW w:type="dxa" w:w="2800"/>
            <w:tcBorders>
              <w:top w:color="auto" w:sz="0"/>
              <w:left w:color="auto" w:sz="0"/>
              <w:bottom w:color="auto" w:sz="0"/>
              <w:right w:color="auto" w:sz="0"/>
            </w:tcBorders>
            <w:shd w:color="F8F8F8" w:val="solid"/>
            <w:tcMar>
              <w:top w:type="dxa" w:w="100"/>
              <w:left w:type="dxa" w:w="160"/>
              <w:bottom w:type="dxa" w:w="100"/>
              <w:right w:type="dxa" w:w="100"/>
            </w:tcMar>
          </w:tcPr>
          <w:p>
            <w:r>
              <w:rPr>
                <w:rFonts w:ascii="Arial" w:cs="Arial" w:eastAsia="Arial" w:hAnsi="Arial"/>
                <w:b/>
                <w:bCs/>
                <w:color w:val="111111"/>
                <w:sz w:val="21"/>
                <w:szCs w:val="21"/>
              </w:rPr>
              <w:t xml:space="preserve">Consent Tier Assignment</w:t>
            </w:r>
          </w:p>
          <w:p>
            <w:r>
              <w:rPr>
                <w:rFonts w:ascii="Arial" w:cs="Arial" w:eastAsia="Arial" w:hAnsi="Arial"/>
                <w:i/>
                <w:iCs/>
                <w:color w:val="4A6080"/>
                <w:sz w:val="18"/>
                <w:szCs w:val="18"/>
              </w:rPr>
              <w:t xml:space="preserve">Cultural Director leads</w:t>
            </w:r>
          </w:p>
        </w:tc>
        <w:tc>
          <w:tcPr>
            <w:tcBorders>
              <w:top w:color="auto" w:sz="0"/>
              <w:left w:color="auto" w:sz="0"/>
              <w:bottom w:color="auto" w:sz="0"/>
              <w:right w:color="auto" w:sz="0"/>
            </w:tcBorders>
            <w:tcMar>
              <w:top w:type="dxa" w:w="100"/>
              <w:left w:type="dxa" w:w="160"/>
              <w:bottom w:type="dxa" w:w="100"/>
              <w:right w:type="dxa" w:w="100"/>
            </w:tcMar>
          </w:tcPr>
          <w:p>
            <w:r>
              <w:rPr>
                <w:rFonts w:ascii="Arial" w:cs="Arial" w:eastAsia="Arial" w:hAnsi="Arial"/>
                <w:color w:val="444444"/>
                <w:sz w:val="19"/>
                <w:szCs w:val="19"/>
              </w:rPr>
              <w:t xml:space="preserve">For each sound type, community and Cultural Director assign the appropriate consent tier. Sacred tier assignment is final and irrevocable by NOIZY — it can only be changed by the community.</w:t>
            </w:r>
          </w:p>
        </w:tc>
      </w:tr>
    </w:tbl>
    <w:p>
      <w:pPr>
        <w:spacing w:before="40"/>
      </w:pPr>
    </w:p>
    <w:tbl>
      <w:tblPr>
        <w:tblW w:type="dxa" w:w="9360"/>
        <w:tblBorders>
          <w:top w:color="auto" w:sz="0"/>
          <w:left w:color="auto" w:sz="0"/>
          <w:bottom w:color="auto" w:sz="0"/>
          <w:right w:color="auto" w:sz="0"/>
          <w:insideH w:val="single" w:color="auto" w:sz="4"/>
          <w:insideV w:val="single" w:color="auto" w:sz="4"/>
        </w:tblBorders>
      </w:tblPr>
      <w:tblGrid>
        <w:gridCol w:w="100"/>
        <w:gridCol w:w="100"/>
        <w:gridCol w:w="100"/>
      </w:tblGrid>
      <w:tr>
        <w:tc>
          <w:tcPr>
            <w:tcW w:type="dxa" w:w="700"/>
            <w:tcBorders>
              <w:top w:color="auto" w:sz="0"/>
              <w:left w:color="auto" w:sz="0"/>
              <w:bottom w:color="auto" w:sz="0"/>
              <w:right w:color="auto" w:sz="0"/>
            </w:tcBorders>
            <w:shd w:color="2A6FAD" w:val="solid"/>
            <w:tcMar>
              <w:top w:type="dxa" w:w="100"/>
              <w:left w:type="dxa" w:w="140"/>
              <w:bottom w:type="dxa" w:w="100"/>
              <w:right w:type="dxa" w:w="100"/>
            </w:tcMar>
          </w:tcPr>
          <w:p>
            <w:pPr>
              <w:jc w:val="center"/>
            </w:pPr>
            <w:r>
              <w:rPr>
                <w:rFonts w:ascii="Arial" w:cs="Arial" w:eastAsia="Arial" w:hAnsi="Arial"/>
                <w:b/>
                <w:bCs/>
                <w:color w:val="FFFFFF"/>
                <w:sz w:val="22"/>
                <w:szCs w:val="22"/>
              </w:rPr>
              <w:t xml:space="preserve">06</w:t>
            </w:r>
          </w:p>
        </w:tc>
        <w:tc>
          <w:tcPr>
            <w:tcW w:type="dxa" w:w="2800"/>
            <w:tcBorders>
              <w:top w:color="auto" w:sz="0"/>
              <w:left w:color="auto" w:sz="0"/>
              <w:bottom w:color="auto" w:sz="0"/>
              <w:right w:color="auto" w:sz="0"/>
            </w:tcBorders>
            <w:shd w:color="F8F8F8" w:val="solid"/>
            <w:tcMar>
              <w:top w:type="dxa" w:w="100"/>
              <w:left w:type="dxa" w:w="160"/>
              <w:bottom w:type="dxa" w:w="100"/>
              <w:right w:type="dxa" w:w="100"/>
            </w:tcMar>
          </w:tcPr>
          <w:p>
            <w:r>
              <w:rPr>
                <w:rFonts w:ascii="Arial" w:cs="Arial" w:eastAsia="Arial" w:hAnsi="Arial"/>
                <w:b/>
                <w:bCs/>
                <w:color w:val="111111"/>
                <w:sz w:val="21"/>
                <w:szCs w:val="21"/>
              </w:rPr>
              <w:t xml:space="preserve">Governance Agreement</w:t>
            </w:r>
          </w:p>
          <w:p>
            <w:r>
              <w:rPr>
                <w:rFonts w:ascii="Arial" w:cs="Arial" w:eastAsia="Arial" w:hAnsi="Arial"/>
                <w:i/>
                <w:iCs/>
                <w:color w:val="4A6080"/>
                <w:sz w:val="18"/>
                <w:szCs w:val="18"/>
              </w:rPr>
              <w:t xml:space="preserve">Joint drafting</w:t>
            </w:r>
          </w:p>
        </w:tc>
        <w:tc>
          <w:tcPr>
            <w:tcBorders>
              <w:top w:color="auto" w:sz="0"/>
              <w:left w:color="auto" w:sz="0"/>
              <w:bottom w:color="auto" w:sz="0"/>
              <w:right w:color="auto" w:sz="0"/>
            </w:tcBorders>
            <w:tcMar>
              <w:top w:type="dxa" w:w="100"/>
              <w:left w:type="dxa" w:w="160"/>
              <w:bottom w:type="dxa" w:w="100"/>
              <w:right w:type="dxa" w:w="100"/>
            </w:tcMar>
          </w:tcPr>
          <w:p>
            <w:r>
              <w:rPr>
                <w:rFonts w:ascii="Arial" w:cs="Arial" w:eastAsia="Arial" w:hAnsi="Arial"/>
                <w:color w:val="444444"/>
                <w:sz w:val="19"/>
                <w:szCs w:val="19"/>
              </w:rPr>
              <w:t xml:space="preserve">A written agreement is produced covering: attribution requirements, royalty routing (individual or community pool), revocation rights, audit access, review cadence, and dispute pathway. Community's legal counsel reviews if requested (NOIZY covers cost).</w:t>
            </w:r>
          </w:p>
        </w:tc>
      </w:tr>
    </w:tbl>
    <w:p>
      <w:pPr>
        <w:spacing w:before="40"/>
      </w:pPr>
    </w:p>
    <w:tbl>
      <w:tblPr>
        <w:tblW w:type="dxa" w:w="9360"/>
        <w:tblBorders>
          <w:top w:color="auto" w:sz="0"/>
          <w:left w:color="auto" w:sz="0"/>
          <w:bottom w:color="auto" w:sz="0"/>
          <w:right w:color="auto" w:sz="0"/>
          <w:insideH w:val="single" w:color="auto" w:sz="4"/>
          <w:insideV w:val="single" w:color="auto" w:sz="4"/>
        </w:tblBorders>
      </w:tblPr>
      <w:tblGrid>
        <w:gridCol w:w="100"/>
        <w:gridCol w:w="100"/>
        <w:gridCol w:w="100"/>
      </w:tblGrid>
      <w:tr>
        <w:tc>
          <w:tcPr>
            <w:tcW w:type="dxa" w:w="700"/>
            <w:tcBorders>
              <w:top w:color="auto" w:sz="0"/>
              <w:left w:color="auto" w:sz="0"/>
              <w:bottom w:color="auto" w:sz="0"/>
              <w:right w:color="auto" w:sz="0"/>
            </w:tcBorders>
            <w:shd w:color="639922" w:val="solid"/>
            <w:tcMar>
              <w:top w:type="dxa" w:w="100"/>
              <w:left w:type="dxa" w:w="140"/>
              <w:bottom w:type="dxa" w:w="100"/>
              <w:right w:type="dxa" w:w="100"/>
            </w:tcMar>
          </w:tcPr>
          <w:p>
            <w:pPr>
              <w:jc w:val="center"/>
            </w:pPr>
            <w:r>
              <w:rPr>
                <w:rFonts w:ascii="Arial" w:cs="Arial" w:eastAsia="Arial" w:hAnsi="Arial"/>
                <w:b/>
                <w:bCs/>
                <w:color w:val="FFFFFF"/>
                <w:sz w:val="22"/>
                <w:szCs w:val="22"/>
              </w:rPr>
              <w:t xml:space="preserve">07</w:t>
            </w:r>
          </w:p>
        </w:tc>
        <w:tc>
          <w:tcPr>
            <w:tcW w:type="dxa" w:w="2800"/>
            <w:tcBorders>
              <w:top w:color="auto" w:sz="0"/>
              <w:left w:color="auto" w:sz="0"/>
              <w:bottom w:color="auto" w:sz="0"/>
              <w:right w:color="auto" w:sz="0"/>
            </w:tcBorders>
            <w:shd w:color="F8F8F8" w:val="solid"/>
            <w:tcMar>
              <w:top w:type="dxa" w:w="100"/>
              <w:left w:type="dxa" w:w="160"/>
              <w:bottom w:type="dxa" w:w="100"/>
              <w:right w:type="dxa" w:w="100"/>
            </w:tcMar>
          </w:tcPr>
          <w:p>
            <w:r>
              <w:rPr>
                <w:rFonts w:ascii="Arial" w:cs="Arial" w:eastAsia="Arial" w:hAnsi="Arial"/>
                <w:b/>
                <w:bCs/>
                <w:color w:val="111111"/>
                <w:sz w:val="21"/>
                <w:szCs w:val="21"/>
              </w:rPr>
              <w:t xml:space="preserve">Technical Integration</w:t>
            </w:r>
          </w:p>
          <w:p>
            <w:r>
              <w:rPr>
                <w:rFonts w:ascii="Arial" w:cs="Arial" w:eastAsia="Arial" w:hAnsi="Arial"/>
                <w:i/>
                <w:iCs/>
                <w:color w:val="4A6080"/>
                <w:sz w:val="18"/>
                <w:szCs w:val="18"/>
              </w:rPr>
              <w:t xml:space="preserve">NOIZY executes</w:t>
            </w:r>
          </w:p>
        </w:tc>
        <w:tc>
          <w:tcPr>
            <w:tcBorders>
              <w:top w:color="auto" w:sz="0"/>
              <w:left w:color="auto" w:sz="0"/>
              <w:bottom w:color="auto" w:sz="0"/>
              <w:right w:color="auto" w:sz="0"/>
            </w:tcBorders>
            <w:tcMar>
              <w:top w:type="dxa" w:w="100"/>
              <w:left w:type="dxa" w:w="160"/>
              <w:bottom w:type="dxa" w:w="100"/>
              <w:right w:type="dxa" w:w="100"/>
            </w:tcMar>
          </w:tcPr>
          <w:p>
            <w:r>
              <w:rPr>
                <w:rFonts w:ascii="Arial" w:cs="Arial" w:eastAsia="Arial" w:hAnsi="Arial"/>
                <w:color w:val="444444"/>
                <w:sz w:val="19"/>
                <w:szCs w:val="19"/>
              </w:rPr>
              <w:t xml:space="preserve">SHIRL enters consent records per the agreement. NOIZY PROOF manifests are configured per community specifications. Community representative reviews first five manifests before full integration proceeds.</w:t>
            </w:r>
          </w:p>
        </w:tc>
      </w:tr>
    </w:tbl>
    <w:p>
      <w:pPr>
        <w:spacing w:before="40"/>
      </w:pPr>
    </w:p>
    <w:tbl>
      <w:tblPr>
        <w:tblW w:type="dxa" w:w="9360"/>
        <w:tblBorders>
          <w:top w:color="auto" w:sz="0"/>
          <w:left w:color="auto" w:sz="0"/>
          <w:bottom w:color="auto" w:sz="0"/>
          <w:right w:color="auto" w:sz="0"/>
          <w:insideH w:val="single" w:color="auto" w:sz="4"/>
          <w:insideV w:val="single" w:color="auto" w:sz="4"/>
        </w:tblBorders>
      </w:tblPr>
      <w:tblGrid>
        <w:gridCol w:w="100"/>
        <w:gridCol w:w="100"/>
        <w:gridCol w:w="100"/>
      </w:tblGrid>
      <w:tr>
        <w:tc>
          <w:tcPr>
            <w:tcW w:type="dxa" w:w="700"/>
            <w:tcBorders>
              <w:top w:color="auto" w:sz="0"/>
              <w:left w:color="auto" w:sz="0"/>
              <w:bottom w:color="auto" w:sz="0"/>
              <w:right w:color="auto" w:sz="0"/>
            </w:tcBorders>
            <w:shd w:color="C89B2A" w:val="solid"/>
            <w:tcMar>
              <w:top w:type="dxa" w:w="100"/>
              <w:left w:type="dxa" w:w="140"/>
              <w:bottom w:type="dxa" w:w="100"/>
              <w:right w:type="dxa" w:w="100"/>
            </w:tcMar>
          </w:tcPr>
          <w:p>
            <w:pPr>
              <w:jc w:val="center"/>
            </w:pPr>
            <w:r>
              <w:rPr>
                <w:rFonts w:ascii="Arial" w:cs="Arial" w:eastAsia="Arial" w:hAnsi="Arial"/>
                <w:b/>
                <w:bCs/>
                <w:color w:val="FFFFFF"/>
                <w:sz w:val="22"/>
                <w:szCs w:val="22"/>
              </w:rPr>
              <w:t xml:space="preserve">08</w:t>
            </w:r>
          </w:p>
        </w:tc>
        <w:tc>
          <w:tcPr>
            <w:tcW w:type="dxa" w:w="2800"/>
            <w:tcBorders>
              <w:top w:color="auto" w:sz="0"/>
              <w:left w:color="auto" w:sz="0"/>
              <w:bottom w:color="auto" w:sz="0"/>
              <w:right w:color="auto" w:sz="0"/>
            </w:tcBorders>
            <w:shd w:color="F8F8F8" w:val="solid"/>
            <w:tcMar>
              <w:top w:type="dxa" w:w="100"/>
              <w:left w:type="dxa" w:w="160"/>
              <w:bottom w:type="dxa" w:w="100"/>
              <w:right w:type="dxa" w:w="100"/>
            </w:tcMar>
          </w:tcPr>
          <w:p>
            <w:r>
              <w:rPr>
                <w:rFonts w:ascii="Arial" w:cs="Arial" w:eastAsia="Arial" w:hAnsi="Arial"/>
                <w:b/>
                <w:bCs/>
                <w:color w:val="111111"/>
                <w:sz w:val="21"/>
                <w:szCs w:val="21"/>
              </w:rPr>
              <w:t xml:space="preserve">Ongoing Relationship</w:t>
            </w:r>
          </w:p>
          <w:p>
            <w:r>
              <w:rPr>
                <w:rFonts w:ascii="Arial" w:cs="Arial" w:eastAsia="Arial" w:hAnsi="Arial"/>
                <w:i/>
                <w:iCs/>
                <w:color w:val="4A6080"/>
                <w:sz w:val="18"/>
                <w:szCs w:val="18"/>
              </w:rPr>
              <w:t xml:space="preserve">Continuous</w:t>
            </w:r>
          </w:p>
        </w:tc>
        <w:tc>
          <w:tcPr>
            <w:tcBorders>
              <w:top w:color="auto" w:sz="0"/>
              <w:left w:color="auto" w:sz="0"/>
              <w:bottom w:color="auto" w:sz="0"/>
              <w:right w:color="auto" w:sz="0"/>
            </w:tcBorders>
            <w:tcMar>
              <w:top w:type="dxa" w:w="100"/>
              <w:left w:type="dxa" w:w="160"/>
              <w:bottom w:type="dxa" w:w="100"/>
              <w:right w:type="dxa" w:w="100"/>
            </w:tcMar>
          </w:tcPr>
          <w:p>
            <w:r>
              <w:rPr>
                <w:rFonts w:ascii="Arial" w:cs="Arial" w:eastAsia="Arial" w:hAnsi="Arial"/>
                <w:color w:val="444444"/>
                <w:sz w:val="19"/>
                <w:szCs w:val="19"/>
              </w:rPr>
              <w:t xml:space="preserve">Quarterly check-ins (or as community prefers). Annual review of agreement terms. Community may revoke participation at any time. All sounds removed within 30 days of community-level revocation.</w:t>
            </w:r>
          </w:p>
        </w:tc>
      </w:tr>
    </w:tbl>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Consent Tier Definitions — Community-Revised</w:t>
      </w:r>
    </w:p>
    <w:tbl>
      <w:tblPr>
        <w:tblW w:type="dxa" w:w="9360"/>
        <w:tblBorders>
          <w:top w:color="auto" w:sz="0"/>
          <w:left w:color="auto" w:sz="0"/>
          <w:bottom w:color="auto" w:sz="0"/>
          <w:right w:color="auto" w:sz="0"/>
          <w:insideH w:val="single" w:color="auto" w:sz="4"/>
          <w:insideV w:val="single" w:color="auto" w:sz="4"/>
        </w:tblBorders>
      </w:tblPr>
      <w:tblGrid>
        <w:gridCol w:w="100"/>
        <w:gridCol w:w="100"/>
      </w:tblGrid>
      <w:tr>
        <w:tc>
          <w:tcPr>
            <w:tcW w:type="dxa" w:w="120"/>
            <w:tcBorders>
              <w:top w:color="auto" w:sz="0"/>
              <w:left w:color="auto" w:sz="0"/>
              <w:bottom w:color="auto" w:sz="0"/>
              <w:right w:color="auto" w:sz="0"/>
            </w:tcBorders>
            <w:shd w:color="C89B2A" w:val="solid"/>
          </w:tcPr>
          <w:p/>
        </w:tc>
        <w:tc>
          <w:tcPr>
            <w:tcBorders>
              <w:top w:color="auto" w:sz="0"/>
              <w:left w:color="auto" w:sz="0"/>
              <w:bottom w:color="auto" w:sz="0"/>
              <w:right w:color="auto" w:sz="0"/>
            </w:tcBorders>
            <w:shd w:color="FFFBE6" w:val="solid"/>
            <w:tcMar>
              <w:top w:type="dxa" w:w="120"/>
              <w:left w:type="dxa" w:w="200"/>
              <w:bottom w:type="dxa" w:w="120"/>
              <w:right w:type="dxa" w:w="200"/>
            </w:tcMar>
          </w:tcPr>
          <w:p>
            <w:r>
              <w:rPr>
                <w:rFonts w:ascii="Arial" w:cs="Arial" w:eastAsia="Arial" w:hAnsi="Arial"/>
                <w:i/>
                <w:iCs/>
                <w:color w:val="333333"/>
                <w:sz w:val="20"/>
                <w:szCs w:val="20"/>
              </w:rPr>
              <w:t xml:space="preserve">These definitions are a starting point. Communities revise them during Stage 04. The community's definitions supersede these.</w:t>
            </w:r>
          </w:p>
        </w:tc>
      </w:tr>
    </w:tbl>
    <w:p>
      <w:pPr>
        <w:spacing w:before="80"/>
      </w:pPr>
    </w:p>
    <w:p>
      <w:pPr>
        <w:spacing w:before="200" w:after="80"/>
      </w:pPr>
      <w:r>
        <w:rPr>
          <w:rFonts w:ascii="Arial" w:cs="Arial" w:eastAsia="Arial" w:hAnsi="Arial"/>
          <w:b/>
          <w:bCs/>
          <w:color w:val="3B6D11"/>
          <w:sz w:val="22"/>
          <w:szCs w:val="22"/>
        </w:rPr>
        <w:t xml:space="preserve">Public Tier</w:t>
      </w:r>
    </w:p>
    <w:p>
      <w:pPr>
        <w:spacing w:before="60" w:after="80"/>
      </w:pPr>
      <w:r>
        <w:rPr>
          <w:rFonts w:ascii="Arial" w:cs="Arial" w:eastAsia="Arial" w:hAnsi="Arial"/>
          <w:color w:val="333333"/>
          <w:sz w:val="22"/>
          <w:szCs w:val="22"/>
        </w:rPr>
        <w:t xml:space="preserve">Sounds the community has approved for general licensing with attribution. Permitted uses, territories, and durations are specified in the Governance Agreement. Attribution to the community (not just individual creators) is mandatory. Royalties flow per agreed routing.</w:t>
      </w:r>
    </w:p>
    <w:p>
      <w:pPr>
        <w:spacing w:before="40" w:after="60"/>
        <w:ind w:left="360"/>
      </w:pPr>
      <w:r>
        <w:rPr>
          <w:rFonts w:ascii="Arial" w:cs="Arial" w:eastAsia="Arial" w:hAnsi="Arial"/>
          <w:i/>
          <w:iCs/>
          <w:color w:val="4A6080"/>
          <w:sz w:val="20"/>
          <w:szCs w:val="20"/>
        </w:rPr>
        <w:t xml:space="preserve">Sons approuvés par la communauté pour une licence générale avec attribution.</w:t>
      </w:r>
    </w:p>
    <w:p>
      <w:pPr>
        <w:pStyle w:val="ListParagraph"/>
        <w:numPr>
          <w:ilvl w:val="0"/>
          <w:numId w:val="1"/>
        </w:numPr>
        <w:spacing w:before="40" w:after="40"/>
      </w:pPr>
      <w:r>
        <w:rPr>
          <w:rFonts w:ascii="Arial" w:cs="Arial" w:eastAsia="Arial" w:hAnsi="Arial"/>
          <w:color w:val="333333"/>
          <w:sz w:val="21"/>
          <w:szCs w:val="21"/>
        </w:rPr>
        <w:t xml:space="preserve">AI usage: permitted per Governance Agreement</w:t>
      </w:r>
    </w:p>
    <w:p>
      <w:pPr>
        <w:pStyle w:val="ListParagraph"/>
        <w:numPr>
          <w:ilvl w:val="0"/>
          <w:numId w:val="1"/>
        </w:numPr>
        <w:spacing w:before="40" w:after="40"/>
      </w:pPr>
      <w:r>
        <w:rPr>
          <w:rFonts w:ascii="Arial" w:cs="Arial" w:eastAsia="Arial" w:hAnsi="Arial"/>
          <w:color w:val="333333"/>
          <w:sz w:val="21"/>
          <w:szCs w:val="21"/>
        </w:rPr>
        <w:t xml:space="preserve">Commercial use: permitted per Governance Agreement</w:t>
      </w:r>
    </w:p>
    <w:p>
      <w:pPr>
        <w:pStyle w:val="ListParagraph"/>
        <w:numPr>
          <w:ilvl w:val="0"/>
          <w:numId w:val="1"/>
        </w:numPr>
        <w:spacing w:before="40" w:after="40"/>
      </w:pPr>
      <w:r>
        <w:rPr>
          <w:rFonts w:ascii="Arial" w:cs="Arial" w:eastAsia="Arial" w:hAnsi="Arial"/>
          <w:color w:val="333333"/>
          <w:sz w:val="21"/>
          <w:szCs w:val="21"/>
        </w:rPr>
        <w:t xml:space="preserve">Attribution: community name + creator name, always</w:t>
      </w:r>
    </w:p>
    <w:p>
      <w:pPr>
        <w:pStyle w:val="ListParagraph"/>
        <w:numPr>
          <w:ilvl w:val="0"/>
          <w:numId w:val="1"/>
        </w:numPr>
        <w:spacing w:before="40" w:after="40"/>
      </w:pPr>
      <w:r>
        <w:rPr>
          <w:rFonts w:ascii="Arial" w:cs="Arial" w:eastAsia="Arial" w:hAnsi="Arial"/>
          <w:color w:val="333333"/>
          <w:sz w:val="21"/>
          <w:szCs w:val="21"/>
        </w:rPr>
        <w:t xml:space="preserve">Revocable: yes, with 90-day wind-down for existing licenses</w:t>
      </w:r>
    </w:p>
    <w:p>
      <w:pPr>
        <w:spacing w:before="80"/>
      </w:pPr>
    </w:p>
    <w:p>
      <w:pPr>
        <w:spacing w:before="200" w:after="80"/>
      </w:pPr>
      <w:r>
        <w:rPr>
          <w:rFonts w:ascii="Arial" w:cs="Arial" w:eastAsia="Arial" w:hAnsi="Arial"/>
          <w:b/>
          <w:bCs/>
          <w:color w:val="0A8B7D"/>
          <w:sz w:val="22"/>
          <w:szCs w:val="22"/>
        </w:rPr>
        <w:t xml:space="preserve">Cultural Tier</w:t>
      </w:r>
    </w:p>
    <w:p>
      <w:pPr>
        <w:spacing w:before="60" w:after="80"/>
      </w:pPr>
      <w:r>
        <w:rPr>
          <w:rFonts w:ascii="Arial" w:cs="Arial" w:eastAsia="Arial" w:hAnsi="Arial"/>
          <w:color w:val="333333"/>
          <w:sz w:val="22"/>
          <w:szCs w:val="22"/>
        </w:rPr>
        <w:t xml:space="preserve">Sounds that carry specific cultural meaning and require heightened care. Use is restricted to categories agreed in the Governance Agreement. Community receives usage reports quarterly. Cultural context must accompany every use.</w:t>
      </w:r>
    </w:p>
    <w:p>
      <w:pPr>
        <w:spacing w:before="40" w:after="60"/>
        <w:ind w:left="360"/>
      </w:pPr>
      <w:r>
        <w:rPr>
          <w:rFonts w:ascii="Arial" w:cs="Arial" w:eastAsia="Arial" w:hAnsi="Arial"/>
          <w:i/>
          <w:iCs/>
          <w:color w:val="4A6080"/>
          <w:sz w:val="20"/>
          <w:szCs w:val="20"/>
        </w:rPr>
        <w:t xml:space="preserve">Sons portant une signification culturelle spécifique nécessitant des soins accrus.</w:t>
      </w:r>
    </w:p>
    <w:p>
      <w:pPr>
        <w:pStyle w:val="ListParagraph"/>
        <w:numPr>
          <w:ilvl w:val="0"/>
          <w:numId w:val="1"/>
        </w:numPr>
        <w:spacing w:before="40" w:after="40"/>
      </w:pPr>
      <w:r>
        <w:rPr>
          <w:rFonts w:ascii="Arial" w:cs="Arial" w:eastAsia="Arial" w:hAnsi="Arial"/>
          <w:color w:val="333333"/>
          <w:sz w:val="21"/>
          <w:szCs w:val="21"/>
        </w:rPr>
        <w:t xml:space="preserve">AI usage: requires specific Cultural Director approval per use category</w:t>
      </w:r>
    </w:p>
    <w:p>
      <w:pPr>
        <w:pStyle w:val="ListParagraph"/>
        <w:numPr>
          <w:ilvl w:val="0"/>
          <w:numId w:val="1"/>
        </w:numPr>
        <w:spacing w:before="40" w:after="40"/>
      </w:pPr>
      <w:r>
        <w:rPr>
          <w:rFonts w:ascii="Arial" w:cs="Arial" w:eastAsia="Arial" w:hAnsi="Arial"/>
          <w:color w:val="333333"/>
          <w:sz w:val="21"/>
          <w:szCs w:val="21"/>
        </w:rPr>
        <w:t xml:space="preserve">Commercial use: community-defined terms only</w:t>
      </w:r>
    </w:p>
    <w:p>
      <w:pPr>
        <w:pStyle w:val="ListParagraph"/>
        <w:numPr>
          <w:ilvl w:val="0"/>
          <w:numId w:val="1"/>
        </w:numPr>
        <w:spacing w:before="40" w:after="40"/>
      </w:pPr>
      <w:r>
        <w:rPr>
          <w:rFonts w:ascii="Arial" w:cs="Arial" w:eastAsia="Arial" w:hAnsi="Arial"/>
          <w:color w:val="333333"/>
          <w:sz w:val="21"/>
          <w:szCs w:val="21"/>
        </w:rPr>
        <w:t xml:space="preserve">Attribution: community name + creator name + cultural context statement</w:t>
      </w:r>
    </w:p>
    <w:p>
      <w:pPr>
        <w:pStyle w:val="ListParagraph"/>
        <w:numPr>
          <w:ilvl w:val="0"/>
          <w:numId w:val="1"/>
        </w:numPr>
        <w:spacing w:before="40" w:after="40"/>
      </w:pPr>
      <w:r>
        <w:rPr>
          <w:rFonts w:ascii="Arial" w:cs="Arial" w:eastAsia="Arial" w:hAnsi="Arial"/>
          <w:color w:val="333333"/>
          <w:sz w:val="21"/>
          <w:szCs w:val="21"/>
        </w:rPr>
        <w:t xml:space="preserve">Revocable: yes, with immediate effect for new uses</w:t>
      </w:r>
    </w:p>
    <w:p>
      <w:pPr>
        <w:spacing w:before="80"/>
      </w:pPr>
    </w:p>
    <w:p>
      <w:pPr>
        <w:spacing w:before="200" w:after="80"/>
      </w:pPr>
      <w:r>
        <w:rPr>
          <w:rFonts w:ascii="Arial" w:cs="Arial" w:eastAsia="Arial" w:hAnsi="Arial"/>
          <w:b/>
          <w:bCs/>
          <w:color w:val="C4524A"/>
          <w:sz w:val="22"/>
          <w:szCs w:val="22"/>
        </w:rPr>
        <w:t xml:space="preserve">Sacred Tier</w:t>
      </w:r>
    </w:p>
    <w:p>
      <w:pPr>
        <w:spacing w:before="60" w:after="80"/>
      </w:pPr>
      <w:r>
        <w:rPr>
          <w:rFonts w:ascii="Arial" w:cs="Arial" w:eastAsia="Arial" w:hAnsi="Arial"/>
          <w:color w:val="333333"/>
          <w:sz w:val="22"/>
          <w:szCs w:val="22"/>
        </w:rPr>
        <w:t xml:space="preserve">Sounds the community designates as requiring absolute protection. No AI processing. No public licensing. No access by NOIZY systems — including GABRIEL. SHIRL's write-isolation at the Cloudflare Worker binding level means no NOIZY agent can modify this tier's protection status.</w:t>
      </w:r>
    </w:p>
    <w:p>
      <w:pPr>
        <w:spacing w:before="40" w:after="60"/>
        <w:ind w:left="360"/>
      </w:pPr>
      <w:r>
        <w:rPr>
          <w:rFonts w:ascii="Arial" w:cs="Arial" w:eastAsia="Arial" w:hAnsi="Arial"/>
          <w:i/>
          <w:iCs/>
          <w:color w:val="4A6080"/>
          <w:sz w:val="20"/>
          <w:szCs w:val="20"/>
        </w:rPr>
        <w:t xml:space="preserve">Sons désignés par la communauté comme nécessitant une protection absolue.</w:t>
      </w:r>
    </w:p>
    <w:p>
      <w:pPr>
        <w:pStyle w:val="ListParagraph"/>
        <w:numPr>
          <w:ilvl w:val="0"/>
          <w:numId w:val="1"/>
        </w:numPr>
        <w:spacing w:before="40" w:after="40"/>
      </w:pPr>
      <w:r>
        <w:rPr>
          <w:rFonts w:ascii="Arial" w:cs="Arial" w:eastAsia="Arial" w:hAnsi="Arial"/>
          <w:color w:val="333333"/>
          <w:sz w:val="21"/>
          <w:szCs w:val="21"/>
        </w:rPr>
        <w:t xml:space="preserve">AI usage: ABSOLUTE BLOCK — no exceptions, no overrides, no appeals</w:t>
      </w:r>
    </w:p>
    <w:p>
      <w:pPr>
        <w:pStyle w:val="ListParagraph"/>
        <w:numPr>
          <w:ilvl w:val="0"/>
          <w:numId w:val="1"/>
        </w:numPr>
        <w:spacing w:before="40" w:after="40"/>
      </w:pPr>
      <w:r>
        <w:rPr>
          <w:rFonts w:ascii="Arial" w:cs="Arial" w:eastAsia="Arial" w:hAnsi="Arial"/>
          <w:color w:val="333333"/>
          <w:sz w:val="21"/>
          <w:szCs w:val="21"/>
        </w:rPr>
        <w:t xml:space="preserve">Commercial use: PROHIBITED</w:t>
      </w:r>
    </w:p>
    <w:p>
      <w:pPr>
        <w:pStyle w:val="ListParagraph"/>
        <w:numPr>
          <w:ilvl w:val="0"/>
          <w:numId w:val="1"/>
        </w:numPr>
        <w:spacing w:before="40" w:after="40"/>
      </w:pPr>
      <w:r>
        <w:rPr>
          <w:rFonts w:ascii="Arial" w:cs="Arial" w:eastAsia="Arial" w:hAnsi="Arial"/>
          <w:color w:val="333333"/>
          <w:sz w:val="21"/>
          <w:szCs w:val="21"/>
        </w:rPr>
        <w:t xml:space="preserve">Public access: NONE</w:t>
      </w:r>
    </w:p>
    <w:p>
      <w:pPr>
        <w:pStyle w:val="ListParagraph"/>
        <w:numPr>
          <w:ilvl w:val="0"/>
          <w:numId w:val="1"/>
        </w:numPr>
        <w:spacing w:before="40" w:after="40"/>
      </w:pPr>
      <w:r>
        <w:rPr>
          <w:rFonts w:ascii="Arial" w:cs="Arial" w:eastAsia="Arial" w:hAnsi="Arial"/>
          <w:color w:val="333333"/>
          <w:sz w:val="21"/>
          <w:szCs w:val="21"/>
        </w:rPr>
        <w:t xml:space="preserve">Community control: sole and permanent</w:t>
      </w:r>
    </w:p>
    <w:tbl>
      <w:tblPr>
        <w:tblW w:type="dxa" w:w="9360"/>
        <w:tblBorders>
          <w:top w:color="auto" w:sz="0"/>
          <w:left w:color="auto" w:sz="0"/>
          <w:bottom w:color="auto" w:sz="0"/>
          <w:right w:color="auto" w:sz="0"/>
          <w:insideH w:val="single" w:color="auto" w:sz="4"/>
          <w:insideV w:val="single" w:color="auto" w:sz="4"/>
        </w:tblBorders>
      </w:tblPr>
      <w:tblGrid>
        <w:gridCol w:w="100"/>
        <w:gridCol w:w="100"/>
      </w:tblGrid>
      <w:tr>
        <w:tc>
          <w:tcPr>
            <w:tcW w:type="dxa" w:w="120"/>
            <w:tcBorders>
              <w:top w:color="auto" w:sz="0"/>
              <w:left w:color="auto" w:sz="0"/>
              <w:bottom w:color="auto" w:sz="0"/>
              <w:right w:color="auto" w:sz="0"/>
            </w:tcBorders>
            <w:shd w:color="C4524A" w:val="solid"/>
          </w:tcPr>
          <w:p/>
        </w:tc>
        <w:tc>
          <w:tcPr>
            <w:tcBorders>
              <w:top w:color="auto" w:sz="0"/>
              <w:left w:color="auto" w:sz="0"/>
              <w:bottom w:color="auto" w:sz="0"/>
              <w:right w:color="auto" w:sz="0"/>
            </w:tcBorders>
            <w:shd w:color="FBF0EF" w:val="solid"/>
            <w:tcMar>
              <w:top w:type="dxa" w:w="120"/>
              <w:left w:type="dxa" w:w="200"/>
              <w:bottom w:type="dxa" w:w="120"/>
              <w:right w:type="dxa" w:w="200"/>
            </w:tcMar>
          </w:tcPr>
          <w:p>
            <w:r>
              <w:rPr>
                <w:rFonts w:ascii="Arial" w:cs="Arial" w:eastAsia="Arial" w:hAnsi="Arial"/>
                <w:i/>
                <w:iCs/>
                <w:color w:val="333333"/>
                <w:sz w:val="20"/>
                <w:szCs w:val="20"/>
              </w:rPr>
              <w:t xml:space="preserve">Sacred tier designation is PERMANENT until changed by the community. NOIZY cannot remove or weaken Sacred tier designation under any circumstance, including investor pressure, legal demand, or technical limitation.</w:t>
            </w:r>
          </w:p>
        </w:tc>
      </w:tr>
    </w:tbl>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Specific Sound Category Provisions</w:t>
      </w:r>
    </w:p>
    <w:p>
      <w:pPr>
        <w:spacing w:before="200" w:after="80"/>
      </w:pPr>
      <w:r>
        <w:rPr>
          <w:rFonts w:ascii="Arial" w:cs="Arial" w:eastAsia="Arial" w:hAnsi="Arial"/>
          <w:b/>
          <w:bCs/>
          <w:color w:val="0A8B7D"/>
          <w:sz w:val="22"/>
          <w:szCs w:val="22"/>
        </w:rPr>
        <w:t xml:space="preserve">Inuit Katajjaq and Throat Singing</w:t>
      </w:r>
    </w:p>
    <w:p>
      <w:pPr>
        <w:spacing w:before="60" w:after="80"/>
      </w:pPr>
      <w:r>
        <w:rPr>
          <w:rFonts w:ascii="Arial" w:cs="Arial" w:eastAsia="Arial" w:hAnsi="Arial"/>
          <w:color w:val="333333"/>
          <w:sz w:val="22"/>
          <w:szCs w:val="22"/>
        </w:rPr>
        <w:t xml:space="preserve">Automatically flagged for Sacred tier review before any other designation. Any recording of katajjaq or equivalent throat singing practices triggers an immediate SHIRL block pending Cultural Director review. This flag cannot be removed by AI systems. NOIZY defers entirely to Inuit community guidance on this category.</w:t>
      </w:r>
    </w:p>
    <w:p>
      <w:pPr>
        <w:spacing w:before="40" w:after="60"/>
        <w:ind w:left="360"/>
      </w:pPr>
      <w:r>
        <w:rPr>
          <w:rFonts w:ascii="Arial" w:cs="Arial" w:eastAsia="Arial" w:hAnsi="Arial"/>
          <w:i/>
          <w:iCs/>
          <w:color w:val="4A6080"/>
          <w:sz w:val="20"/>
          <w:szCs w:val="20"/>
        </w:rPr>
        <w:t xml:space="preserve">[Placeholder for Inuktitut translation — to be completed with Inuit community input]</w:t>
      </w:r>
    </w:p>
    <w:p>
      <w:pPr>
        <w:spacing w:before="200" w:after="80"/>
      </w:pPr>
      <w:r>
        <w:rPr>
          <w:rFonts w:ascii="Arial" w:cs="Arial" w:eastAsia="Arial" w:hAnsi="Arial"/>
          <w:b/>
          <w:bCs/>
          <w:color w:val="C4524A"/>
          <w:sz w:val="22"/>
          <w:szCs w:val="22"/>
        </w:rPr>
        <w:t xml:space="preserve">Ceremonial and Sacred Vocal Practices</w:t>
      </w:r>
    </w:p>
    <w:p>
      <w:pPr>
        <w:spacing w:before="60" w:after="80"/>
      </w:pPr>
      <w:r>
        <w:rPr>
          <w:rFonts w:ascii="Arial" w:cs="Arial" w:eastAsia="Arial" w:hAnsi="Arial"/>
          <w:color w:val="333333"/>
          <w:sz w:val="22"/>
          <w:szCs w:val="22"/>
        </w:rPr>
        <w:t xml:space="preserve">Any sound identified by the community as connected to ceremony, ritual, or spiritual practice is designated Sacred tier by default unless the community explicitly redesignates it. The burden of proof for a lower designation rests with the community's own decision, not with NOIZY's assessment.</w:t>
      </w:r>
    </w:p>
    <w:p>
      <w:pPr>
        <w:spacing w:before="200" w:after="80"/>
      </w:pPr>
      <w:r>
        <w:rPr>
          <w:rFonts w:ascii="Arial" w:cs="Arial" w:eastAsia="Arial" w:hAnsi="Arial"/>
          <w:b/>
          <w:bCs/>
          <w:color w:val="5B52C4"/>
          <w:sz w:val="22"/>
          <w:szCs w:val="22"/>
        </w:rPr>
        <w:t xml:space="preserve">Oral Histories and Storytelling</w:t>
      </w:r>
    </w:p>
    <w:p>
      <w:pPr>
        <w:spacing w:before="60" w:after="80"/>
      </w:pPr>
      <w:r>
        <w:rPr>
          <w:rFonts w:ascii="Arial" w:cs="Arial" w:eastAsia="Arial" w:hAnsi="Arial"/>
          <w:color w:val="333333"/>
          <w:sz w:val="22"/>
          <w:szCs w:val="22"/>
        </w:rPr>
        <w:t xml:space="preserve">Oral histories are Cultural tier by default. They carry the Cultural Director's review requirement. They may only be used in contexts that honor their narrative integrity — extracted clips or decontextualized use require explicit additional consent.</w:t>
      </w:r>
    </w:p>
    <w:p>
      <w:pPr>
        <w:spacing w:before="200" w:after="80"/>
      </w:pPr>
      <w:r>
        <w:rPr>
          <w:rFonts w:ascii="Arial" w:cs="Arial" w:eastAsia="Arial" w:hAnsi="Arial"/>
          <w:b/>
          <w:bCs/>
          <w:color w:val="3B6D11"/>
          <w:sz w:val="22"/>
          <w:szCs w:val="22"/>
        </w:rPr>
        <w:t xml:space="preserve">Community Songs and Contemporary Works</w:t>
      </w:r>
    </w:p>
    <w:p>
      <w:pPr>
        <w:spacing w:before="60" w:after="80"/>
      </w:pPr>
      <w:r>
        <w:rPr>
          <w:rFonts w:ascii="Arial" w:cs="Arial" w:eastAsia="Arial" w:hAnsi="Arial"/>
          <w:color w:val="333333"/>
          <w:sz w:val="22"/>
          <w:szCs w:val="22"/>
        </w:rPr>
        <w:t xml:space="preserve">Contemporary works by community members follow standard NOIZY creator consent protocols — the individual creator's consent governs, with community attribution added per the Governance Agreement. Communities may elect to add collective governance for works created in ceremonial or communal contexts.</w:t>
      </w:r>
    </w:p>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Economic Dignity Provisions</w:t>
      </w:r>
    </w:p>
    <w:p>
      <w:pPr>
        <w:spacing w:before="60" w:after="80"/>
      </w:pPr>
      <w:r>
        <w:rPr>
          <w:rFonts w:ascii="Arial" w:cs="Arial" w:eastAsia="Arial" w:hAnsi="Arial"/>
          <w:color w:val="333333"/>
          <w:sz w:val="22"/>
          <w:szCs w:val="22"/>
        </w:rPr>
        <w:t xml:space="preserve">Value created from community sounds returns to the community. The specific mechanism is community-defined.</w:t>
      </w:r>
    </w:p>
    <w:p>
      <w:pPr>
        <w:spacing w:before="80"/>
      </w:pPr>
    </w:p>
    <w:p>
      <w:pPr>
        <w:spacing w:before="200" w:after="80"/>
      </w:pPr>
      <w:r>
        <w:rPr>
          <w:rFonts w:ascii="Arial" w:cs="Arial" w:eastAsia="Arial" w:hAnsi="Arial"/>
          <w:b/>
          <w:bCs/>
          <w:color w:val="C89B2A"/>
          <w:sz w:val="22"/>
          <w:szCs w:val="22"/>
        </w:rPr>
        <w:t xml:space="preserve">Royalty Routing Options</w:t>
      </w:r>
    </w:p>
    <w:p>
      <w:pPr>
        <w:pStyle w:val="ListParagraph"/>
        <w:numPr>
          <w:ilvl w:val="0"/>
          <w:numId w:val="1"/>
        </w:numPr>
        <w:spacing w:before="40" w:after="40"/>
      </w:pPr>
      <w:r>
        <w:rPr>
          <w:rFonts w:ascii="Arial" w:cs="Arial" w:eastAsia="Arial" w:hAnsi="Arial"/>
          <w:color w:val="333333"/>
          <w:sz w:val="21"/>
          <w:szCs w:val="21"/>
        </w:rPr>
        <w:t xml:space="preserve">Individual routing: each creator receives their royalty directly via NOIZY payment systems</w:t>
      </w:r>
    </w:p>
    <w:p>
      <w:pPr>
        <w:pStyle w:val="ListParagraph"/>
        <w:numPr>
          <w:ilvl w:val="0"/>
          <w:numId w:val="1"/>
        </w:numPr>
        <w:spacing w:before="40" w:after="40"/>
      </w:pPr>
      <w:r>
        <w:rPr>
          <w:rFonts w:ascii="Arial" w:cs="Arial" w:eastAsia="Arial" w:hAnsi="Arial"/>
          <w:color w:val="333333"/>
          <w:sz w:val="21"/>
          <w:szCs w:val="21"/>
        </w:rPr>
        <w:t xml:space="preserve">Community pool: royalties aggregate to a designated community account, distributed per internal governance</w:t>
      </w:r>
    </w:p>
    <w:p>
      <w:pPr>
        <w:pStyle w:val="ListParagraph"/>
        <w:numPr>
          <w:ilvl w:val="0"/>
          <w:numId w:val="1"/>
        </w:numPr>
        <w:spacing w:before="40" w:after="40"/>
      </w:pPr>
      <w:r>
        <w:rPr>
          <w:rFonts w:ascii="Arial" w:cs="Arial" w:eastAsia="Arial" w:hAnsi="Arial"/>
          <w:color w:val="333333"/>
          <w:sz w:val="21"/>
          <w:szCs w:val="21"/>
        </w:rPr>
        <w:t xml:space="preserve">Mixed: individual creators receive a defined percentage, remainder to community pool</w:t>
      </w:r>
    </w:p>
    <w:p>
      <w:pPr>
        <w:pStyle w:val="ListParagraph"/>
        <w:numPr>
          <w:ilvl w:val="0"/>
          <w:numId w:val="1"/>
        </w:numPr>
        <w:spacing w:before="40" w:after="40"/>
      </w:pPr>
      <w:r>
        <w:rPr>
          <w:rFonts w:ascii="Arial" w:cs="Arial" w:eastAsia="Arial" w:hAnsi="Arial"/>
          <w:color w:val="333333"/>
          <w:sz w:val="21"/>
          <w:szCs w:val="21"/>
        </w:rPr>
        <w:t xml:space="preserve">Cultural fund: royalties directed to a designated cultural preservation or education initiative</w:t>
      </w:r>
    </w:p>
    <w:p>
      <w:pPr>
        <w:spacing w:before="60" w:after="80"/>
      </w:pPr>
      <w:r>
        <w:rPr>
          <w:rFonts w:ascii="Arial" w:cs="Arial" w:eastAsia="Arial" w:hAnsi="Arial"/>
          <w:color w:val="333333"/>
          <w:sz w:val="22"/>
          <w:szCs w:val="22"/>
        </w:rPr>
        <w:t xml:space="preserve">The community selects and may change its routing preference with 30 days notice. NOIZY implements the change within the notice period.</w:t>
      </w:r>
    </w:p>
    <w:p>
      <w:pPr>
        <w:spacing w:before="200" w:after="80"/>
      </w:pPr>
      <w:r>
        <w:rPr>
          <w:rFonts w:ascii="Arial" w:cs="Arial" w:eastAsia="Arial" w:hAnsi="Arial"/>
          <w:b/>
          <w:bCs/>
          <w:color w:val="0A8B7D"/>
          <w:sz w:val="22"/>
          <w:szCs w:val="22"/>
        </w:rPr>
        <w:t xml:space="preserve">Transparency Guarantees</w:t>
      </w:r>
    </w:p>
    <w:p>
      <w:pPr>
        <w:pStyle w:val="ListParagraph"/>
        <w:numPr>
          <w:ilvl w:val="0"/>
          <w:numId w:val="1"/>
        </w:numPr>
        <w:spacing w:before="40" w:after="40"/>
      </w:pPr>
      <w:r>
        <w:rPr>
          <w:rFonts w:ascii="Arial" w:cs="Arial" w:eastAsia="Arial" w:hAnsi="Arial"/>
          <w:color w:val="333333"/>
          <w:sz w:val="21"/>
          <w:szCs w:val="21"/>
        </w:rPr>
        <w:t xml:space="preserve">Quarterly usage reports: number of uses by category, territory, and licensee type</w:t>
      </w:r>
    </w:p>
    <w:p>
      <w:pPr>
        <w:pStyle w:val="ListParagraph"/>
        <w:numPr>
          <w:ilvl w:val="0"/>
          <w:numId w:val="1"/>
        </w:numPr>
        <w:spacing w:before="40" w:after="40"/>
      </w:pPr>
      <w:r>
        <w:rPr>
          <w:rFonts w:ascii="Arial" w:cs="Arial" w:eastAsia="Arial" w:hAnsi="Arial"/>
          <w:color w:val="333333"/>
          <w:sz w:val="21"/>
          <w:szCs w:val="21"/>
        </w:rPr>
        <w:t xml:space="preserve">Annual royalty reconciliation: total earned, total distributed, any held amounts with reason</w:t>
      </w:r>
    </w:p>
    <w:p>
      <w:pPr>
        <w:pStyle w:val="ListParagraph"/>
        <w:numPr>
          <w:ilvl w:val="0"/>
          <w:numId w:val="1"/>
        </w:numPr>
        <w:spacing w:before="40" w:after="40"/>
      </w:pPr>
      <w:r>
        <w:rPr>
          <w:rFonts w:ascii="Arial" w:cs="Arial" w:eastAsia="Arial" w:hAnsi="Arial"/>
          <w:color w:val="333333"/>
          <w:sz w:val="21"/>
          <w:szCs w:val="21"/>
        </w:rPr>
        <w:t xml:space="preserve">Ad hoc reports: any specific use inquiry answered within 15 business days</w:t>
      </w:r>
    </w:p>
    <w:p>
      <w:pPr>
        <w:pStyle w:val="ListParagraph"/>
        <w:numPr>
          <w:ilvl w:val="0"/>
          <w:numId w:val="1"/>
        </w:numPr>
        <w:spacing w:before="40" w:after="40"/>
      </w:pPr>
      <w:r>
        <w:rPr>
          <w:rFonts w:ascii="Arial" w:cs="Arial" w:eastAsia="Arial" w:hAnsi="Arial"/>
          <w:color w:val="333333"/>
          <w:sz w:val="21"/>
          <w:szCs w:val="21"/>
        </w:rPr>
        <w:t xml:space="preserve">Audit access: Cultural Director may request full usage log export at any time</w:t>
      </w:r>
    </w:p>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Language and Naming Provisions</w:t>
      </w:r>
    </w:p>
    <w:p>
      <w:pPr>
        <w:spacing w:before="60" w:after="80"/>
      </w:pPr>
      <w:r>
        <w:rPr>
          <w:rFonts w:ascii="Arial" w:cs="Arial" w:eastAsia="Arial" w:hAnsi="Arial"/>
          <w:color w:val="333333"/>
          <w:sz w:val="22"/>
          <w:szCs w:val="22"/>
        </w:rPr>
        <w:t xml:space="preserve">NOIZY does not name, describe, or categorize Indigenous sounds without community review. This applies to metadata, UI labels, marketing copy, and technical documentation.</w:t>
      </w:r>
    </w:p>
    <w:p>
      <w:pPr>
        <w:spacing w:before="80"/>
      </w:pPr>
    </w:p>
    <w:p>
      <w:pPr>
        <w:spacing w:before="200" w:after="80"/>
      </w:pPr>
      <w:r>
        <w:rPr>
          <w:rFonts w:ascii="Arial" w:cs="Arial" w:eastAsia="Arial" w:hAnsi="Arial"/>
          <w:b/>
          <w:bCs/>
          <w:color w:val="5B52C4"/>
          <w:sz w:val="22"/>
          <w:szCs w:val="22"/>
        </w:rPr>
        <w:t xml:space="preserve">Indigenous Language Placeholders</w:t>
      </w:r>
    </w:p>
    <w:tbl>
      <w:tblPr>
        <w:tblW w:type="dxa" w:w="9360"/>
        <w:tblBorders>
          <w:top w:color="auto" w:sz="0"/>
          <w:left w:color="auto" w:sz="0"/>
          <w:bottom w:color="auto" w:sz="0"/>
          <w:right w:color="auto" w:sz="0"/>
          <w:insideH w:val="single" w:color="auto" w:sz="4"/>
          <w:insideV w:val="single" w:color="auto" w:sz="4"/>
        </w:tblBorders>
      </w:tblPr>
      <w:tblGrid>
        <w:gridCol w:w="100"/>
        <w:gridCol w:w="100"/>
        <w:gridCol w:w="100"/>
      </w:tblGrid>
      <w:tr>
        <w:tc>
          <w:tcPr>
            <w:tcW w:type="dxa" w:w="2400"/>
            <w:tcBorders>
              <w:top w:color="auto" w:sz="0"/>
              <w:left w:color="auto" w:sz="0"/>
              <w:bottom w:color="auto" w:sz="0"/>
              <w:right w:color="auto" w:sz="0"/>
            </w:tcBorders>
            <w:shd w:color="F0F4F8" w:val="solid"/>
            <w:tcMar>
              <w:top w:type="dxa" w:w="80"/>
              <w:left w:type="dxa" w:w="120"/>
              <w:bottom w:type="dxa" w:w="80"/>
              <w:right w:type="dxa" w:w="80"/>
            </w:tcMar>
          </w:tcPr>
          <w:p>
            <w:r>
              <w:rPr>
                <w:rFonts w:ascii="Arial" w:cs="Arial" w:eastAsia="Arial" w:hAnsi="Arial"/>
                <w:b/>
                <w:bCs/>
                <w:color w:val="111111"/>
                <w:sz w:val="18"/>
                <w:szCs w:val="18"/>
              </w:rPr>
              <w:t xml:space="preserve">Field / Champ</w:t>
            </w:r>
          </w:p>
        </w:tc>
        <w:tc>
          <w:tcPr>
            <w:tcW w:type="dxa" w:w="3000"/>
            <w:tcBorders>
              <w:top w:color="auto" w:sz="0"/>
              <w:left w:color="auto" w:sz="0"/>
              <w:bottom w:color="auto" w:sz="0"/>
              <w:right w:color="auto" w:sz="0"/>
            </w:tcBorders>
            <w:shd w:color="EAF5F3" w:val="solid"/>
            <w:tcMar>
              <w:top w:type="dxa" w:w="80"/>
              <w:left w:type="dxa" w:w="120"/>
              <w:bottom w:type="dxa" w:w="80"/>
              <w:right w:type="dxa" w:w="80"/>
            </w:tcMar>
          </w:tcPr>
          <w:p>
            <w:r>
              <w:rPr>
                <w:rFonts w:ascii="Arial" w:cs="Arial" w:eastAsia="Arial" w:hAnsi="Arial"/>
                <w:b/>
                <w:bCs/>
                <w:color w:val="0A8B7D"/>
                <w:sz w:val="18"/>
                <w:szCs w:val="18"/>
              </w:rPr>
              <w:t xml:space="preserve">English</w:t>
            </w:r>
          </w:p>
        </w:tc>
        <w:tc>
          <w:tcPr>
            <w:tcW w:type="dxa" w:w="3960"/>
            <w:tcBorders>
              <w:top w:color="auto" w:sz="0"/>
              <w:left w:color="auto" w:sz="0"/>
              <w:bottom w:color="auto" w:sz="0"/>
              <w:right w:color="auto" w:sz="0"/>
            </w:tcBorders>
            <w:tcMar>
              <w:top w:type="dxa" w:w="80"/>
              <w:left w:type="dxa" w:w="120"/>
              <w:bottom w:type="dxa" w:w="80"/>
              <w:right w:type="dxa" w:w="80"/>
            </w:tcMar>
          </w:tcPr>
          <w:p>
            <w:r>
              <w:rPr>
                <w:rFonts w:ascii="Arial" w:cs="Arial" w:eastAsia="Arial" w:hAnsi="Arial"/>
                <w:b/>
                <w:bCs/>
                <w:color w:val="4A6080"/>
                <w:sz w:val="18"/>
                <w:szCs w:val="18"/>
              </w:rPr>
              <w:t xml:space="preserve">[Indigenous language — community completes]</w:t>
            </w:r>
          </w:p>
        </w:tc>
      </w:tr>
      <w:tr>
        <w:tc>
          <w:tcPr>
            <w:tcBorders>
              <w:top w:color="auto" w:sz="0"/>
              <w:left w:color="auto" w:sz="0"/>
              <w:bottom w:color="auto" w:sz="0"/>
              <w:right w:color="auto" w:sz="0"/>
            </w:tcBorders>
            <w:shd w:color="FAFAFA" w:val="solid"/>
            <w:tcMar>
              <w:top w:type="dxa" w:w="60"/>
              <w:left w:type="dxa" w:w="120"/>
              <w:bottom w:type="dxa" w:w="60"/>
              <w:right w:type="dxa" w:w="80"/>
            </w:tcMar>
          </w:tcPr>
          <w:p>
            <w:r>
              <w:rPr>
                <w:rFonts w:ascii="Arial" w:cs="Arial" w:eastAsia="Arial" w:hAnsi="Arial"/>
                <w:color w:val="555555"/>
                <w:sz w:val="18"/>
                <w:szCs w:val="18"/>
              </w:rPr>
              <w:t xml:space="preserve">Consent</w:t>
            </w:r>
          </w:p>
        </w:tc>
        <w:tc>
          <w:tcPr>
            <w:tcBorders>
              <w:top w:color="auto" w:sz="0"/>
              <w:left w:color="auto" w:sz="0"/>
              <w:bottom w:color="auto" w:sz="0"/>
              <w:right w:color="auto" w:sz="0"/>
            </w:tcBorders>
            <w:tcMar>
              <w:top w:type="dxa" w:w="60"/>
              <w:left w:type="dxa" w:w="120"/>
              <w:bottom w:type="dxa" w:w="60"/>
              <w:right w:type="dxa" w:w="80"/>
            </w:tcMar>
          </w:tcPr>
          <w:p>
            <w:r>
              <w:rPr>
                <w:rFonts w:ascii="Arial" w:cs="Arial" w:eastAsia="Arial" w:hAnsi="Arial"/>
                <w:color w:val="333333"/>
                <w:sz w:val="18"/>
                <w:szCs w:val="18"/>
              </w:rPr>
              <w:t xml:space="preserve">I give permission</w:t>
            </w:r>
          </w:p>
        </w:tc>
        <w:tc>
          <w:tcPr>
            <w:tcBorders>
              <w:top w:color="auto" w:sz="0"/>
              <w:left w:color="auto" w:sz="0"/>
              <w:bottom w:color="auto" w:sz="0"/>
              <w:right w:color="auto" w:sz="0"/>
            </w:tcBorders>
            <w:shd w:color="EAF3DE" w:val="solid"/>
            <w:tcMar>
              <w:top w:type="dxa" w:w="60"/>
              <w:left w:type="dxa" w:w="120"/>
              <w:bottom w:type="dxa" w:w="60"/>
              <w:right w:type="dxa" w:w="80"/>
            </w:tcMar>
          </w:tcPr>
          <w:p>
            <w:r>
              <w:rPr>
                <w:rFonts w:ascii="Arial" w:cs="Arial" w:eastAsia="Arial" w:hAnsi="Arial"/>
                <w:i/>
                <w:iCs/>
                <w:color w:val="4A6080"/>
                <w:sz w:val="18"/>
                <w:szCs w:val="18"/>
              </w:rPr>
              <w:t xml:space="preserve">[to be completed with community]</w:t>
            </w:r>
          </w:p>
        </w:tc>
      </w:tr>
      <w:tr>
        <w:tc>
          <w:tcPr>
            <w:tcBorders>
              <w:top w:color="auto" w:sz="0"/>
              <w:left w:color="auto" w:sz="0"/>
              <w:bottom w:color="auto" w:sz="0"/>
              <w:right w:color="auto" w:sz="0"/>
            </w:tcBorders>
            <w:shd w:color="FAFAFA" w:val="solid"/>
            <w:tcMar>
              <w:top w:type="dxa" w:w="60"/>
              <w:left w:type="dxa" w:w="120"/>
              <w:bottom w:type="dxa" w:w="60"/>
              <w:right w:type="dxa" w:w="80"/>
            </w:tcMar>
          </w:tcPr>
          <w:p>
            <w:r>
              <w:rPr>
                <w:rFonts w:ascii="Arial" w:cs="Arial" w:eastAsia="Arial" w:hAnsi="Arial"/>
                <w:color w:val="555555"/>
                <w:sz w:val="18"/>
                <w:szCs w:val="18"/>
              </w:rPr>
              <w:t xml:space="preserve">Revocation</w:t>
            </w:r>
          </w:p>
        </w:tc>
        <w:tc>
          <w:tcPr>
            <w:tcBorders>
              <w:top w:color="auto" w:sz="0"/>
              <w:left w:color="auto" w:sz="0"/>
              <w:bottom w:color="auto" w:sz="0"/>
              <w:right w:color="auto" w:sz="0"/>
            </w:tcBorders>
            <w:tcMar>
              <w:top w:type="dxa" w:w="60"/>
              <w:left w:type="dxa" w:w="120"/>
              <w:bottom w:type="dxa" w:w="60"/>
              <w:right w:type="dxa" w:w="80"/>
            </w:tcMar>
          </w:tcPr>
          <w:p>
            <w:r>
              <w:rPr>
                <w:rFonts w:ascii="Arial" w:cs="Arial" w:eastAsia="Arial" w:hAnsi="Arial"/>
                <w:color w:val="333333"/>
                <w:sz w:val="18"/>
                <w:szCs w:val="18"/>
              </w:rPr>
              <w:t xml:space="preserve">I withdraw permission</w:t>
            </w:r>
          </w:p>
        </w:tc>
        <w:tc>
          <w:tcPr>
            <w:tcBorders>
              <w:top w:color="auto" w:sz="0"/>
              <w:left w:color="auto" w:sz="0"/>
              <w:bottom w:color="auto" w:sz="0"/>
              <w:right w:color="auto" w:sz="0"/>
            </w:tcBorders>
            <w:shd w:color="EAF3DE" w:val="solid"/>
            <w:tcMar>
              <w:top w:type="dxa" w:w="60"/>
              <w:left w:type="dxa" w:w="120"/>
              <w:bottom w:type="dxa" w:w="60"/>
              <w:right w:type="dxa" w:w="80"/>
            </w:tcMar>
          </w:tcPr>
          <w:p>
            <w:r>
              <w:rPr>
                <w:rFonts w:ascii="Arial" w:cs="Arial" w:eastAsia="Arial" w:hAnsi="Arial"/>
                <w:i/>
                <w:iCs/>
                <w:color w:val="4A6080"/>
                <w:sz w:val="18"/>
                <w:szCs w:val="18"/>
              </w:rPr>
              <w:t xml:space="preserve">[to be completed with community]</w:t>
            </w:r>
          </w:p>
        </w:tc>
      </w:tr>
      <w:tr>
        <w:tc>
          <w:tcPr>
            <w:tcBorders>
              <w:top w:color="auto" w:sz="0"/>
              <w:left w:color="auto" w:sz="0"/>
              <w:bottom w:color="auto" w:sz="0"/>
              <w:right w:color="auto" w:sz="0"/>
            </w:tcBorders>
            <w:shd w:color="FAFAFA" w:val="solid"/>
            <w:tcMar>
              <w:top w:type="dxa" w:w="60"/>
              <w:left w:type="dxa" w:w="120"/>
              <w:bottom w:type="dxa" w:w="60"/>
              <w:right w:type="dxa" w:w="80"/>
            </w:tcMar>
          </w:tcPr>
          <w:p>
            <w:r>
              <w:rPr>
                <w:rFonts w:ascii="Arial" w:cs="Arial" w:eastAsia="Arial" w:hAnsi="Arial"/>
                <w:color w:val="555555"/>
                <w:sz w:val="18"/>
                <w:szCs w:val="18"/>
              </w:rPr>
              <w:t xml:space="preserve">Sacred</w:t>
            </w:r>
          </w:p>
        </w:tc>
        <w:tc>
          <w:tcPr>
            <w:tcBorders>
              <w:top w:color="auto" w:sz="0"/>
              <w:left w:color="auto" w:sz="0"/>
              <w:bottom w:color="auto" w:sz="0"/>
              <w:right w:color="auto" w:sz="0"/>
            </w:tcBorders>
            <w:tcMar>
              <w:top w:type="dxa" w:w="60"/>
              <w:left w:type="dxa" w:w="120"/>
              <w:bottom w:type="dxa" w:w="60"/>
              <w:right w:type="dxa" w:w="80"/>
            </w:tcMar>
          </w:tcPr>
          <w:p>
            <w:r>
              <w:rPr>
                <w:rFonts w:ascii="Arial" w:cs="Arial" w:eastAsia="Arial" w:hAnsi="Arial"/>
                <w:color w:val="333333"/>
                <w:sz w:val="18"/>
                <w:szCs w:val="18"/>
              </w:rPr>
              <w:t xml:space="preserve">Cannot be shared</w:t>
            </w:r>
          </w:p>
        </w:tc>
        <w:tc>
          <w:tcPr>
            <w:tcBorders>
              <w:top w:color="auto" w:sz="0"/>
              <w:left w:color="auto" w:sz="0"/>
              <w:bottom w:color="auto" w:sz="0"/>
              <w:right w:color="auto" w:sz="0"/>
            </w:tcBorders>
            <w:shd w:color="EAF3DE" w:val="solid"/>
            <w:tcMar>
              <w:top w:type="dxa" w:w="60"/>
              <w:left w:type="dxa" w:w="120"/>
              <w:bottom w:type="dxa" w:w="60"/>
              <w:right w:type="dxa" w:w="80"/>
            </w:tcMar>
          </w:tcPr>
          <w:p>
            <w:r>
              <w:rPr>
                <w:rFonts w:ascii="Arial" w:cs="Arial" w:eastAsia="Arial" w:hAnsi="Arial"/>
                <w:i/>
                <w:iCs/>
                <w:color w:val="4A6080"/>
                <w:sz w:val="18"/>
                <w:szCs w:val="18"/>
              </w:rPr>
              <w:t xml:space="preserve">[to be completed with community]</w:t>
            </w:r>
          </w:p>
        </w:tc>
      </w:tr>
      <w:tr>
        <w:tc>
          <w:tcPr>
            <w:tcBorders>
              <w:top w:color="auto" w:sz="0"/>
              <w:left w:color="auto" w:sz="0"/>
              <w:bottom w:color="auto" w:sz="0"/>
              <w:right w:color="auto" w:sz="0"/>
            </w:tcBorders>
            <w:shd w:color="FAFAFA" w:val="solid"/>
            <w:tcMar>
              <w:top w:type="dxa" w:w="60"/>
              <w:left w:type="dxa" w:w="120"/>
              <w:bottom w:type="dxa" w:w="60"/>
              <w:right w:type="dxa" w:w="80"/>
            </w:tcMar>
          </w:tcPr>
          <w:p>
            <w:r>
              <w:rPr>
                <w:rFonts w:ascii="Arial" w:cs="Arial" w:eastAsia="Arial" w:hAnsi="Arial"/>
                <w:color w:val="555555"/>
                <w:sz w:val="18"/>
                <w:szCs w:val="18"/>
              </w:rPr>
              <w:t xml:space="preserve">Cultural</w:t>
            </w:r>
          </w:p>
        </w:tc>
        <w:tc>
          <w:tcPr>
            <w:tcBorders>
              <w:top w:color="auto" w:sz="0"/>
              <w:left w:color="auto" w:sz="0"/>
              <w:bottom w:color="auto" w:sz="0"/>
              <w:right w:color="auto" w:sz="0"/>
            </w:tcBorders>
            <w:tcMar>
              <w:top w:type="dxa" w:w="60"/>
              <w:left w:type="dxa" w:w="120"/>
              <w:bottom w:type="dxa" w:w="60"/>
              <w:right w:type="dxa" w:w="80"/>
            </w:tcMar>
          </w:tcPr>
          <w:p>
            <w:r>
              <w:rPr>
                <w:rFonts w:ascii="Arial" w:cs="Arial" w:eastAsia="Arial" w:hAnsi="Arial"/>
                <w:color w:val="333333"/>
                <w:sz w:val="18"/>
                <w:szCs w:val="18"/>
              </w:rPr>
              <w:t xml:space="preserve">Shared with care</w:t>
            </w:r>
          </w:p>
        </w:tc>
        <w:tc>
          <w:tcPr>
            <w:tcBorders>
              <w:top w:color="auto" w:sz="0"/>
              <w:left w:color="auto" w:sz="0"/>
              <w:bottom w:color="auto" w:sz="0"/>
              <w:right w:color="auto" w:sz="0"/>
            </w:tcBorders>
            <w:shd w:color="EAF3DE" w:val="solid"/>
            <w:tcMar>
              <w:top w:type="dxa" w:w="60"/>
              <w:left w:type="dxa" w:w="120"/>
              <w:bottom w:type="dxa" w:w="60"/>
              <w:right w:type="dxa" w:w="80"/>
            </w:tcMar>
          </w:tcPr>
          <w:p>
            <w:r>
              <w:rPr>
                <w:rFonts w:ascii="Arial" w:cs="Arial" w:eastAsia="Arial" w:hAnsi="Arial"/>
                <w:i/>
                <w:iCs/>
                <w:color w:val="4A6080"/>
                <w:sz w:val="18"/>
                <w:szCs w:val="18"/>
              </w:rPr>
              <w:t xml:space="preserve">[to be completed with community]</w:t>
            </w:r>
          </w:p>
        </w:tc>
      </w:tr>
      <w:tr>
        <w:tc>
          <w:tcPr>
            <w:tcBorders>
              <w:top w:color="auto" w:sz="0"/>
              <w:left w:color="auto" w:sz="0"/>
              <w:bottom w:color="auto" w:sz="0"/>
              <w:right w:color="auto" w:sz="0"/>
            </w:tcBorders>
            <w:shd w:color="FAFAFA" w:val="solid"/>
            <w:tcMar>
              <w:top w:type="dxa" w:w="60"/>
              <w:left w:type="dxa" w:w="120"/>
              <w:bottom w:type="dxa" w:w="60"/>
              <w:right w:type="dxa" w:w="80"/>
            </w:tcMar>
          </w:tcPr>
          <w:p>
            <w:r>
              <w:rPr>
                <w:rFonts w:ascii="Arial" w:cs="Arial" w:eastAsia="Arial" w:hAnsi="Arial"/>
                <w:color w:val="555555"/>
                <w:sz w:val="18"/>
                <w:szCs w:val="18"/>
              </w:rPr>
              <w:t xml:space="preserve">Attribution</w:t>
            </w:r>
          </w:p>
        </w:tc>
        <w:tc>
          <w:tcPr>
            <w:tcBorders>
              <w:top w:color="auto" w:sz="0"/>
              <w:left w:color="auto" w:sz="0"/>
              <w:bottom w:color="auto" w:sz="0"/>
              <w:right w:color="auto" w:sz="0"/>
            </w:tcBorders>
            <w:tcMar>
              <w:top w:type="dxa" w:w="60"/>
              <w:left w:type="dxa" w:w="120"/>
              <w:bottom w:type="dxa" w:w="60"/>
              <w:right w:type="dxa" w:w="80"/>
            </w:tcMar>
          </w:tcPr>
          <w:p>
            <w:r>
              <w:rPr>
                <w:rFonts w:ascii="Arial" w:cs="Arial" w:eastAsia="Arial" w:hAnsi="Arial"/>
                <w:color w:val="333333"/>
                <w:sz w:val="18"/>
                <w:szCs w:val="18"/>
              </w:rPr>
              <w:t xml:space="preserve">Credit to the creator</w:t>
            </w:r>
          </w:p>
        </w:tc>
        <w:tc>
          <w:tcPr>
            <w:tcBorders>
              <w:top w:color="auto" w:sz="0"/>
              <w:left w:color="auto" w:sz="0"/>
              <w:bottom w:color="auto" w:sz="0"/>
              <w:right w:color="auto" w:sz="0"/>
            </w:tcBorders>
            <w:shd w:color="EAF3DE" w:val="solid"/>
            <w:tcMar>
              <w:top w:type="dxa" w:w="60"/>
              <w:left w:type="dxa" w:w="120"/>
              <w:bottom w:type="dxa" w:w="60"/>
              <w:right w:type="dxa" w:w="80"/>
            </w:tcMar>
          </w:tcPr>
          <w:p>
            <w:r>
              <w:rPr>
                <w:rFonts w:ascii="Arial" w:cs="Arial" w:eastAsia="Arial" w:hAnsi="Arial"/>
                <w:i/>
                <w:iCs/>
                <w:color w:val="4A6080"/>
                <w:sz w:val="18"/>
                <w:szCs w:val="18"/>
              </w:rPr>
              <w:t xml:space="preserve">[to be completed with community]</w:t>
            </w:r>
          </w:p>
        </w:tc>
      </w:tr>
      <w:tr>
        <w:tc>
          <w:tcPr>
            <w:tcBorders>
              <w:top w:color="auto" w:sz="0"/>
              <w:left w:color="auto" w:sz="0"/>
              <w:bottom w:color="auto" w:sz="0"/>
              <w:right w:color="auto" w:sz="0"/>
            </w:tcBorders>
            <w:shd w:color="FAFAFA" w:val="solid"/>
            <w:tcMar>
              <w:top w:type="dxa" w:w="60"/>
              <w:left w:type="dxa" w:w="120"/>
              <w:bottom w:type="dxa" w:w="60"/>
              <w:right w:type="dxa" w:w="80"/>
            </w:tcMar>
          </w:tcPr>
          <w:p>
            <w:r>
              <w:rPr>
                <w:rFonts w:ascii="Arial" w:cs="Arial" w:eastAsia="Arial" w:hAnsi="Arial"/>
                <w:color w:val="555555"/>
                <w:sz w:val="18"/>
                <w:szCs w:val="18"/>
              </w:rPr>
              <w:t xml:space="preserve">Cultural Director</w:t>
            </w:r>
          </w:p>
        </w:tc>
        <w:tc>
          <w:tcPr>
            <w:tcBorders>
              <w:top w:color="auto" w:sz="0"/>
              <w:left w:color="auto" w:sz="0"/>
              <w:bottom w:color="auto" w:sz="0"/>
              <w:right w:color="auto" w:sz="0"/>
            </w:tcBorders>
            <w:tcMar>
              <w:top w:type="dxa" w:w="60"/>
              <w:left w:type="dxa" w:w="120"/>
              <w:bottom w:type="dxa" w:w="60"/>
              <w:right w:type="dxa" w:w="80"/>
            </w:tcMar>
          </w:tcPr>
          <w:p>
            <w:r>
              <w:rPr>
                <w:rFonts w:ascii="Arial" w:cs="Arial" w:eastAsia="Arial" w:hAnsi="Arial"/>
                <w:color w:val="333333"/>
                <w:sz w:val="18"/>
                <w:szCs w:val="18"/>
              </w:rPr>
              <w:t xml:space="preserve">Community guardian</w:t>
            </w:r>
          </w:p>
        </w:tc>
        <w:tc>
          <w:tcPr>
            <w:tcBorders>
              <w:top w:color="auto" w:sz="0"/>
              <w:left w:color="auto" w:sz="0"/>
              <w:bottom w:color="auto" w:sz="0"/>
              <w:right w:color="auto" w:sz="0"/>
            </w:tcBorders>
            <w:shd w:color="EAF3DE" w:val="solid"/>
            <w:tcMar>
              <w:top w:type="dxa" w:w="60"/>
              <w:left w:type="dxa" w:w="120"/>
              <w:bottom w:type="dxa" w:w="60"/>
              <w:right w:type="dxa" w:w="80"/>
            </w:tcMar>
          </w:tcPr>
          <w:p>
            <w:r>
              <w:rPr>
                <w:rFonts w:ascii="Arial" w:cs="Arial" w:eastAsia="Arial" w:hAnsi="Arial"/>
                <w:i/>
                <w:iCs/>
                <w:color w:val="4A6080"/>
                <w:sz w:val="18"/>
                <w:szCs w:val="18"/>
              </w:rPr>
              <w:t xml:space="preserve">[to be completed with community]</w:t>
            </w:r>
          </w:p>
        </w:tc>
      </w:tr>
      <w:tr>
        <w:tc>
          <w:tcPr>
            <w:tcBorders>
              <w:top w:color="auto" w:sz="0"/>
              <w:left w:color="auto" w:sz="0"/>
              <w:bottom w:color="auto" w:sz="0"/>
              <w:right w:color="auto" w:sz="0"/>
            </w:tcBorders>
            <w:shd w:color="FAFAFA" w:val="solid"/>
            <w:tcMar>
              <w:top w:type="dxa" w:w="60"/>
              <w:left w:type="dxa" w:w="120"/>
              <w:bottom w:type="dxa" w:w="60"/>
              <w:right w:type="dxa" w:w="80"/>
            </w:tcMar>
          </w:tcPr>
          <w:p>
            <w:r>
              <w:rPr>
                <w:rFonts w:ascii="Arial" w:cs="Arial" w:eastAsia="Arial" w:hAnsi="Arial"/>
                <w:color w:val="555555"/>
                <w:sz w:val="18"/>
                <w:szCs w:val="18"/>
              </w:rPr>
              <w:t xml:space="preserve">Trust Receipt</w:t>
            </w:r>
          </w:p>
        </w:tc>
        <w:tc>
          <w:tcPr>
            <w:tcBorders>
              <w:top w:color="auto" w:sz="0"/>
              <w:left w:color="auto" w:sz="0"/>
              <w:bottom w:color="auto" w:sz="0"/>
              <w:right w:color="auto" w:sz="0"/>
            </w:tcBorders>
            <w:tcMar>
              <w:top w:type="dxa" w:w="60"/>
              <w:left w:type="dxa" w:w="120"/>
              <w:bottom w:type="dxa" w:w="60"/>
              <w:right w:type="dxa" w:w="80"/>
            </w:tcMar>
          </w:tcPr>
          <w:p>
            <w:r>
              <w:rPr>
                <w:rFonts w:ascii="Arial" w:cs="Arial" w:eastAsia="Arial" w:hAnsi="Arial"/>
                <w:color w:val="333333"/>
                <w:sz w:val="18"/>
                <w:szCs w:val="18"/>
              </w:rPr>
              <w:t xml:space="preserve">Proof of care</w:t>
            </w:r>
          </w:p>
        </w:tc>
        <w:tc>
          <w:tcPr>
            <w:tcBorders>
              <w:top w:color="auto" w:sz="0"/>
              <w:left w:color="auto" w:sz="0"/>
              <w:bottom w:color="auto" w:sz="0"/>
              <w:right w:color="auto" w:sz="0"/>
            </w:tcBorders>
            <w:shd w:color="EAF3DE" w:val="solid"/>
            <w:tcMar>
              <w:top w:type="dxa" w:w="60"/>
              <w:left w:type="dxa" w:w="120"/>
              <w:bottom w:type="dxa" w:w="60"/>
              <w:right w:type="dxa" w:w="80"/>
            </w:tcMar>
          </w:tcPr>
          <w:p>
            <w:r>
              <w:rPr>
                <w:rFonts w:ascii="Arial" w:cs="Arial" w:eastAsia="Arial" w:hAnsi="Arial"/>
                <w:i/>
                <w:iCs/>
                <w:color w:val="4A6080"/>
                <w:sz w:val="18"/>
                <w:szCs w:val="18"/>
              </w:rPr>
              <w:t xml:space="preserve">[to be completed with community]</w:t>
            </w:r>
          </w:p>
        </w:tc>
      </w:tr>
    </w:tbl>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Revocation and Remediation</w:t>
      </w:r>
    </w:p>
    <w:p>
      <w:pPr>
        <w:spacing w:before="200" w:after="80"/>
      </w:pPr>
      <w:r>
        <w:rPr>
          <w:rFonts w:ascii="Arial" w:cs="Arial" w:eastAsia="Arial" w:hAnsi="Arial"/>
          <w:b/>
          <w:bCs/>
          <w:color w:val="C4524A"/>
          <w:sz w:val="22"/>
          <w:szCs w:val="22"/>
        </w:rPr>
        <w:t xml:space="preserve">Individual Creator Revocation</w:t>
      </w:r>
    </w:p>
    <w:p>
      <w:pPr>
        <w:spacing w:before="60" w:after="80"/>
      </w:pPr>
      <w:r>
        <w:rPr>
          <w:rFonts w:ascii="Arial" w:cs="Arial" w:eastAsia="Arial" w:hAnsi="Arial"/>
          <w:color w:val="333333"/>
          <w:sz w:val="22"/>
          <w:szCs w:val="22"/>
        </w:rPr>
        <w:t xml:space="preserve">Any individual creator may revoke their consent at any time. Effect is immediate on new uses. Existing licenses wind down per the community's Governance Agreement terms (maximum 90 days). NOIZY PROOF manifests for revoked works are flagged within 24 hours.</w:t>
      </w:r>
    </w:p>
    <w:p>
      <w:pPr>
        <w:spacing w:before="200" w:after="80"/>
      </w:pPr>
      <w:r>
        <w:rPr>
          <w:rFonts w:ascii="Arial" w:cs="Arial" w:eastAsia="Arial" w:hAnsi="Arial"/>
          <w:b/>
          <w:bCs/>
          <w:color w:val="C4524A"/>
          <w:sz w:val="22"/>
          <w:szCs w:val="22"/>
        </w:rPr>
        <w:t xml:space="preserve">Community-Level Revocation</w:t>
      </w:r>
    </w:p>
    <w:p>
      <w:pPr>
        <w:spacing w:before="60" w:after="80"/>
      </w:pPr>
      <w:r>
        <w:rPr>
          <w:rFonts w:ascii="Arial" w:cs="Arial" w:eastAsia="Arial" w:hAnsi="Arial"/>
          <w:color w:val="333333"/>
          <w:sz w:val="22"/>
          <w:szCs w:val="22"/>
        </w:rPr>
        <w:t xml:space="preserve">The Cultural Director may execute a community-level revocation that removes all sounds tagged with the community's cultural identity simultaneously. Effect: immediate block on new uses, 30-day wind-down for existing licenses, complete removal from the NOIZY library within 30 days, and a written confirmation to the community within 48 hours.</w:t>
      </w:r>
    </w:p>
    <w:p>
      <w:pPr>
        <w:spacing w:before="200" w:after="80"/>
      </w:pPr>
      <w:r>
        <w:rPr>
          <w:rFonts w:ascii="Arial" w:cs="Arial" w:eastAsia="Arial" w:hAnsi="Arial"/>
          <w:b/>
          <w:bCs/>
          <w:color w:val="C4524A"/>
          <w:sz w:val="22"/>
          <w:szCs w:val="22"/>
        </w:rPr>
        <w:t xml:space="preserve">Sacred Tier Breach Remediation</w:t>
      </w:r>
    </w:p>
    <w:tbl>
      <w:tblPr>
        <w:tblW w:type="dxa" w:w="9360"/>
        <w:tblBorders>
          <w:top w:color="auto" w:sz="0"/>
          <w:left w:color="auto" w:sz="0"/>
          <w:bottom w:color="auto" w:sz="0"/>
          <w:right w:color="auto" w:sz="0"/>
          <w:insideH w:val="single" w:color="auto" w:sz="4"/>
          <w:insideV w:val="single" w:color="auto" w:sz="4"/>
        </w:tblBorders>
      </w:tblPr>
      <w:tblGrid>
        <w:gridCol w:w="100"/>
        <w:gridCol w:w="100"/>
      </w:tblGrid>
      <w:tr>
        <w:tc>
          <w:tcPr>
            <w:tcW w:type="dxa" w:w="120"/>
            <w:tcBorders>
              <w:top w:color="auto" w:sz="0"/>
              <w:left w:color="auto" w:sz="0"/>
              <w:bottom w:color="auto" w:sz="0"/>
              <w:right w:color="auto" w:sz="0"/>
            </w:tcBorders>
            <w:shd w:color="C4524A" w:val="solid"/>
          </w:tcPr>
          <w:p/>
        </w:tc>
        <w:tc>
          <w:tcPr>
            <w:tcBorders>
              <w:top w:color="auto" w:sz="0"/>
              <w:left w:color="auto" w:sz="0"/>
              <w:bottom w:color="auto" w:sz="0"/>
              <w:right w:color="auto" w:sz="0"/>
            </w:tcBorders>
            <w:shd w:color="FBF0EF" w:val="solid"/>
            <w:tcMar>
              <w:top w:type="dxa" w:w="120"/>
              <w:left w:type="dxa" w:w="200"/>
              <w:bottom w:type="dxa" w:w="120"/>
              <w:right w:type="dxa" w:w="200"/>
            </w:tcMar>
          </w:tcPr>
          <w:p>
            <w:r>
              <w:rPr>
                <w:rFonts w:ascii="Arial" w:cs="Arial" w:eastAsia="Arial" w:hAnsi="Arial"/>
                <w:i/>
                <w:iCs/>
                <w:color w:val="333333"/>
                <w:sz w:val="20"/>
                <w:szCs w:val="20"/>
              </w:rPr>
              <w:t xml:space="preserve">If any Sacred tier content is discovered outside NOIZY systems (e.g., used without authorization by a downstream licensee), NOIZY takes the following steps within 72 hours: notify the Cultural Director, issue takedown to the infringing party, publish a Trust Regression notice, and provide a full incident report to the community. NOIZY bears all legal costs of remediation.</w:t>
            </w:r>
          </w:p>
        </w:tc>
      </w:tr>
    </w:tbl>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Dispute Pathway</w:t>
      </w:r>
    </w:p>
    <w:p>
      <w:pPr>
        <w:spacing w:before="60" w:after="80"/>
      </w:pPr>
      <w:r>
        <w:rPr>
          <w:rFonts w:ascii="Arial" w:cs="Arial" w:eastAsia="Arial" w:hAnsi="Arial"/>
          <w:color w:val="333333"/>
          <w:sz w:val="22"/>
          <w:szCs w:val="22"/>
        </w:rPr>
        <w:t xml:space="preserve">In the event of a disagreement between the community and NOIZY:</w:t>
      </w:r>
    </w:p>
    <w:p>
      <w:pPr>
        <w:pStyle w:val="ListParagraph"/>
        <w:numPr>
          <w:ilvl w:val="0"/>
          <w:numId w:val="1"/>
        </w:numPr>
        <w:spacing w:before="40" w:after="40"/>
      </w:pPr>
      <w:r>
        <w:rPr>
          <w:rFonts w:ascii="Arial" w:cs="Arial" w:eastAsia="Arial" w:hAnsi="Arial"/>
          <w:color w:val="333333"/>
          <w:sz w:val="21"/>
          <w:szCs w:val="21"/>
        </w:rPr>
        <w:t xml:space="preserve">Step 1: Cultural Director and RSP_001 meet within 10 business days of dispute notice</w:t>
      </w:r>
    </w:p>
    <w:p>
      <w:pPr>
        <w:pStyle w:val="ListParagraph"/>
        <w:numPr>
          <w:ilvl w:val="0"/>
          <w:numId w:val="1"/>
        </w:numPr>
        <w:spacing w:before="40" w:after="40"/>
      </w:pPr>
      <w:r>
        <w:rPr>
          <w:rFonts w:ascii="Arial" w:cs="Arial" w:eastAsia="Arial" w:hAnsi="Arial"/>
          <w:color w:val="333333"/>
          <w:sz w:val="21"/>
          <w:szCs w:val="21"/>
        </w:rPr>
        <w:t xml:space="preserve">Step 2: If unresolved, a mutually agreed mediator is engaged within 20 business days. Costs shared equally.</w:t>
      </w:r>
    </w:p>
    <w:p>
      <w:pPr>
        <w:pStyle w:val="ListParagraph"/>
        <w:numPr>
          <w:ilvl w:val="0"/>
          <w:numId w:val="1"/>
        </w:numPr>
        <w:spacing w:before="40" w:after="40"/>
      </w:pPr>
      <w:r>
        <w:rPr>
          <w:rFonts w:ascii="Arial" w:cs="Arial" w:eastAsia="Arial" w:hAnsi="Arial"/>
          <w:color w:val="333333"/>
          <w:sz w:val="21"/>
          <w:szCs w:val="21"/>
        </w:rPr>
        <w:t xml:space="preserve">Step 3: If mediation fails, the community's preferred dispute resolution mechanism governs — this may include Indigenous dispute resolution processes, provincial arbitration, or other community-determined pathway</w:t>
      </w:r>
    </w:p>
    <w:p>
      <w:pPr>
        <w:pStyle w:val="ListParagraph"/>
        <w:numPr>
          <w:ilvl w:val="0"/>
          <w:numId w:val="1"/>
        </w:numPr>
        <w:spacing w:before="40" w:after="40"/>
      </w:pPr>
      <w:r>
        <w:rPr>
          <w:rFonts w:ascii="Arial" w:cs="Arial" w:eastAsia="Arial" w:hAnsi="Arial"/>
          <w:color w:val="333333"/>
          <w:sz w:val="21"/>
          <w:szCs w:val="21"/>
        </w:rPr>
        <w:t xml:space="preserve">Step 4: NOIZY's consent and compliance systems remain fully available to the community throughout any dispute</w:t>
      </w:r>
    </w:p>
    <w:p>
      <w:pPr>
        <w:spacing w:before="60" w:after="80"/>
      </w:pPr>
      <w:r>
        <w:rPr>
          <w:rFonts w:ascii="Arial" w:cs="Arial" w:eastAsia="Arial" w:hAnsi="Arial"/>
          <w:color w:val="333333"/>
          <w:sz w:val="22"/>
          <w:szCs w:val="22"/>
        </w:rPr>
        <w:t xml:space="preserve">During any dispute, the community may suspend NOIZY's use of their sounds immediately. NOIZY accepts this right without condition.</w:t>
      </w:r>
    </w:p>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Review and Signature</w:t>
      </w:r>
    </w:p>
    <w:tbl>
      <w:tblPr>
        <w:tblW w:type="dxa" w:w="9360"/>
        <w:tblBorders>
          <w:top w:color="auto" w:sz="0"/>
          <w:left w:color="auto" w:sz="0"/>
          <w:bottom w:color="auto" w:sz="0"/>
          <w:right w:color="auto" w:sz="0"/>
          <w:insideH w:val="single" w:color="auto" w:sz="4"/>
          <w:insideV w:val="single" w:color="auto" w:sz="4"/>
        </w:tblBorders>
      </w:tblPr>
      <w:tblGrid>
        <w:gridCol w:w="100"/>
        <w:gridCol w:w="100"/>
      </w:tblGrid>
      <w:tr>
        <w:tc>
          <w:tcPr>
            <w:tcW w:type="dxa" w:w="120"/>
            <w:tcBorders>
              <w:top w:color="auto" w:sz="0"/>
              <w:left w:color="auto" w:sz="0"/>
              <w:bottom w:color="auto" w:sz="0"/>
              <w:right w:color="auto" w:sz="0"/>
            </w:tcBorders>
            <w:shd w:color="0A8B7D" w:val="solid"/>
          </w:tcPr>
          <w:p/>
        </w:tc>
        <w:tc>
          <w:tcPr>
            <w:tcBorders>
              <w:top w:color="auto" w:sz="0"/>
              <w:left w:color="auto" w:sz="0"/>
              <w:bottom w:color="auto" w:sz="0"/>
              <w:right w:color="auto" w:sz="0"/>
            </w:tcBorders>
            <w:shd w:color="EAF5F3" w:val="solid"/>
            <w:tcMar>
              <w:top w:type="dxa" w:w="120"/>
              <w:left w:type="dxa" w:w="200"/>
              <w:bottom w:type="dxa" w:w="120"/>
              <w:right w:type="dxa" w:w="200"/>
            </w:tcMar>
          </w:tcPr>
          <w:p>
            <w:r>
              <w:rPr>
                <w:rFonts w:ascii="Arial" w:cs="Arial" w:eastAsia="Arial" w:hAnsi="Arial"/>
                <w:i/>
                <w:iCs/>
                <w:color w:val="333333"/>
                <w:sz w:val="20"/>
                <w:szCs w:val="20"/>
              </w:rPr>
              <w:t xml:space="preserve">This document is a co-design scaffold, not a final agreement. It becomes binding only after the community's own review process, legal review (if the community wishes), revision per Stage 04, and bilateral signature.</w:t>
            </w:r>
          </w:p>
        </w:tc>
      </w:tr>
    </w:tbl>
    <w:p>
      <w:pPr>
        <w:spacing w:before="160"/>
      </w:pPr>
    </w:p>
    <w:tbl>
      <w:tblPr>
        <w:tblW w:type="dxa" w:w="9360"/>
        <w:tblBorders>
          <w:top w:color="auto" w:sz="0"/>
          <w:left w:color="auto" w:sz="0"/>
          <w:bottom w:color="auto" w:sz="0"/>
          <w:right w:color="auto" w:sz="0"/>
          <w:insideH w:val="single" w:color="auto" w:sz="4"/>
          <w:insideV w:val="single" w:color="auto" w:sz="4"/>
        </w:tblBorders>
      </w:tblPr>
      <w:tblGrid>
        <w:gridCol w:w="100"/>
        <w:gridCol w:w="100"/>
      </w:tblGrid>
      <w:tr>
        <w:tc>
          <w:tcPr>
            <w:tcW w:type="dxa" w:w="4500"/>
            <w:tcBorders>
              <w:top w:color="auto" w:sz="0"/>
              <w:left w:color="auto" w:sz="0"/>
              <w:bottom w:color="auto" w:sz="0"/>
              <w:right w:color="auto" w:sz="0"/>
            </w:tcBorders>
            <w:tcMar>
              <w:top w:type="dxa" w:w="80"/>
              <w:left w:type="dxa" w:w="0"/>
              <w:bottom w:type="dxa" w:w="80"/>
              <w:right w:type="dxa" w:w="200"/>
            </w:tcMar>
          </w:tcPr>
          <w:p>
            <w:pPr>
              <w:pBdr>
                <w:bottom w:color="888888" w:sz="4"/>
              </w:pBdr>
            </w:pPr>
          </w:p>
          <w:p>
            <w:pPr>
              <w:spacing w:before="40"/>
            </w:pPr>
          </w:p>
          <w:p>
            <w:pPr>
              <w:spacing w:before="60" w:after="80"/>
            </w:pPr>
            <w:r>
              <w:rPr>
                <w:rFonts w:ascii="Arial" w:cs="Arial" w:eastAsia="Arial" w:hAnsi="Arial"/>
                <w:color w:val="555555"/>
                <w:sz w:val="20"/>
                <w:szCs w:val="20"/>
              </w:rPr>
              <w:t xml:space="preserve">Rob Plowman (RSP_001)</w:t>
            </w:r>
          </w:p>
          <w:p>
            <w:pPr>
              <w:spacing w:before="60" w:after="80"/>
            </w:pPr>
            <w:r>
              <w:rPr>
                <w:rFonts w:ascii="Arial" w:cs="Arial" w:eastAsia="Arial" w:hAnsi="Arial"/>
                <w:color w:val="555555"/>
                <w:sz w:val="18"/>
                <w:szCs w:val="18"/>
              </w:rPr>
              <w:t xml:space="preserve">NOIZYFISH INC. · Fish Music Inc. · Ottawa</w:t>
            </w:r>
          </w:p>
        </w:tc>
        <w:tc>
          <w:tcPr>
            <w:tcBorders>
              <w:top w:color="auto" w:sz="0"/>
              <w:left w:color="auto" w:sz="0"/>
              <w:bottom w:color="auto" w:sz="0"/>
              <w:right w:color="auto" w:sz="0"/>
            </w:tcBorders>
            <w:tcMar>
              <w:top w:type="dxa" w:w="80"/>
              <w:left w:type="dxa" w:w="200"/>
              <w:bottom w:type="dxa" w:w="80"/>
              <w:right w:type="dxa" w:w="0"/>
            </w:tcMar>
          </w:tcPr>
          <w:p>
            <w:pPr>
              <w:pBdr>
                <w:bottom w:color="888888" w:sz="4"/>
              </w:pBdr>
            </w:pPr>
          </w:p>
          <w:p>
            <w:pPr>
              <w:spacing w:before="40"/>
            </w:pPr>
          </w:p>
          <w:p>
            <w:pPr>
              <w:spacing w:before="60" w:after="80"/>
            </w:pPr>
            <w:r>
              <w:rPr>
                <w:rFonts w:ascii="Arial" w:cs="Arial" w:eastAsia="Arial" w:hAnsi="Arial"/>
                <w:color w:val="999999"/>
                <w:sz w:val="20"/>
                <w:szCs w:val="20"/>
              </w:rPr>
              <w:t xml:space="preserve">[Cultural Director Name]</w:t>
            </w:r>
          </w:p>
          <w:p>
            <w:pPr>
              <w:spacing w:before="60" w:after="80"/>
            </w:pPr>
            <w:r>
              <w:rPr>
                <w:rFonts w:ascii="Arial" w:cs="Arial" w:eastAsia="Arial" w:hAnsi="Arial"/>
                <w:color w:val="999999"/>
                <w:sz w:val="18"/>
                <w:szCs w:val="18"/>
              </w:rPr>
              <w:t xml:space="preserve">[Nation / Community Name]</w:t>
            </w:r>
          </w:p>
        </w:tc>
      </w:tr>
    </w:tbl>
    <w:p>
      <w:pPr>
        <w:spacing w:before="240"/>
      </w:pPr>
    </w:p>
    <w:p>
      <w:pPr>
        <w:spacing w:before="160" w:after="0"/>
        <w:jc w:val="center"/>
      </w:pPr>
      <w:r>
        <w:rPr>
          <w:rFonts w:ascii="Arial" w:cs="Arial" w:eastAsia="Arial" w:hAnsi="Arial"/>
          <w:color w:val="4A6080"/>
          <w:sz w:val="18"/>
          <w:szCs w:val="18"/>
        </w:rPr>
        <w:t xml:space="preserve">NOIZY · Indigenous Co-Design Protocol v1.0 · March 2026 · For community review and revision · GORUNFREE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11111"/>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2026-03-19T01:54:56.151Z</dcterms:created>
  <dcterms:modified xsi:type="dcterms:W3CDTF">2026-03-19T01:54:56.152Z</dcterms:modified>
</cp:coreProperties>
</file>

<file path=docProps/custom.xml><?xml version="1.0" encoding="utf-8"?>
<Properties xmlns="http://schemas.openxmlformats.org/officeDocument/2006/custom-properties" xmlns:vt="http://schemas.openxmlformats.org/officeDocument/2006/docPropsVTypes"/>
</file>