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Letter of Intent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{{date}}</w:t>
      </w:r>
    </w:p>
    <w:p w:rsidR="00000000" w:rsidDel="00000000" w:rsidP="00000000" w:rsidRDefault="00000000" w:rsidRPr="00000000" w14:paraId="00000004">
      <w:pPr>
        <w:widowControl w:val="0"/>
        <w:spacing w:before="218" w:line="276" w:lineRule="auto"/>
        <w:ind w:left="16" w:firstLine="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is an official Letter of Intent to purchase your property in its current “as-is” condition located 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18" w:line="276" w:lineRule="auto"/>
        <w:ind w:left="16" w:firstLine="0"/>
        <w:rPr/>
      </w:pPr>
      <w:r w:rsidDel="00000000" w:rsidR="00000000" w:rsidRPr="00000000">
        <w:rPr>
          <w:rtl w:val="0"/>
        </w:rPr>
        <w:t xml:space="preserve">Property Address: {{address}}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Buyer Name:{{buyer}}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{{userinfo}}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Purchase Price: {{price}}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Funding: All Cash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Proof of Funds: Will send via email upon request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Condition/Title: As-is condition with free and clear title and warranty deed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Inspection Contingency: 10 days from accepted offer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Earnest Money: $100 – refundable until inspection contingency is removed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Closing Date: 30 days from accepted offer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Access to Property: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  - If vacant: Seller to provide unrestricted access via lockbox code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  - If occupied: Seller to allow access with 24-hour notice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Closing Company: Seller to close with Buyer’s title company of choice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