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r w:rsidR="00202D99">
        <w:rPr>
          <w:sz w:val="24"/>
          <w:lang w:val="en-US"/>
        </w:rPr>
        <w:t xml:space="preserve"> &amp; Bruce Schultz</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202D99" w:rsidRDefault="00882F96" w:rsidP="006B164E">
      <w:r w:rsidRPr="00202D99">
        <w:t xml:space="preserve">      (draft)</w:t>
      </w:r>
      <w:r w:rsidR="00852EDE" w:rsidRPr="00202D99">
        <w:t xml:space="preserve">—natascha, meike, alpha, bruce, sepehr </w:t>
      </w:r>
      <w:r w:rsidR="00202D99" w:rsidRPr="00202D99">
        <w:t>, alex</w:t>
      </w:r>
    </w:p>
    <w:p w:rsidR="003C613A" w:rsidRPr="00822F2B" w:rsidRDefault="003C613A" w:rsidP="00882F96">
      <w:pPr>
        <w:jc w:val="both"/>
        <w:rPr>
          <w:sz w:val="24"/>
          <w:szCs w:val="24"/>
          <w:lang w:val="en-US"/>
        </w:rPr>
      </w:pPr>
      <w:r w:rsidRPr="00822F2B">
        <w:rPr>
          <w:sz w:val="24"/>
          <w:szCs w:val="24"/>
          <w:lang w:val="en-US"/>
        </w:rPr>
        <w:t>I am extremely grateful</w:t>
      </w:r>
      <w:r w:rsidR="00882F96" w:rsidRPr="00822F2B">
        <w:rPr>
          <w:sz w:val="24"/>
          <w:szCs w:val="24"/>
          <w:lang w:val="en-US"/>
        </w:rPr>
        <w:t xml:space="preserve"> to</w:t>
      </w:r>
      <w:r w:rsidRPr="00822F2B">
        <w:rPr>
          <w:sz w:val="24"/>
          <w:szCs w:val="24"/>
          <w:lang w:val="en-US"/>
        </w:rPr>
        <w:t xml:space="preserve"> Prof. Dr. Martin Hofmann-Apitius,  Head of Department of Bioinformatics at Fraunhofer Institute for Algorithms and Scientific Computing (SCAI), Sankt Augustin for </w:t>
      </w:r>
      <w:r w:rsidR="00882F96" w:rsidRPr="00822F2B">
        <w:rPr>
          <w:sz w:val="24"/>
          <w:szCs w:val="24"/>
          <w:lang w:val="en-US"/>
        </w:rPr>
        <w:t>offering me a place in his group to perform my master thesis on COVID-19 and clinical trials.</w:t>
      </w:r>
    </w:p>
    <w:p w:rsidR="00882F96" w:rsidRPr="00822F2B" w:rsidRDefault="00882F96" w:rsidP="00882F96">
      <w:pPr>
        <w:jc w:val="both"/>
        <w:rPr>
          <w:sz w:val="24"/>
          <w:szCs w:val="24"/>
          <w:lang w:val="en-US"/>
        </w:rPr>
      </w:pPr>
      <w:r w:rsidRPr="00822F2B">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22F2B" w:rsidRDefault="00882F96" w:rsidP="00882F96">
      <w:pPr>
        <w:jc w:val="both"/>
        <w:rPr>
          <w:sz w:val="24"/>
          <w:szCs w:val="24"/>
          <w:lang w:val="en-US"/>
        </w:rPr>
      </w:pPr>
      <w:r w:rsidRPr="00822F2B">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B66F59" w:rsidRDefault="00C773E4" w:rsidP="006B164E">
      <w:pPr>
        <w:rPr>
          <w:sz w:val="26"/>
          <w:szCs w:val="26"/>
          <w:lang w:val="en-US"/>
        </w:rPr>
      </w:pPr>
      <w:r w:rsidRPr="00B66F59">
        <w:rPr>
          <w:sz w:val="26"/>
          <w:szCs w:val="26"/>
          <w:lang w:val="en-US"/>
        </w:rPr>
        <w:t xml:space="preserve">At this juncture, I am reminded of </w:t>
      </w:r>
      <w:r w:rsidR="007767CB" w:rsidRPr="00B66F59">
        <w:rPr>
          <w:sz w:val="26"/>
          <w:szCs w:val="26"/>
          <w:lang w:val="en-US"/>
        </w:rPr>
        <w:t>the</w:t>
      </w:r>
      <w:r w:rsidRPr="00B66F59">
        <w:rPr>
          <w:sz w:val="26"/>
          <w:szCs w:val="26"/>
          <w:lang w:val="en-US"/>
        </w:rPr>
        <w:t xml:space="preserve"> </w:t>
      </w:r>
      <w:r w:rsidR="00E374EC" w:rsidRPr="00B66F59">
        <w:rPr>
          <w:sz w:val="26"/>
          <w:szCs w:val="26"/>
          <w:lang w:val="en-US"/>
        </w:rPr>
        <w:t>renowned</w:t>
      </w:r>
      <w:r w:rsidRPr="00B66F59">
        <w:rPr>
          <w:sz w:val="26"/>
          <w:szCs w:val="26"/>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bookmarkStart w:id="0" w:name="_GoBack"/>
            <w:bookmarkEnd w:id="0"/>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1615"/>
        <w:gridCol w:w="4426"/>
        <w:gridCol w:w="3021"/>
      </w:tblGrid>
      <w:tr w:rsidR="00461D39" w:rsidTr="005B5209">
        <w:tc>
          <w:tcPr>
            <w:tcW w:w="1615" w:type="dxa"/>
          </w:tcPr>
          <w:p w:rsidR="00461D39" w:rsidRPr="00505380" w:rsidRDefault="00461D39" w:rsidP="006B164E">
            <w:pPr>
              <w:rPr>
                <w:b/>
                <w:lang w:val="en-US"/>
              </w:rPr>
            </w:pPr>
            <w:r w:rsidRPr="00505380">
              <w:rPr>
                <w:b/>
                <w:lang w:val="en-US"/>
              </w:rPr>
              <w:t>Figure Number</w:t>
            </w:r>
          </w:p>
        </w:tc>
        <w:tc>
          <w:tcPr>
            <w:tcW w:w="4426"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202D99" w:rsidTr="005B5209">
        <w:tc>
          <w:tcPr>
            <w:tcW w:w="1615" w:type="dxa"/>
          </w:tcPr>
          <w:p w:rsidR="00461D39" w:rsidRDefault="00461D39" w:rsidP="006B164E">
            <w:pPr>
              <w:rPr>
                <w:lang w:val="en-US"/>
              </w:rPr>
            </w:pPr>
          </w:p>
        </w:tc>
        <w:tc>
          <w:tcPr>
            <w:tcW w:w="4426"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202D99" w:rsidTr="005B5209">
        <w:tc>
          <w:tcPr>
            <w:tcW w:w="1615" w:type="dxa"/>
          </w:tcPr>
          <w:p w:rsidR="00461D39" w:rsidRDefault="00461D39" w:rsidP="006B164E">
            <w:pPr>
              <w:rPr>
                <w:lang w:val="en-US"/>
              </w:rPr>
            </w:pPr>
          </w:p>
        </w:tc>
        <w:tc>
          <w:tcPr>
            <w:tcW w:w="4426" w:type="dxa"/>
          </w:tcPr>
          <w:p w:rsidR="00461D39" w:rsidRDefault="005B5209" w:rsidP="006B164E">
            <w:pPr>
              <w:rPr>
                <w:lang w:val="en-US"/>
              </w:rPr>
            </w:pPr>
            <w:r>
              <w:rPr>
                <w:sz w:val="24"/>
                <w:szCs w:val="24"/>
                <w:lang w:val="en-US"/>
              </w:rPr>
              <w:t>Manhattan plot representing a GWAS results</w:t>
            </w:r>
          </w:p>
        </w:tc>
        <w:tc>
          <w:tcPr>
            <w:tcW w:w="3021" w:type="dxa"/>
          </w:tcPr>
          <w:p w:rsidR="00461D39" w:rsidRDefault="00461D39" w:rsidP="006B164E">
            <w:pPr>
              <w:rPr>
                <w:lang w:val="en-US"/>
              </w:rPr>
            </w:pPr>
          </w:p>
        </w:tc>
      </w:tr>
      <w:tr w:rsidR="005B5209" w:rsidRPr="00202D99" w:rsidTr="005B5209">
        <w:tc>
          <w:tcPr>
            <w:tcW w:w="1615" w:type="dxa"/>
          </w:tcPr>
          <w:p w:rsidR="005B5209" w:rsidRDefault="005B5209" w:rsidP="005B5209">
            <w:pPr>
              <w:rPr>
                <w:lang w:val="en-US"/>
              </w:rPr>
            </w:pPr>
          </w:p>
        </w:tc>
        <w:tc>
          <w:tcPr>
            <w:tcW w:w="4426" w:type="dxa"/>
          </w:tcPr>
          <w:p w:rsidR="005B5209" w:rsidRDefault="005B5209" w:rsidP="005B5209">
            <w:pPr>
              <w:rPr>
                <w:lang w:val="en-US"/>
              </w:rPr>
            </w:pPr>
            <w:r>
              <w:rPr>
                <w:lang w:val="en-US"/>
              </w:rPr>
              <w:t>A simple directed labelled graph</w:t>
            </w:r>
          </w:p>
        </w:tc>
        <w:tc>
          <w:tcPr>
            <w:tcW w:w="3021" w:type="dxa"/>
          </w:tcPr>
          <w:p w:rsidR="005B5209" w:rsidRDefault="005B5209" w:rsidP="005B5209">
            <w:pPr>
              <w:rPr>
                <w:lang w:val="en-US"/>
              </w:rPr>
            </w:pPr>
          </w:p>
        </w:tc>
      </w:tr>
      <w:tr w:rsidR="005B5209" w:rsidRPr="00202D99" w:rsidTr="005B5209">
        <w:tc>
          <w:tcPr>
            <w:tcW w:w="1615" w:type="dxa"/>
          </w:tcPr>
          <w:p w:rsidR="005B5209" w:rsidRDefault="005B5209" w:rsidP="005B5209">
            <w:pPr>
              <w:rPr>
                <w:lang w:val="en-US"/>
              </w:rPr>
            </w:pPr>
          </w:p>
        </w:tc>
        <w:tc>
          <w:tcPr>
            <w:tcW w:w="4426" w:type="dxa"/>
          </w:tcPr>
          <w:p w:rsidR="005B5209" w:rsidRDefault="005B5209" w:rsidP="005B5209">
            <w:pPr>
              <w:rPr>
                <w:lang w:val="en-US"/>
              </w:rPr>
            </w:pPr>
          </w:p>
        </w:tc>
        <w:tc>
          <w:tcPr>
            <w:tcW w:w="3021" w:type="dxa"/>
          </w:tcPr>
          <w:p w:rsidR="005B5209" w:rsidRDefault="005B5209" w:rsidP="005B5209">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1615"/>
        <w:gridCol w:w="4426"/>
        <w:gridCol w:w="3021"/>
      </w:tblGrid>
      <w:tr w:rsidR="00505380" w:rsidTr="005B5209">
        <w:tc>
          <w:tcPr>
            <w:tcW w:w="1615" w:type="dxa"/>
          </w:tcPr>
          <w:p w:rsidR="00505380" w:rsidRPr="00505380" w:rsidRDefault="00505380" w:rsidP="009A66DF">
            <w:pPr>
              <w:rPr>
                <w:b/>
                <w:lang w:val="en-US"/>
              </w:rPr>
            </w:pPr>
            <w:r w:rsidRPr="00505380">
              <w:rPr>
                <w:b/>
                <w:lang w:val="en-US"/>
              </w:rPr>
              <w:t>Table Number</w:t>
            </w:r>
          </w:p>
        </w:tc>
        <w:tc>
          <w:tcPr>
            <w:tcW w:w="4426"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202D99" w:rsidTr="005B5209">
        <w:tc>
          <w:tcPr>
            <w:tcW w:w="1615" w:type="dxa"/>
          </w:tcPr>
          <w:p w:rsidR="00505380" w:rsidRDefault="00505380" w:rsidP="009A66DF">
            <w:pPr>
              <w:rPr>
                <w:lang w:val="en-US"/>
              </w:rPr>
            </w:pPr>
          </w:p>
        </w:tc>
        <w:tc>
          <w:tcPr>
            <w:tcW w:w="4426"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202D99"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202D99"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202D99"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202D99"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202D99"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202D99"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D27EC" w:rsidRDefault="00CA56CC" w:rsidP="003809FA">
      <w:pPr>
        <w:rPr>
          <w:sz w:val="24"/>
          <w:szCs w:val="24"/>
          <w:lang w:val="en-US"/>
        </w:rPr>
      </w:pPr>
      <w:r w:rsidRPr="008D27EC">
        <w:rPr>
          <w:sz w:val="24"/>
          <w:szCs w:val="24"/>
          <w:lang w:val="en-US"/>
        </w:rPr>
        <w:t xml:space="preserve">2.1 SARS-CoV-2 a novel coronavirus </w:t>
      </w:r>
    </w:p>
    <w:p w:rsidR="00CA56CC" w:rsidRPr="008D27EC" w:rsidRDefault="00CA56CC" w:rsidP="0004594B">
      <w:pPr>
        <w:jc w:val="both"/>
        <w:rPr>
          <w:sz w:val="24"/>
          <w:szCs w:val="24"/>
          <w:lang w:val="en-US"/>
        </w:rPr>
      </w:pPr>
      <w:r w:rsidRPr="008D27EC">
        <w:rPr>
          <w:sz w:val="24"/>
          <w:szCs w:val="24"/>
          <w:lang w:val="en-US"/>
        </w:rPr>
        <w:tab/>
        <w:t>The Severe Acute Respiratory Syndrome Coronavirus-2 (SARS-CoV-2</w:t>
      </w:r>
      <w:r w:rsidR="0058102D">
        <w:rPr>
          <w:sz w:val="24"/>
          <w:szCs w:val="24"/>
          <w:lang w:val="en-US"/>
        </w:rPr>
        <w:t>, colloquially known as COVID-19</w:t>
      </w:r>
      <w:r w:rsidRPr="008D27EC">
        <w:rPr>
          <w:sz w:val="24"/>
          <w:szCs w:val="24"/>
          <w:lang w:val="en-US"/>
        </w:rPr>
        <w:t xml:space="preserve">) a novel </w:t>
      </w:r>
      <w:r w:rsidR="0004594B" w:rsidRPr="008D27EC">
        <w:rPr>
          <w:sz w:val="24"/>
          <w:szCs w:val="24"/>
          <w:lang w:val="en-US"/>
        </w:rPr>
        <w:t>strain</w:t>
      </w:r>
      <w:r w:rsidRPr="008D27EC">
        <w:rPr>
          <w:sz w:val="24"/>
          <w:szCs w:val="24"/>
          <w:lang w:val="en-US"/>
        </w:rPr>
        <w:t xml:space="preserve"> and fatal coronavirus was first identified in Wuhan city of China in December 2019.  The common symptoms include increa</w:t>
      </w:r>
      <w:r w:rsidR="0004594B" w:rsidRPr="008D27EC">
        <w:rPr>
          <w:sz w:val="24"/>
          <w:szCs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D27EC">
        <w:rPr>
          <w:sz w:val="24"/>
          <w:szCs w:val="24"/>
          <w:lang w:val="en-US"/>
        </w:rPr>
        <w:t xml:space="preserve"> </w:t>
      </w:r>
      <w:r w:rsidR="00D9312E" w:rsidRPr="008D27EC">
        <w:rPr>
          <w:sz w:val="24"/>
          <w:szCs w:val="24"/>
          <w:lang w:val="en-US"/>
        </w:rPr>
        <w:t xml:space="preserve"> </w:t>
      </w:r>
      <w:r w:rsidR="00D9312E" w:rsidRPr="008D27EC">
        <w:rPr>
          <w:sz w:val="24"/>
          <w:szCs w:val="24"/>
          <w:lang w:val="en-US"/>
        </w:rPr>
        <w:fldChar w:fldCharType="begin" w:fldLock="1"/>
      </w:r>
      <w:r w:rsidR="00D9312E" w:rsidRPr="008D27EC">
        <w:rPr>
          <w:sz w:val="24"/>
          <w:szCs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D27EC">
        <w:rPr>
          <w:sz w:val="24"/>
          <w:szCs w:val="24"/>
          <w:lang w:val="en-US"/>
        </w:rPr>
        <w:fldChar w:fldCharType="separate"/>
      </w:r>
      <w:r w:rsidR="00D9312E" w:rsidRPr="008D27EC">
        <w:rPr>
          <w:noProof/>
          <w:sz w:val="24"/>
          <w:szCs w:val="24"/>
          <w:lang w:val="en-US"/>
        </w:rPr>
        <w:t>(</w:t>
      </w:r>
      <w:r w:rsidR="00D9312E" w:rsidRPr="008D27EC">
        <w:rPr>
          <w:i/>
          <w:noProof/>
          <w:sz w:val="24"/>
          <w:szCs w:val="24"/>
          <w:lang w:val="en-US"/>
        </w:rPr>
        <w:t>COVID Live Update: Worldometer</w:t>
      </w:r>
      <w:r w:rsidR="00D9312E" w:rsidRPr="008D27EC">
        <w:rPr>
          <w:noProof/>
          <w:sz w:val="24"/>
          <w:szCs w:val="24"/>
          <w:lang w:val="en-US"/>
        </w:rPr>
        <w:t>, n.d.)</w:t>
      </w:r>
      <w:r w:rsidR="00D9312E" w:rsidRPr="008D27EC">
        <w:rPr>
          <w:sz w:val="24"/>
          <w:szCs w:val="24"/>
          <w:lang w:val="en-US"/>
        </w:rPr>
        <w:fldChar w:fldCharType="end"/>
      </w:r>
      <w:r w:rsidR="00D9312E" w:rsidRPr="008D27EC">
        <w:rPr>
          <w:sz w:val="24"/>
          <w:szCs w:val="24"/>
          <w:lang w:val="en-US"/>
        </w:rPr>
        <w:t>.</w:t>
      </w:r>
      <w:r w:rsidR="0004594B" w:rsidRPr="008D27EC">
        <w:rPr>
          <w:sz w:val="24"/>
          <w:szCs w:val="24"/>
          <w:lang w:val="en-US"/>
        </w:rPr>
        <w:t xml:space="preserve">   </w:t>
      </w:r>
    </w:p>
    <w:p w:rsidR="00CA56CC" w:rsidRDefault="00E83F4E" w:rsidP="0004594B">
      <w:pPr>
        <w:jc w:val="both"/>
        <w:rPr>
          <w:sz w:val="24"/>
          <w:szCs w:val="24"/>
          <w:lang w:val="en-US"/>
        </w:rPr>
      </w:pPr>
      <w:r w:rsidRPr="008D27EC">
        <w:rPr>
          <w:sz w:val="24"/>
          <w:szCs w:val="24"/>
          <w:lang w:val="en-US"/>
        </w:rPr>
        <w:t>The coronaviruses generally is classified under the family Coronoviridae and subfamily Coronavirinae</w:t>
      </w:r>
      <w:r w:rsidR="00C92A5F" w:rsidRPr="008D27EC">
        <w:rPr>
          <w:sz w:val="24"/>
          <w:szCs w:val="24"/>
          <w:lang w:val="en-US"/>
        </w:rPr>
        <w:t xml:space="preserve"> which is subdivided into four genera namely Alphacoronavirus, Betacoronavirus, Gammacoronavirus and Deltacoronavirus</w:t>
      </w:r>
      <w:r w:rsidR="00334ADD" w:rsidRPr="008D27EC">
        <w:rPr>
          <w:sz w:val="24"/>
          <w:szCs w:val="24"/>
          <w:lang w:val="en-US"/>
        </w:rPr>
        <w:t xml:space="preserve"> </w:t>
      </w:r>
      <w:r w:rsidR="00334ADD" w:rsidRPr="008D27EC">
        <w:rPr>
          <w:sz w:val="24"/>
          <w:szCs w:val="24"/>
          <w:lang w:val="en-US"/>
        </w:rPr>
        <w:fldChar w:fldCharType="begin" w:fldLock="1"/>
      </w:r>
      <w:r w:rsidR="0005686E" w:rsidRPr="008D27EC">
        <w:rPr>
          <w:sz w:val="24"/>
          <w:szCs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D27EC">
        <w:rPr>
          <w:sz w:val="24"/>
          <w:szCs w:val="24"/>
          <w:lang w:val="en-US"/>
        </w:rPr>
        <w:fldChar w:fldCharType="separate"/>
      </w:r>
      <w:r w:rsidR="00334ADD" w:rsidRPr="008D27EC">
        <w:rPr>
          <w:noProof/>
          <w:sz w:val="24"/>
          <w:szCs w:val="24"/>
          <w:lang w:val="en-US"/>
        </w:rPr>
        <w:t>(Mittal et al., 2020)</w:t>
      </w:r>
      <w:r w:rsidR="00334ADD" w:rsidRPr="008D27EC">
        <w:rPr>
          <w:sz w:val="24"/>
          <w:szCs w:val="24"/>
          <w:lang w:val="en-US"/>
        </w:rPr>
        <w:fldChar w:fldCharType="end"/>
      </w:r>
      <w:r w:rsidR="00592F3F" w:rsidRPr="008D27EC">
        <w:rPr>
          <w:sz w:val="24"/>
          <w:szCs w:val="24"/>
          <w:lang w:val="en-US"/>
        </w:rPr>
        <w:t xml:space="preserve">.  </w:t>
      </w:r>
      <w:r w:rsidRPr="008D27EC">
        <w:rPr>
          <w:sz w:val="24"/>
          <w:szCs w:val="24"/>
          <w:lang w:val="en-US"/>
        </w:rPr>
        <w:t>The SARS-CoV-2</w:t>
      </w:r>
      <w:r w:rsidR="00592F3F" w:rsidRPr="008D27EC">
        <w:rPr>
          <w:sz w:val="24"/>
          <w:szCs w:val="24"/>
          <w:lang w:val="en-US"/>
        </w:rPr>
        <w:t>, a member of Betacoronavirus genera whose sequence is 96</w:t>
      </w:r>
      <w:r w:rsidRPr="008D27EC">
        <w:rPr>
          <w:sz w:val="24"/>
          <w:szCs w:val="24"/>
          <w:lang w:val="en-US"/>
        </w:rPr>
        <w:t>% ho</w:t>
      </w:r>
      <w:r w:rsidR="00592F3F" w:rsidRPr="008D27EC">
        <w:rPr>
          <w:sz w:val="24"/>
          <w:szCs w:val="24"/>
          <w:lang w:val="en-US"/>
        </w:rPr>
        <w:t xml:space="preserve">mologous to the bat coronavirus.  Its primary reservoir is considered to be bats and transmitted to human beings through an intermediate host called Pangolin </w:t>
      </w:r>
      <w:r w:rsidR="00166413" w:rsidRPr="008D27EC">
        <w:rPr>
          <w:sz w:val="24"/>
          <w:szCs w:val="24"/>
          <w:lang w:val="en-US"/>
        </w:rPr>
        <w:fldChar w:fldCharType="begin" w:fldLock="1"/>
      </w:r>
      <w:r w:rsidR="00692ADE" w:rsidRPr="008D27EC">
        <w:rPr>
          <w:sz w:val="24"/>
          <w:szCs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D27EC">
        <w:rPr>
          <w:sz w:val="24"/>
          <w:szCs w:val="24"/>
          <w:lang w:val="en-US"/>
        </w:rPr>
        <w:fldChar w:fldCharType="separate"/>
      </w:r>
      <w:r w:rsidR="00166413" w:rsidRPr="008D27EC">
        <w:rPr>
          <w:noProof/>
          <w:sz w:val="24"/>
          <w:szCs w:val="24"/>
          <w:lang w:val="en-US"/>
        </w:rPr>
        <w:t>(Zhao et al., 2020)</w:t>
      </w:r>
      <w:r w:rsidR="00166413" w:rsidRPr="008D27EC">
        <w:rPr>
          <w:sz w:val="24"/>
          <w:szCs w:val="24"/>
          <w:lang w:val="en-US"/>
        </w:rPr>
        <w:fldChar w:fldCharType="end"/>
      </w:r>
      <w:r w:rsidR="00334ADD" w:rsidRPr="008D27EC">
        <w:rPr>
          <w:sz w:val="24"/>
          <w:szCs w:val="24"/>
          <w:lang w:val="en-US"/>
        </w:rPr>
        <w:t>.</w:t>
      </w:r>
    </w:p>
    <w:p w:rsidR="0058102D" w:rsidRDefault="0058102D" w:rsidP="0004594B">
      <w:pPr>
        <w:jc w:val="both"/>
        <w:rPr>
          <w:sz w:val="24"/>
          <w:szCs w:val="24"/>
          <w:lang w:val="en-US"/>
        </w:rPr>
      </w:pPr>
      <w:r>
        <w:rPr>
          <w:sz w:val="24"/>
          <w:szCs w:val="24"/>
          <w:lang w:val="en-US"/>
        </w:rPr>
        <w:t>2.1.1 COVID-19 Variants</w:t>
      </w:r>
    </w:p>
    <w:p w:rsidR="0058102D" w:rsidRDefault="0058102D" w:rsidP="0004594B">
      <w:pPr>
        <w:jc w:val="both"/>
        <w:rPr>
          <w:sz w:val="24"/>
          <w:szCs w:val="24"/>
          <w:lang w:val="en-US"/>
        </w:rPr>
      </w:pPr>
      <w:r>
        <w:rPr>
          <w:sz w:val="24"/>
          <w:szCs w:val="24"/>
          <w:lang w:val="en-US"/>
        </w:rPr>
        <w:tab/>
        <w:t xml:space="preserve">The virus replicates inside the host cell, thus creating multiple copies for the invasion. It also occurs that some copying errors could occur during this process which is termed as mutation. A </w:t>
      </w:r>
      <w:r w:rsidR="00D67FA0">
        <w:rPr>
          <w:sz w:val="24"/>
          <w:szCs w:val="24"/>
          <w:lang w:val="en-US"/>
        </w:rPr>
        <w:t>“</w:t>
      </w:r>
      <w:r>
        <w:rPr>
          <w:sz w:val="24"/>
          <w:szCs w:val="24"/>
          <w:lang w:val="en-US"/>
        </w:rPr>
        <w:t>variant</w:t>
      </w:r>
      <w:r w:rsidR="00D67FA0">
        <w:rPr>
          <w:sz w:val="24"/>
          <w:szCs w:val="24"/>
          <w:lang w:val="en-US"/>
        </w:rPr>
        <w:t>”</w:t>
      </w:r>
      <w:r>
        <w:rPr>
          <w:sz w:val="24"/>
          <w:szCs w:val="24"/>
          <w:lang w:val="en-US"/>
        </w:rPr>
        <w:t xml:space="preserve"> can be termed as a group of coronaviruses, which shares the same set of mutations. </w:t>
      </w:r>
      <w:r w:rsidR="00D67FA0">
        <w:rPr>
          <w:sz w:val="24"/>
          <w:szCs w:val="24"/>
          <w:lang w:val="en-US"/>
        </w:rPr>
        <w:t xml:space="preserve">These mutations get accumulated in a lineage and termed as “strains”. </w:t>
      </w:r>
      <w:r>
        <w:rPr>
          <w:sz w:val="24"/>
          <w:szCs w:val="24"/>
          <w:lang w:val="en-US"/>
        </w:rPr>
        <w:t xml:space="preserve">  </w:t>
      </w:r>
    </w:p>
    <w:p w:rsidR="0058102D" w:rsidRDefault="00AA0EAB" w:rsidP="0004594B">
      <w:pPr>
        <w:jc w:val="both"/>
        <w:rPr>
          <w:sz w:val="24"/>
          <w:szCs w:val="24"/>
          <w:lang w:val="en-US"/>
        </w:rPr>
      </w:pPr>
      <w:r>
        <w:rPr>
          <w:sz w:val="24"/>
          <w:szCs w:val="24"/>
          <w:lang w:val="en-US"/>
        </w:rPr>
        <w:t>The US Government has classified into three classes of SARS-CoV-2 variants</w:t>
      </w:r>
      <w:r w:rsidR="00C2171A">
        <w:rPr>
          <w:sz w:val="24"/>
          <w:szCs w:val="24"/>
          <w:lang w:val="en-US"/>
        </w:rPr>
        <w:t xml:space="preserve"> namely </w:t>
      </w:r>
    </w:p>
    <w:p w:rsidR="00AE793B" w:rsidRDefault="00C2171A" w:rsidP="00C2171A">
      <w:pPr>
        <w:pStyle w:val="Listenabsatz"/>
        <w:numPr>
          <w:ilvl w:val="0"/>
          <w:numId w:val="9"/>
        </w:numPr>
        <w:jc w:val="both"/>
        <w:rPr>
          <w:sz w:val="24"/>
          <w:szCs w:val="24"/>
          <w:lang w:val="en-US"/>
        </w:rPr>
      </w:pPr>
      <w:r>
        <w:rPr>
          <w:sz w:val="24"/>
          <w:szCs w:val="24"/>
          <w:lang w:val="en-US"/>
        </w:rPr>
        <w:t>Variant</w:t>
      </w:r>
      <w:r w:rsidR="00DE74ED">
        <w:rPr>
          <w:sz w:val="24"/>
          <w:szCs w:val="24"/>
          <w:lang w:val="en-US"/>
        </w:rPr>
        <w:t>s</w:t>
      </w:r>
      <w:r>
        <w:rPr>
          <w:sz w:val="24"/>
          <w:szCs w:val="24"/>
          <w:lang w:val="en-US"/>
        </w:rPr>
        <w:t xml:space="preserve"> of Interest</w:t>
      </w:r>
      <w:r w:rsidR="00DE74ED">
        <w:rPr>
          <w:sz w:val="24"/>
          <w:szCs w:val="24"/>
          <w:lang w:val="en-US"/>
        </w:rPr>
        <w:t xml:space="preserve"> </w:t>
      </w:r>
      <w:r w:rsidR="00DE2B93">
        <w:rPr>
          <w:sz w:val="24"/>
          <w:szCs w:val="24"/>
          <w:lang w:val="en-US"/>
        </w:rPr>
        <w:t xml:space="preserve"> </w:t>
      </w:r>
      <w:r w:rsidR="00DE74ED">
        <w:rPr>
          <w:sz w:val="24"/>
          <w:szCs w:val="24"/>
          <w:lang w:val="en-US"/>
        </w:rPr>
        <w:t xml:space="preserve"> </w:t>
      </w:r>
    </w:p>
    <w:p w:rsidR="00C2171A" w:rsidRDefault="00DE74ED" w:rsidP="00AE793B">
      <w:pPr>
        <w:pStyle w:val="Listenabsatz"/>
        <w:ind w:firstLine="696"/>
        <w:jc w:val="both"/>
        <w:rPr>
          <w:sz w:val="24"/>
          <w:szCs w:val="24"/>
          <w:lang w:val="en-US"/>
        </w:rPr>
      </w:pPr>
      <w:r>
        <w:rPr>
          <w:sz w:val="24"/>
          <w:szCs w:val="24"/>
          <w:lang w:val="en-US"/>
        </w:rPr>
        <w:t xml:space="preserve">These </w:t>
      </w:r>
      <w:r w:rsidR="001B48C2">
        <w:rPr>
          <w:sz w:val="24"/>
          <w:szCs w:val="24"/>
          <w:lang w:val="en-US"/>
        </w:rPr>
        <w:t xml:space="preserve">variants are </w:t>
      </w:r>
      <w:r w:rsidR="00412EBC">
        <w:rPr>
          <w:sz w:val="24"/>
          <w:szCs w:val="24"/>
          <w:lang w:val="en-US"/>
        </w:rPr>
        <w:t>associated with increased transmissibility and reduced response for the corresponding treatments. This variants requires surveillance and investigations on the spread of the virus.</w:t>
      </w:r>
    </w:p>
    <w:p w:rsidR="00DE2B93" w:rsidRDefault="00DE2B93" w:rsidP="00AE793B">
      <w:pPr>
        <w:pStyle w:val="Listenabsatz"/>
        <w:ind w:firstLine="696"/>
        <w:jc w:val="both"/>
        <w:rPr>
          <w:sz w:val="24"/>
          <w:szCs w:val="24"/>
          <w:lang w:val="en-US"/>
        </w:rPr>
      </w:pPr>
    </w:p>
    <w:p w:rsidR="001B48C2" w:rsidRDefault="00C2171A" w:rsidP="001B48C2">
      <w:pPr>
        <w:pStyle w:val="Listenabsatz"/>
        <w:numPr>
          <w:ilvl w:val="0"/>
          <w:numId w:val="9"/>
        </w:numPr>
        <w:jc w:val="both"/>
        <w:rPr>
          <w:sz w:val="24"/>
          <w:szCs w:val="24"/>
          <w:lang w:val="en-US"/>
        </w:rPr>
      </w:pPr>
      <w:r>
        <w:rPr>
          <w:sz w:val="24"/>
          <w:szCs w:val="24"/>
          <w:lang w:val="en-US"/>
        </w:rPr>
        <w:t>Variant</w:t>
      </w:r>
      <w:r w:rsidR="00DE74ED">
        <w:rPr>
          <w:sz w:val="24"/>
          <w:szCs w:val="24"/>
          <w:lang w:val="en-US"/>
        </w:rPr>
        <w:t>s</w:t>
      </w:r>
      <w:r>
        <w:rPr>
          <w:sz w:val="24"/>
          <w:szCs w:val="24"/>
          <w:lang w:val="en-US"/>
        </w:rPr>
        <w:t xml:space="preserve"> of Concern</w:t>
      </w:r>
      <w:r w:rsidR="00DE74ED">
        <w:rPr>
          <w:sz w:val="24"/>
          <w:szCs w:val="24"/>
          <w:lang w:val="en-US"/>
        </w:rPr>
        <w:t xml:space="preserve"> </w:t>
      </w:r>
      <w:r w:rsidR="00DE2B93">
        <w:rPr>
          <w:sz w:val="24"/>
          <w:szCs w:val="24"/>
          <w:lang w:val="en-US"/>
        </w:rPr>
        <w:t xml:space="preserve"> </w:t>
      </w:r>
      <w:r w:rsidR="00DE74ED">
        <w:rPr>
          <w:sz w:val="24"/>
          <w:szCs w:val="24"/>
          <w:lang w:val="en-US"/>
        </w:rPr>
        <w:t xml:space="preserve"> </w:t>
      </w:r>
    </w:p>
    <w:p w:rsidR="001B48C2" w:rsidRPr="001B48C2" w:rsidRDefault="001B48C2" w:rsidP="001B48C2">
      <w:pPr>
        <w:pStyle w:val="Listenabsatz"/>
        <w:ind w:left="1416"/>
        <w:jc w:val="both"/>
        <w:rPr>
          <w:sz w:val="24"/>
          <w:szCs w:val="24"/>
          <w:lang w:val="en-US"/>
        </w:rPr>
      </w:pPr>
      <w:r>
        <w:rPr>
          <w:sz w:val="24"/>
          <w:szCs w:val="24"/>
          <w:lang w:val="en-US"/>
        </w:rPr>
        <w:t xml:space="preserve"> These variants are associated with high number of hospitalizations and deaths, </w:t>
      </w:r>
    </w:p>
    <w:p w:rsidR="001B48C2" w:rsidRDefault="001B48C2" w:rsidP="00DE2B93">
      <w:pPr>
        <w:pStyle w:val="Listenabsatz"/>
        <w:jc w:val="both"/>
        <w:rPr>
          <w:sz w:val="24"/>
          <w:szCs w:val="24"/>
          <w:lang w:val="en-US"/>
        </w:rPr>
      </w:pPr>
      <w:r>
        <w:rPr>
          <w:sz w:val="24"/>
          <w:szCs w:val="24"/>
          <w:lang w:val="en-US"/>
        </w:rPr>
        <w:t>reduced response for treatments</w:t>
      </w:r>
      <w:r w:rsidR="00DE2B93">
        <w:rPr>
          <w:sz w:val="24"/>
          <w:szCs w:val="24"/>
          <w:lang w:val="en-US"/>
        </w:rPr>
        <w:t xml:space="preserve"> or even the inability in the diagnosis detection</w:t>
      </w:r>
      <w:r>
        <w:rPr>
          <w:sz w:val="24"/>
          <w:szCs w:val="24"/>
          <w:lang w:val="en-US"/>
        </w:rPr>
        <w:t xml:space="preserve">. This variants requires </w:t>
      </w:r>
      <w:r w:rsidR="00DE2B93">
        <w:rPr>
          <w:sz w:val="24"/>
          <w:szCs w:val="24"/>
          <w:lang w:val="en-US"/>
        </w:rPr>
        <w:t>a notification to WHO (World Health Organization), local authorities to limit the spread of the variant and subsequent steps towards the efficient treatment and diagnostics</w:t>
      </w:r>
      <w:r>
        <w:rPr>
          <w:sz w:val="24"/>
          <w:szCs w:val="24"/>
          <w:lang w:val="en-US"/>
        </w:rPr>
        <w:t>.</w:t>
      </w:r>
    </w:p>
    <w:p w:rsidR="00DE2B93" w:rsidRPr="00DE2B93" w:rsidRDefault="00DE2B93" w:rsidP="00DE2B93">
      <w:pPr>
        <w:pStyle w:val="Listenabsatz"/>
        <w:jc w:val="both"/>
        <w:rPr>
          <w:sz w:val="24"/>
          <w:szCs w:val="24"/>
          <w:lang w:val="en-US"/>
        </w:rPr>
      </w:pPr>
    </w:p>
    <w:p w:rsidR="00DE2B93" w:rsidRPr="00501ECF" w:rsidRDefault="00C2171A" w:rsidP="00501ECF">
      <w:pPr>
        <w:pStyle w:val="Listenabsatz"/>
        <w:numPr>
          <w:ilvl w:val="0"/>
          <w:numId w:val="9"/>
        </w:numPr>
        <w:jc w:val="both"/>
        <w:rPr>
          <w:sz w:val="24"/>
          <w:szCs w:val="24"/>
          <w:lang w:val="en-US"/>
        </w:rPr>
      </w:pPr>
      <w:r>
        <w:rPr>
          <w:sz w:val="24"/>
          <w:szCs w:val="24"/>
          <w:lang w:val="en-US"/>
        </w:rPr>
        <w:t>Variant</w:t>
      </w:r>
      <w:r w:rsidR="00DE74ED">
        <w:rPr>
          <w:sz w:val="24"/>
          <w:szCs w:val="24"/>
          <w:lang w:val="en-US"/>
        </w:rPr>
        <w:t>s</w:t>
      </w:r>
      <w:r w:rsidR="001B48C2">
        <w:rPr>
          <w:sz w:val="24"/>
          <w:szCs w:val="24"/>
          <w:lang w:val="en-US"/>
        </w:rPr>
        <w:t xml:space="preserve"> of High Consequence</w:t>
      </w:r>
    </w:p>
    <w:p w:rsidR="00501ECF" w:rsidRPr="001B48C2" w:rsidRDefault="00501ECF" w:rsidP="00501ECF">
      <w:pPr>
        <w:pStyle w:val="Listenabsatz"/>
        <w:ind w:left="1416"/>
        <w:jc w:val="both"/>
        <w:rPr>
          <w:sz w:val="24"/>
          <w:szCs w:val="24"/>
          <w:lang w:val="en-US"/>
        </w:rPr>
      </w:pPr>
      <w:r>
        <w:rPr>
          <w:sz w:val="24"/>
          <w:szCs w:val="24"/>
          <w:lang w:val="en-US"/>
        </w:rPr>
        <w:t xml:space="preserve">These variants are associated with with medical countermeasures (MCMs) that, </w:t>
      </w:r>
    </w:p>
    <w:p w:rsidR="00501ECF" w:rsidRDefault="00501ECF" w:rsidP="00501ECF">
      <w:pPr>
        <w:pStyle w:val="Listenabsatz"/>
        <w:jc w:val="both"/>
        <w:rPr>
          <w:sz w:val="24"/>
          <w:szCs w:val="24"/>
          <w:lang w:val="en-US"/>
        </w:rPr>
      </w:pPr>
      <w:r>
        <w:rPr>
          <w:sz w:val="24"/>
          <w:szCs w:val="24"/>
          <w:lang w:val="en-US"/>
        </w:rPr>
        <w:t>reduces the effectiveness of other variants</w:t>
      </w:r>
      <w:r w:rsidR="00E16BA5">
        <w:rPr>
          <w:sz w:val="24"/>
          <w:szCs w:val="24"/>
          <w:lang w:val="en-US"/>
        </w:rPr>
        <w:t xml:space="preserve"> including the increased infection rates and higher failure of diagnostic detection and treatment</w:t>
      </w:r>
      <w:r>
        <w:rPr>
          <w:sz w:val="24"/>
          <w:szCs w:val="24"/>
          <w:lang w:val="en-US"/>
        </w:rPr>
        <w:t>.</w:t>
      </w:r>
      <w:r w:rsidR="00E16BA5">
        <w:rPr>
          <w:sz w:val="24"/>
          <w:szCs w:val="24"/>
          <w:lang w:val="en-US"/>
        </w:rPr>
        <w:t xml:space="preserve"> This again requires a notification to WHO (World Health Organization) to contain the transmission of the variant. </w:t>
      </w:r>
    </w:p>
    <w:p w:rsidR="00501ECF" w:rsidRPr="00501ECF" w:rsidRDefault="00501ECF" w:rsidP="00501ECF">
      <w:pPr>
        <w:pStyle w:val="Listenabsatz"/>
        <w:ind w:left="1416"/>
        <w:jc w:val="both"/>
        <w:rPr>
          <w:sz w:val="24"/>
          <w:szCs w:val="24"/>
          <w:lang w:val="en-US"/>
        </w:rPr>
      </w:pPr>
    </w:p>
    <w:p w:rsidR="00166413" w:rsidRDefault="00AA0EAB" w:rsidP="0004594B">
      <w:pPr>
        <w:jc w:val="both"/>
        <w:rPr>
          <w:sz w:val="24"/>
          <w:szCs w:val="24"/>
          <w:lang w:val="en-US"/>
        </w:rPr>
      </w:pPr>
      <w:r>
        <w:rPr>
          <w:sz w:val="24"/>
          <w:szCs w:val="24"/>
          <w:lang w:val="en-US"/>
        </w:rPr>
        <w:lastRenderedPageBreak/>
        <w:t xml:space="preserve"> </w:t>
      </w:r>
      <w:r w:rsidR="0053433B">
        <w:rPr>
          <w:noProof/>
          <w:lang w:val="en-US"/>
        </w:rPr>
        <w:drawing>
          <wp:inline distT="0" distB="0" distL="0" distR="0" wp14:anchorId="28865EDA" wp14:editId="490C3986">
            <wp:extent cx="5760720" cy="230060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00605"/>
                    </a:xfrm>
                    <a:prstGeom prst="rect">
                      <a:avLst/>
                    </a:prstGeom>
                  </pic:spPr>
                </pic:pic>
              </a:graphicData>
            </a:graphic>
          </wp:inline>
        </w:drawing>
      </w:r>
    </w:p>
    <w:p w:rsidR="00501ECF" w:rsidRDefault="00C50A05" w:rsidP="0004594B">
      <w:pPr>
        <w:jc w:val="both"/>
        <w:rPr>
          <w:sz w:val="24"/>
          <w:szCs w:val="24"/>
          <w:lang w:val="en-US"/>
        </w:rPr>
      </w:pPr>
      <w:r>
        <w:rPr>
          <w:sz w:val="24"/>
          <w:szCs w:val="24"/>
          <w:lang w:val="en-US"/>
        </w:rPr>
        <w:t xml:space="preserve">Fig: Various variants observed in India. </w:t>
      </w:r>
      <w:hyperlink r:id="rId9" w:history="1">
        <w:r w:rsidR="00202D99" w:rsidRPr="00A82ED4">
          <w:rPr>
            <w:rStyle w:val="Hyperlink"/>
            <w:sz w:val="24"/>
            <w:szCs w:val="24"/>
            <w:lang w:val="en-US"/>
          </w:rPr>
          <w:t>https://outbreak.info/location-reports?loc=IND</w:t>
        </w:r>
      </w:hyperlink>
    </w:p>
    <w:p w:rsidR="00202D99" w:rsidRPr="008D27EC" w:rsidRDefault="00202D99" w:rsidP="0004594B">
      <w:pPr>
        <w:jc w:val="both"/>
        <w:rPr>
          <w:sz w:val="24"/>
          <w:szCs w:val="24"/>
          <w:lang w:val="en-US"/>
        </w:rPr>
      </w:pPr>
      <w:r>
        <w:rPr>
          <w:sz w:val="24"/>
          <w:szCs w:val="24"/>
          <w:lang w:val="en-US"/>
        </w:rPr>
        <w:t>2.2 Structure of COVID-19 virus</w:t>
      </w:r>
    </w:p>
    <w:p w:rsidR="00692ADE" w:rsidRPr="008D27EC" w:rsidRDefault="00166413" w:rsidP="0004594B">
      <w:pPr>
        <w:jc w:val="both"/>
        <w:rPr>
          <w:sz w:val="24"/>
          <w:szCs w:val="24"/>
          <w:lang w:val="en-US"/>
        </w:rPr>
      </w:pPr>
      <w:r w:rsidRPr="008D27EC">
        <w:rPr>
          <w:sz w:val="24"/>
          <w:szCs w:val="24"/>
          <w:lang w:val="en-US"/>
        </w:rPr>
        <w:t xml:space="preserve">The SARS-CoV-2 also called by COVID-19 is spherical in structure with positively stranded RNA genome packed </w:t>
      </w:r>
      <w:r w:rsidR="00692ADE" w:rsidRPr="008D27EC">
        <w:rPr>
          <w:sz w:val="24"/>
          <w:szCs w:val="24"/>
          <w:lang w:val="en-US"/>
        </w:rPr>
        <w:t>inside the nucleocapsid protein (N) and enveloped by the membrane glycoprotein protein (M), envelope protein (E), and the spike protein (S</w:t>
      </w:r>
      <w:r w:rsidR="00334ADD" w:rsidRPr="008D27EC">
        <w:rPr>
          <w:sz w:val="24"/>
          <w:szCs w:val="24"/>
          <w:lang w:val="en-US"/>
        </w:rPr>
        <w:t>)</w:t>
      </w:r>
      <w:r w:rsidR="00692ADE" w:rsidRPr="008D27EC">
        <w:rPr>
          <w:sz w:val="24"/>
          <w:szCs w:val="24"/>
          <w:lang w:val="en-US"/>
        </w:rPr>
        <w:t>.</w:t>
      </w:r>
      <w:r w:rsidR="00F56A7C" w:rsidRPr="008D27EC">
        <w:rPr>
          <w:sz w:val="24"/>
          <w:szCs w:val="24"/>
          <w:lang w:val="en-US"/>
        </w:rPr>
        <w:t xml:space="preserve"> The typical virus lengths between 26.4 and 31.7 kb with the GC content ranging between 32% and 43% thus indicating to be the largest RNA virus  </w:t>
      </w:r>
      <w:r w:rsidR="00F56A7C" w:rsidRPr="008D27EC">
        <w:rPr>
          <w:sz w:val="24"/>
          <w:szCs w:val="24"/>
          <w:lang w:val="en-US"/>
        </w:rPr>
        <w:fldChar w:fldCharType="begin" w:fldLock="1"/>
      </w:r>
      <w:r w:rsidR="00F56A7C"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r w:rsidR="000806BC" w:rsidRPr="008D27EC">
        <w:rPr>
          <w:sz w:val="24"/>
          <w:szCs w:val="24"/>
          <w:lang w:val="en-US"/>
        </w:rPr>
        <w:t>.</w:t>
      </w:r>
    </w:p>
    <w:p w:rsidR="00692ADE" w:rsidRPr="008D27EC" w:rsidRDefault="00334ADD" w:rsidP="0004594B">
      <w:pPr>
        <w:jc w:val="both"/>
        <w:rPr>
          <w:sz w:val="24"/>
          <w:szCs w:val="24"/>
          <w:lang w:val="en-US"/>
        </w:rPr>
      </w:pPr>
      <w:r w:rsidRPr="008D27EC">
        <w:rPr>
          <w:noProof/>
          <w:sz w:val="24"/>
          <w:szCs w:val="24"/>
          <w:lang w:val="en-US"/>
        </w:rPr>
        <w:t xml:space="preserve">   </w:t>
      </w:r>
      <w:r w:rsidRPr="008D27EC">
        <w:rPr>
          <w:noProof/>
          <w:sz w:val="24"/>
          <w:szCs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Default="00D56227" w:rsidP="0004594B">
      <w:pPr>
        <w:jc w:val="both"/>
        <w:rPr>
          <w:sz w:val="24"/>
          <w:szCs w:val="24"/>
          <w:lang w:val="en-US"/>
        </w:rPr>
      </w:pPr>
      <w:r w:rsidRPr="008D27EC">
        <w:rPr>
          <w:sz w:val="24"/>
          <w:szCs w:val="24"/>
          <w:lang w:val="en-US"/>
        </w:rPr>
        <w:t>Figure 1 Structure of novel coronavirus</w:t>
      </w:r>
      <w:r w:rsidR="00435F3D" w:rsidRPr="008D27EC">
        <w:rPr>
          <w:sz w:val="24"/>
          <w:szCs w:val="24"/>
          <w:lang w:val="en-US"/>
        </w:rPr>
        <w:t xml:space="preserve"> SARS-CoV-2</w:t>
      </w:r>
      <w:r w:rsidRPr="008D27EC">
        <w:rPr>
          <w:sz w:val="24"/>
          <w:szCs w:val="24"/>
          <w:lang w:val="en-US"/>
        </w:rPr>
        <w:t xml:space="preserve">, Adapted from </w:t>
      </w:r>
      <w:r w:rsidR="00F56A7C" w:rsidRPr="008D27EC">
        <w:rPr>
          <w:sz w:val="24"/>
          <w:szCs w:val="24"/>
          <w:lang w:val="en-US"/>
        </w:rPr>
        <w:t xml:space="preserve"> </w:t>
      </w:r>
      <w:r w:rsidR="00F56A7C" w:rsidRPr="008D27EC">
        <w:rPr>
          <w:sz w:val="24"/>
          <w:szCs w:val="24"/>
          <w:lang w:val="en-US"/>
        </w:rPr>
        <w:fldChar w:fldCharType="begin" w:fldLock="1"/>
      </w:r>
      <w:r w:rsidR="0005686E"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p>
    <w:p w:rsidR="00875EB2" w:rsidRDefault="00875EB2" w:rsidP="0004594B">
      <w:pPr>
        <w:jc w:val="both"/>
        <w:rPr>
          <w:sz w:val="24"/>
          <w:szCs w:val="24"/>
          <w:lang w:val="en-US"/>
        </w:rPr>
      </w:pPr>
      <w:r>
        <w:rPr>
          <w:sz w:val="24"/>
          <w:szCs w:val="24"/>
          <w:lang w:val="en-US"/>
        </w:rPr>
        <w:t>2.3 Symptoms of COVID-19 virus</w:t>
      </w:r>
    </w:p>
    <w:p w:rsidR="00875EB2" w:rsidRDefault="00875EB2" w:rsidP="0004594B">
      <w:pPr>
        <w:jc w:val="both"/>
        <w:rPr>
          <w:sz w:val="24"/>
          <w:szCs w:val="24"/>
          <w:lang w:val="en-US"/>
        </w:rPr>
      </w:pPr>
      <w:r>
        <w:rPr>
          <w:sz w:val="24"/>
          <w:szCs w:val="24"/>
          <w:lang w:val="en-US"/>
        </w:rPr>
        <w:tab/>
      </w:r>
      <w:r w:rsidR="00914A88">
        <w:rPr>
          <w:sz w:val="24"/>
          <w:szCs w:val="24"/>
          <w:lang w:val="en-US"/>
        </w:rPr>
        <w:t>The common symptoms observed during the COVID-19 infection is listed below:</w:t>
      </w:r>
    </w:p>
    <w:p w:rsidR="00914A88" w:rsidRDefault="00914A88" w:rsidP="00914A88">
      <w:pPr>
        <w:pStyle w:val="Listenabsatz"/>
        <w:numPr>
          <w:ilvl w:val="0"/>
          <w:numId w:val="11"/>
        </w:numPr>
        <w:jc w:val="both"/>
        <w:rPr>
          <w:sz w:val="24"/>
          <w:szCs w:val="24"/>
          <w:lang w:val="en-US"/>
        </w:rPr>
      </w:pPr>
      <w:r>
        <w:rPr>
          <w:sz w:val="24"/>
          <w:szCs w:val="24"/>
          <w:lang w:val="en-US"/>
        </w:rPr>
        <w:t>Fever</w:t>
      </w:r>
    </w:p>
    <w:p w:rsidR="00914A88" w:rsidRDefault="00914A88" w:rsidP="00914A88">
      <w:pPr>
        <w:pStyle w:val="Listenabsatz"/>
        <w:numPr>
          <w:ilvl w:val="0"/>
          <w:numId w:val="11"/>
        </w:numPr>
        <w:jc w:val="both"/>
        <w:rPr>
          <w:sz w:val="24"/>
          <w:szCs w:val="24"/>
          <w:lang w:val="en-US"/>
        </w:rPr>
      </w:pPr>
      <w:r>
        <w:rPr>
          <w:sz w:val="24"/>
          <w:szCs w:val="24"/>
          <w:lang w:val="en-US"/>
        </w:rPr>
        <w:t>Cough</w:t>
      </w:r>
    </w:p>
    <w:p w:rsidR="0012671E" w:rsidRPr="0012671E" w:rsidRDefault="0012671E" w:rsidP="0012671E">
      <w:pPr>
        <w:pStyle w:val="Listenabsatz"/>
        <w:numPr>
          <w:ilvl w:val="0"/>
          <w:numId w:val="11"/>
        </w:numPr>
        <w:jc w:val="both"/>
        <w:rPr>
          <w:sz w:val="24"/>
          <w:szCs w:val="24"/>
          <w:lang w:val="en-US"/>
        </w:rPr>
      </w:pPr>
      <w:r>
        <w:rPr>
          <w:sz w:val="24"/>
          <w:szCs w:val="24"/>
          <w:lang w:val="en-US"/>
        </w:rPr>
        <w:lastRenderedPageBreak/>
        <w:t>Fatigue</w:t>
      </w:r>
    </w:p>
    <w:p w:rsidR="0012671E" w:rsidRDefault="0012671E" w:rsidP="0012671E">
      <w:pPr>
        <w:jc w:val="both"/>
        <w:rPr>
          <w:sz w:val="24"/>
          <w:szCs w:val="24"/>
          <w:lang w:val="en-US"/>
        </w:rPr>
      </w:pPr>
      <w:r>
        <w:rPr>
          <w:sz w:val="24"/>
          <w:szCs w:val="24"/>
          <w:lang w:val="en-US"/>
        </w:rPr>
        <w:t xml:space="preserve">The </w:t>
      </w:r>
      <w:r>
        <w:rPr>
          <w:sz w:val="24"/>
          <w:szCs w:val="24"/>
          <w:lang w:val="en-US"/>
        </w:rPr>
        <w:t>rare</w:t>
      </w:r>
      <w:r>
        <w:rPr>
          <w:sz w:val="24"/>
          <w:szCs w:val="24"/>
          <w:lang w:val="en-US"/>
        </w:rPr>
        <w:t xml:space="preserve"> symptoms observed during the COVID-19 infection is listed below:</w:t>
      </w:r>
    </w:p>
    <w:p w:rsidR="0012671E" w:rsidRDefault="0012671E" w:rsidP="0012671E">
      <w:pPr>
        <w:pStyle w:val="Listenabsatz"/>
        <w:numPr>
          <w:ilvl w:val="0"/>
          <w:numId w:val="12"/>
        </w:numPr>
        <w:jc w:val="both"/>
        <w:rPr>
          <w:sz w:val="24"/>
          <w:szCs w:val="24"/>
          <w:lang w:val="en-US"/>
        </w:rPr>
      </w:pPr>
      <w:r>
        <w:rPr>
          <w:sz w:val="24"/>
          <w:szCs w:val="24"/>
          <w:lang w:val="en-US"/>
        </w:rPr>
        <w:t>Diarrhea</w:t>
      </w:r>
    </w:p>
    <w:p w:rsidR="0012671E" w:rsidRDefault="0012671E" w:rsidP="0012671E">
      <w:pPr>
        <w:pStyle w:val="Listenabsatz"/>
        <w:numPr>
          <w:ilvl w:val="0"/>
          <w:numId w:val="12"/>
        </w:numPr>
        <w:jc w:val="both"/>
        <w:rPr>
          <w:sz w:val="24"/>
          <w:szCs w:val="24"/>
          <w:lang w:val="en-US"/>
        </w:rPr>
      </w:pPr>
      <w:r>
        <w:rPr>
          <w:sz w:val="24"/>
          <w:szCs w:val="24"/>
          <w:lang w:val="en-US"/>
        </w:rPr>
        <w:t>Sore throat</w:t>
      </w:r>
    </w:p>
    <w:p w:rsidR="0012671E" w:rsidRPr="0012671E" w:rsidRDefault="0012671E" w:rsidP="0012671E">
      <w:pPr>
        <w:pStyle w:val="Listenabsatz"/>
        <w:numPr>
          <w:ilvl w:val="0"/>
          <w:numId w:val="12"/>
        </w:numPr>
        <w:jc w:val="both"/>
        <w:rPr>
          <w:sz w:val="24"/>
          <w:szCs w:val="24"/>
          <w:lang w:val="en-US"/>
        </w:rPr>
      </w:pPr>
      <w:r>
        <w:t>R</w:t>
      </w:r>
      <w:r>
        <w:t>hinorrhea</w:t>
      </w:r>
    </w:p>
    <w:p w:rsidR="0012671E" w:rsidRPr="0012671E" w:rsidRDefault="0012671E" w:rsidP="0012671E">
      <w:pPr>
        <w:pStyle w:val="Listenabsatz"/>
        <w:numPr>
          <w:ilvl w:val="0"/>
          <w:numId w:val="12"/>
        </w:numPr>
        <w:jc w:val="both"/>
        <w:rPr>
          <w:sz w:val="24"/>
          <w:szCs w:val="24"/>
          <w:lang w:val="en-US"/>
        </w:rPr>
      </w:pPr>
      <w:r>
        <w:t xml:space="preserve">Congestion      </w:t>
      </w:r>
      <w:r>
        <w:fldChar w:fldCharType="begin" w:fldLock="1"/>
      </w:r>
      <w:r w:rsidR="00C07DC5">
        <w:instrText>ADDIN CSL_CITATION {"citationItems":[{"id":"ITEM-1","itemData":{"abstract":"The world is under pressure from the novel COVID-19 pandemic. Indonesia is the fourth most populous country in the world and predicted to be affected significantly over a longer timeperiod. Our paper aims to provide detailed reporting and analyses of the present rapid responses to COVID-19, between January and March 2020, in Indonesia. We partic- ularly highlight responses taken by the governments, non-government organisations and the community. We outline gaps and limitations in the responses, based on our rapid analysis of media contents, from government speeches and reports, social andmass media platforms. Wepresent five recommendations toward more rapid, effective, and compre- hensive responses.","author":[{"dropping-particle":"","family":"Fu","given":"Leiwen","non-dropping-particle":"","parse-names":false,"suffix":""},{"dropping-particle":"","family":"Wang","given":"Bingyi","non-dropping-particle":"","parse-names":false,"suffix":""},{"dropping-particle":"","family":"Yuan","given":"Tanwei","non-dropping-particle":"","parse-names":false,"suffix":""},{"dropping-particle":"","family":"Chen","given":"Xiaoting","non-dropping-particle":"","parse-names":false,"suffix":""},{"dropping-particle":"","family":"Ao","given":"Yunlong","non-dropping-particle":"","parse-names":false,"suffix":""}],"container-title":"Journal of Infection","id":"ITEM-1","issue":"January","issued":{"date-parts":[["2020"]]},"page":"656-665","title":"Clinical characteristics of coronavirus disease 2019 (COVID-19) in China: A systematic review and meta-analysis","type":"article-journal","volume":"80"},"uris":["http://www.mendeley.com/documents/?uuid=29eccc59-1b28-4e8e-a707-beebd990751d"]}],"mendeley":{"formattedCitation":"(Fu et al., 2020)","plainTextFormattedCitation":"(Fu et al., 2020)","previouslyFormattedCitation":"(Fu et al., 2020)"},"properties":{"noteIndex":0},"schema":"https://github.com/citation-style-language/schema/raw/master/csl-citation.json"}</w:instrText>
      </w:r>
      <w:r>
        <w:fldChar w:fldCharType="separate"/>
      </w:r>
      <w:r w:rsidRPr="0012671E">
        <w:rPr>
          <w:noProof/>
        </w:rPr>
        <w:t>(Fu et al., 2020)</w:t>
      </w:r>
      <w:r>
        <w:fldChar w:fldCharType="end"/>
      </w:r>
    </w:p>
    <w:p w:rsidR="0012671E" w:rsidRPr="00C07DC5" w:rsidRDefault="0012671E" w:rsidP="0012671E">
      <w:pPr>
        <w:jc w:val="both"/>
        <w:rPr>
          <w:sz w:val="24"/>
          <w:szCs w:val="24"/>
          <w:lang w:val="en-US"/>
        </w:rPr>
      </w:pPr>
      <w:r>
        <w:rPr>
          <w:sz w:val="24"/>
          <w:szCs w:val="24"/>
          <w:lang w:val="en-US"/>
        </w:rPr>
        <w:t xml:space="preserve">During the </w:t>
      </w:r>
      <w:r w:rsidR="000E0B1F">
        <w:rPr>
          <w:sz w:val="24"/>
          <w:szCs w:val="24"/>
          <w:lang w:val="en-US"/>
        </w:rPr>
        <w:t>onset of symptoms</w:t>
      </w:r>
      <w:r>
        <w:rPr>
          <w:sz w:val="24"/>
          <w:szCs w:val="24"/>
          <w:lang w:val="en-US"/>
        </w:rPr>
        <w:t xml:space="preserve">, </w:t>
      </w:r>
      <w:r w:rsidR="000E0B1F">
        <w:rPr>
          <w:sz w:val="24"/>
          <w:szCs w:val="24"/>
          <w:lang w:val="en-US"/>
        </w:rPr>
        <w:t xml:space="preserve">there is an elevated level of infection level of biomarkers namely Tumor Necrosis Factor (TNF), Interleukins (IL), </w:t>
      </w:r>
      <w:r w:rsidR="000E0B1F" w:rsidRPr="000E0B1F">
        <w:rPr>
          <w:lang w:val="en-US"/>
        </w:rPr>
        <w:t>Procalcitonin</w:t>
      </w:r>
      <w:r w:rsidR="000E0B1F">
        <w:rPr>
          <w:sz w:val="24"/>
          <w:szCs w:val="24"/>
          <w:lang w:val="en-US"/>
        </w:rPr>
        <w:t xml:space="preserve">, </w:t>
      </w:r>
      <w:r w:rsidR="000E0B1F" w:rsidRPr="000E0B1F">
        <w:rPr>
          <w:lang w:val="en-US"/>
        </w:rPr>
        <w:t>Erythrocyte sedimentation rate</w:t>
      </w:r>
      <w:r w:rsidR="000E0B1F">
        <w:rPr>
          <w:lang w:val="en-US"/>
        </w:rPr>
        <w:t xml:space="preserve">, </w:t>
      </w:r>
      <w:r w:rsidR="000E0B1F" w:rsidRPr="000E0B1F">
        <w:rPr>
          <w:lang w:val="en-US"/>
        </w:rPr>
        <w:t>C-reactive protein</w:t>
      </w:r>
      <w:r w:rsidR="000E0B1F">
        <w:rPr>
          <w:lang w:val="en-US"/>
        </w:rPr>
        <w:t xml:space="preserve"> (CRP)</w:t>
      </w:r>
      <w:r w:rsidR="00C07DC5">
        <w:rPr>
          <w:lang w:val="en-US"/>
        </w:rPr>
        <w:t xml:space="preserve">, </w:t>
      </w:r>
      <w:r w:rsidR="00C07DC5" w:rsidRPr="00C07DC5">
        <w:rPr>
          <w:lang w:val="en-US"/>
        </w:rPr>
        <w:t>Serum ferritin</w:t>
      </w:r>
      <w:r w:rsidR="00C07DC5">
        <w:rPr>
          <w:lang w:val="en-US"/>
        </w:rPr>
        <w:t xml:space="preserve"> along with the blood cells count </w:t>
      </w:r>
      <w:r w:rsidR="00C07DC5">
        <w:rPr>
          <w:lang w:val="en-US"/>
        </w:rPr>
        <w:fldChar w:fldCharType="begin" w:fldLock="1"/>
      </w:r>
      <w:r w:rsidR="00C07DC5">
        <w:rPr>
          <w:lang w:val="en-US"/>
        </w:rPr>
        <w:instrText>ADDIN CSL_CITATION {"citationItems":[{"id":"ITEM-1","itemData":{"DOI":"10.1093/cid/ciaa248","ISSN":"15376591","PMID":"32161940","abstract":"Background. In December 2019, coronavirus 2019 (COVID-19) emerged in Wuhan and rapidly spread throughout China. Methods. Demographic and clinical data of all confirmed cases with COVID-19 on admission at Tongji Hospital from 10 January to 12 February 2020 were collected and analyzed. The data on laboratory examinations, including peripheral lymphocyte subsets, were analyzed and compared between patients with severe and nonsevere infection. Results. Of the 452 patients with COVID-19 recruited, 286 were diagnosed as having severe infection. The median age was 58 years and 235 were male. The most common symptoms were fever, shortness of breath, expectoration, fatigue, dry cough, and myalgia. Severe cases tend to have lower lymphocyte counts, higher leukocyte counts and neutrophil-lymphocyte ratio (NLR), as well as lower percentages of monocytes, eosinophils, and basophils. Most severe cases demonstrated elevated levels of infection-related biomarkers and inflammatory cytokines. The number of T cells significantly decreased, and were more impaired in severe cases. Both helper T (Th) cells and suppressor T cells in patients with COVID-19 were below normal levels, with lower levels of Th cells in the severe group. The percentage of naive Th cells increased and memory Th cells decreased in severe cases. Patients with COVID-19 also have lower levels of regulatory T cells, which are more obviously decreased in severe cases. Conclusions. The novel coronavirus might mainly act on lymphocytes, especially T lymphocytes. Surveillance of NLR and lymphocyte subsets is helpful in the early screening of critical illness, diagnosis, and treatment of COVID-19.","author":[{"dropping-particle":"","family":"Qin","given":"Chuan","non-dropping-particle":"","parse-names":false,"suffix":""},{"dropping-particle":"","family":"Zhou","given":"Luoqi","non-dropping-particle":"","parse-names":false,"suffix":""},{"dropping-particle":"","family":"Hu","given":"Ziwei","non-dropping-particle":"","parse-names":false,"suffix":""},{"dropping-particle":"","family":"Zhang","given":"Shuoqi","non-dropping-particle":"","parse-names":false,"suffix":""},{"dropping-particle":"","family":"Yang","given":"Sheng","non-dropping-particle":"","parse-names":false,"suffix":""},{"dropping-particle":"","family":"Tao","given":"Yu","non-dropping-particle":"","parse-names":false,"suffix":""},{"dropping-particle":"","family":"Xie","given":"Cuihong","non-dropping-particle":"","parse-names":false,"suffix":""},{"dropping-particle":"","family":"Ma","given":"Ke","non-dropping-particle":"","parse-names":false,"suffix":""},{"dropping-particle":"","family":"Shang","given":"Ke","non-dropping-particle":"","parse-names":false,"suffix":""},{"dropping-particle":"","family":"Wang","given":"Wei","non-dropping-particle":"","parse-names":false,"suffix":""},{"dropping-particle":"","family":"Tian","given":"Dai Shi","non-dropping-particle":"","parse-names":false,"suffix":""}],"container-title":"Clinical Infectious Diseases","id":"ITEM-1","issue":"15","issued":{"date-parts":[["2020"]]},"page":"762-768","title":"Dysregulation of immune response in patients with coronavirus 2019 (COVID-19) in Wuhan, China","type":"article-journal","volume":"71"},"uris":["http://www.mendeley.com/documents/?uuid=da6c327f-aacd-44f5-8cad-be6fb59b8d88"]}],"mendeley":{"formattedCitation":"(Qin et al., 2020)","plainTextFormattedCitation":"(Qin et al., 2020)"},"properties":{"noteIndex":0},"schema":"https://github.com/citation-style-language/schema/raw/master/csl-citation.json"}</w:instrText>
      </w:r>
      <w:r w:rsidR="00C07DC5">
        <w:rPr>
          <w:lang w:val="en-US"/>
        </w:rPr>
        <w:fldChar w:fldCharType="separate"/>
      </w:r>
      <w:r w:rsidR="00C07DC5" w:rsidRPr="00C07DC5">
        <w:rPr>
          <w:noProof/>
          <w:lang w:val="en-US"/>
        </w:rPr>
        <w:t>(Qin et al., 2020)</w:t>
      </w:r>
      <w:r w:rsidR="00C07DC5">
        <w:rPr>
          <w:lang w:val="en-US"/>
        </w:rPr>
        <w:fldChar w:fldCharType="end"/>
      </w:r>
      <w:r w:rsidR="00C07DC5">
        <w:rPr>
          <w:lang w:val="en-US"/>
        </w:rPr>
        <w:t xml:space="preserve">. </w:t>
      </w:r>
    </w:p>
    <w:p w:rsidR="00852EDE" w:rsidRPr="008D27EC" w:rsidRDefault="00852EDE" w:rsidP="0004594B">
      <w:pPr>
        <w:jc w:val="both"/>
        <w:rPr>
          <w:sz w:val="24"/>
          <w:szCs w:val="24"/>
          <w:lang w:val="en-US"/>
        </w:rPr>
      </w:pPr>
    </w:p>
    <w:p w:rsidR="00567C38" w:rsidRPr="008D27EC" w:rsidRDefault="00567C38" w:rsidP="0004594B">
      <w:pPr>
        <w:jc w:val="both"/>
        <w:rPr>
          <w:sz w:val="24"/>
          <w:szCs w:val="24"/>
          <w:lang w:val="en-US"/>
        </w:rPr>
      </w:pPr>
      <w:r w:rsidRPr="008D27EC">
        <w:rPr>
          <w:sz w:val="24"/>
          <w:szCs w:val="24"/>
          <w:lang w:val="en-US"/>
        </w:rPr>
        <w:t>2.</w:t>
      </w:r>
      <w:r w:rsidR="00C07DC5">
        <w:rPr>
          <w:sz w:val="24"/>
          <w:szCs w:val="24"/>
          <w:lang w:val="en-US"/>
        </w:rPr>
        <w:t>4</w:t>
      </w:r>
      <w:r w:rsidRPr="008D27EC">
        <w:rPr>
          <w:sz w:val="24"/>
          <w:szCs w:val="24"/>
          <w:lang w:val="en-US"/>
        </w:rPr>
        <w:t xml:space="preserve"> Clinical trials</w:t>
      </w:r>
    </w:p>
    <w:p w:rsidR="00B11634" w:rsidRPr="008D27EC" w:rsidRDefault="00D32FF2" w:rsidP="0004594B">
      <w:pPr>
        <w:jc w:val="both"/>
        <w:rPr>
          <w:sz w:val="24"/>
          <w:szCs w:val="24"/>
          <w:lang w:val="en-US"/>
        </w:rPr>
      </w:pPr>
      <w:r w:rsidRPr="008D27EC">
        <w:rPr>
          <w:sz w:val="24"/>
          <w:szCs w:val="24"/>
          <w:lang w:val="en-US"/>
        </w:rPr>
        <w:tab/>
        <w:t>Clinical trials are experimental studies performed using volunteers with the objective of examining different interventions like medica</w:t>
      </w:r>
      <w:r w:rsidR="00852EDE" w:rsidRPr="008D27EC">
        <w:rPr>
          <w:sz w:val="24"/>
          <w:szCs w:val="24"/>
          <w:lang w:val="en-US"/>
        </w:rPr>
        <w:t xml:space="preserve">l, surgical or behavioral ones. </w:t>
      </w:r>
      <w:r w:rsidR="00781255" w:rsidRPr="008D27EC">
        <w:rPr>
          <w:sz w:val="24"/>
          <w:szCs w:val="24"/>
          <w:lang w:val="en-US"/>
        </w:rPr>
        <w:t>They can be classified into interventional studies and observational studies. These studies are led by a medical doctor assisted by other doctors, nurses</w:t>
      </w:r>
      <w:r w:rsidR="007609F7" w:rsidRPr="008D27EC">
        <w:rPr>
          <w:sz w:val="24"/>
          <w:szCs w:val="24"/>
          <w:lang w:val="en-US"/>
        </w:rPr>
        <w:t xml:space="preserve"> carried out in hospitals, universities and research institutes</w:t>
      </w:r>
      <w:r w:rsidR="0005686E" w:rsidRPr="008D27EC">
        <w:rPr>
          <w:sz w:val="24"/>
          <w:szCs w:val="24"/>
          <w:lang w:val="en-US"/>
        </w:rPr>
        <w:t xml:space="preserve"> </w:t>
      </w:r>
      <w:r w:rsidR="0005686E" w:rsidRPr="008D27EC">
        <w:rPr>
          <w:sz w:val="24"/>
          <w:szCs w:val="24"/>
          <w:lang w:val="en-US"/>
        </w:rPr>
        <w:fldChar w:fldCharType="begin" w:fldLock="1"/>
      </w:r>
      <w:r w:rsidR="0005686E" w:rsidRPr="008D27EC">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D27EC">
        <w:rPr>
          <w:sz w:val="24"/>
          <w:szCs w:val="24"/>
          <w:lang w:val="en-US"/>
        </w:rPr>
        <w:fldChar w:fldCharType="separate"/>
      </w:r>
      <w:r w:rsidR="0005686E" w:rsidRPr="008D27EC">
        <w:rPr>
          <w:noProof/>
          <w:sz w:val="24"/>
          <w:szCs w:val="24"/>
          <w:lang w:val="en-US"/>
        </w:rPr>
        <w:t>(</w:t>
      </w:r>
      <w:r w:rsidR="0005686E" w:rsidRPr="008D27EC">
        <w:rPr>
          <w:i/>
          <w:noProof/>
          <w:sz w:val="24"/>
          <w:szCs w:val="24"/>
          <w:lang w:val="en-US"/>
        </w:rPr>
        <w:t>Learn About Clinical Studies - ClinicalTrials.Gov</w:t>
      </w:r>
      <w:r w:rsidR="0005686E" w:rsidRPr="008D27EC">
        <w:rPr>
          <w:noProof/>
          <w:sz w:val="24"/>
          <w:szCs w:val="24"/>
          <w:lang w:val="en-US"/>
        </w:rPr>
        <w:t>, n.d.)</w:t>
      </w:r>
      <w:r w:rsidR="0005686E" w:rsidRPr="008D27EC">
        <w:rPr>
          <w:sz w:val="24"/>
          <w:szCs w:val="24"/>
          <w:lang w:val="en-US"/>
        </w:rPr>
        <w:fldChar w:fldCharType="end"/>
      </w:r>
      <w:r w:rsidR="007609F7" w:rsidRPr="008D27EC">
        <w:rPr>
          <w:sz w:val="24"/>
          <w:szCs w:val="24"/>
          <w:lang w:val="en-US"/>
        </w:rPr>
        <w:t xml:space="preserve">. </w:t>
      </w:r>
    </w:p>
    <w:p w:rsidR="00B11634" w:rsidRPr="008D27EC" w:rsidRDefault="00B11634" w:rsidP="0004594B">
      <w:pPr>
        <w:jc w:val="both"/>
        <w:rPr>
          <w:sz w:val="24"/>
          <w:szCs w:val="24"/>
          <w:lang w:val="en-US"/>
        </w:rPr>
      </w:pPr>
      <w:r w:rsidRPr="008D27EC">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D27EC" w:rsidRDefault="00CF6365" w:rsidP="0004594B">
      <w:pPr>
        <w:jc w:val="both"/>
        <w:rPr>
          <w:sz w:val="24"/>
          <w:szCs w:val="24"/>
          <w:lang w:val="en-US"/>
        </w:rPr>
      </w:pPr>
      <w:r w:rsidRPr="008D27EC">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D27EC" w:rsidRDefault="00113578" w:rsidP="0004594B">
      <w:pPr>
        <w:jc w:val="both"/>
        <w:rPr>
          <w:sz w:val="24"/>
          <w:szCs w:val="24"/>
          <w:lang w:val="en-US"/>
        </w:rPr>
      </w:pPr>
      <w:r w:rsidRPr="008D27EC">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D27EC" w:rsidRDefault="00113578" w:rsidP="0004594B">
      <w:pPr>
        <w:jc w:val="both"/>
        <w:rPr>
          <w:sz w:val="24"/>
          <w:szCs w:val="24"/>
          <w:lang w:val="en-US"/>
        </w:rPr>
      </w:pPr>
      <w:r w:rsidRPr="008D27EC">
        <w:rPr>
          <w:sz w:val="24"/>
          <w:szCs w:val="24"/>
          <w:lang w:val="en-US"/>
        </w:rPr>
        <w:t xml:space="preserve">Phase III: During this phase, around 3000 participants are enrolled to evaluate the effectiveness of the </w:t>
      </w:r>
      <w:r w:rsidR="00712D9F" w:rsidRPr="008D27EC">
        <w:rPr>
          <w:sz w:val="24"/>
          <w:szCs w:val="24"/>
          <w:lang w:val="en-US"/>
        </w:rPr>
        <w:t xml:space="preserve">medication across </w:t>
      </w:r>
      <w:r w:rsidR="0005686E" w:rsidRPr="008D27EC">
        <w:rPr>
          <w:sz w:val="24"/>
          <w:szCs w:val="24"/>
          <w:lang w:val="en-US"/>
        </w:rPr>
        <w:t>diverse</w:t>
      </w:r>
      <w:r w:rsidR="00712D9F" w:rsidRPr="008D27EC">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Pr="008D27EC" w:rsidRDefault="00712D9F" w:rsidP="0004594B">
      <w:pPr>
        <w:jc w:val="both"/>
        <w:rPr>
          <w:sz w:val="24"/>
          <w:szCs w:val="24"/>
          <w:lang w:val="en-US"/>
        </w:rPr>
      </w:pPr>
      <w:r w:rsidRPr="008D27EC">
        <w:rPr>
          <w:sz w:val="24"/>
          <w:szCs w:val="24"/>
          <w:lang w:val="en-US"/>
        </w:rPr>
        <w:t xml:space="preserve">Phase IV: During this final phase, </w:t>
      </w:r>
      <w:r w:rsidR="00E2423F" w:rsidRPr="008D27EC">
        <w:rPr>
          <w:sz w:val="24"/>
          <w:szCs w:val="24"/>
          <w:lang w:val="en-US"/>
        </w:rPr>
        <w:t xml:space="preserve">long time side effects and efficacy of the approved medications are evaluated across the thousands of participants </w:t>
      </w:r>
      <w:r w:rsidR="00EF1045" w:rsidRPr="008D27EC">
        <w:rPr>
          <w:sz w:val="24"/>
          <w:szCs w:val="24"/>
          <w:lang w:val="en-US"/>
        </w:rPr>
        <w:fldChar w:fldCharType="begin" w:fldLock="1"/>
      </w:r>
      <w:r w:rsidR="00FF6634" w:rsidRPr="008D27EC">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sidRPr="008D27EC">
        <w:rPr>
          <w:sz w:val="24"/>
          <w:szCs w:val="24"/>
          <w:lang w:val="en-US"/>
        </w:rPr>
        <w:fldChar w:fldCharType="separate"/>
      </w:r>
      <w:r w:rsidR="00EF1045" w:rsidRPr="008D27EC">
        <w:rPr>
          <w:noProof/>
          <w:sz w:val="24"/>
          <w:szCs w:val="24"/>
          <w:lang w:val="en-US"/>
        </w:rPr>
        <w:t>(</w:t>
      </w:r>
      <w:r w:rsidR="00EF1045" w:rsidRPr="008D27EC">
        <w:rPr>
          <w:i/>
          <w:noProof/>
          <w:sz w:val="24"/>
          <w:szCs w:val="24"/>
          <w:lang w:val="en-US"/>
        </w:rPr>
        <w:t>What Are Clinical Trials and Studies? | National Institute on Aging</w:t>
      </w:r>
      <w:r w:rsidR="00EF1045" w:rsidRPr="008D27EC">
        <w:rPr>
          <w:noProof/>
          <w:sz w:val="24"/>
          <w:szCs w:val="24"/>
          <w:lang w:val="en-US"/>
        </w:rPr>
        <w:t>, n.d.)</w:t>
      </w:r>
      <w:r w:rsidR="00EF1045" w:rsidRPr="008D27EC">
        <w:rPr>
          <w:sz w:val="24"/>
          <w:szCs w:val="24"/>
          <w:lang w:val="en-US"/>
        </w:rPr>
        <w:fldChar w:fldCharType="end"/>
      </w:r>
      <w:r w:rsidR="00EF1045" w:rsidRPr="008D27EC">
        <w:rPr>
          <w:sz w:val="24"/>
          <w:szCs w:val="24"/>
          <w:lang w:val="en-US"/>
        </w:rPr>
        <w:t>.</w:t>
      </w:r>
    </w:p>
    <w:p w:rsidR="00EF1045" w:rsidRPr="008D27EC" w:rsidRDefault="00EF1045" w:rsidP="0004594B">
      <w:pPr>
        <w:jc w:val="both"/>
        <w:rPr>
          <w:sz w:val="24"/>
          <w:szCs w:val="24"/>
          <w:lang w:val="en-US"/>
        </w:rPr>
      </w:pPr>
    </w:p>
    <w:p w:rsidR="00BE21D2" w:rsidRPr="008D27EC" w:rsidRDefault="00BE21D2" w:rsidP="0004594B">
      <w:pPr>
        <w:jc w:val="both"/>
        <w:rPr>
          <w:sz w:val="24"/>
          <w:szCs w:val="24"/>
          <w:lang w:val="en-US"/>
        </w:rPr>
      </w:pPr>
      <w:r w:rsidRPr="008D27EC">
        <w:rPr>
          <w:sz w:val="24"/>
          <w:szCs w:val="24"/>
          <w:lang w:val="en-US"/>
        </w:rPr>
        <w:t>2.</w:t>
      </w:r>
      <w:r w:rsidR="00C07DC5">
        <w:rPr>
          <w:sz w:val="24"/>
          <w:szCs w:val="24"/>
          <w:lang w:val="en-US"/>
        </w:rPr>
        <w:t>5</w:t>
      </w:r>
      <w:r w:rsidRPr="008D27EC">
        <w:rPr>
          <w:sz w:val="24"/>
          <w:szCs w:val="24"/>
          <w:lang w:val="en-US"/>
        </w:rPr>
        <w:t xml:space="preserve"> Clinical Trial Registries </w:t>
      </w:r>
    </w:p>
    <w:p w:rsidR="00BE21D2" w:rsidRPr="008D27EC" w:rsidRDefault="00D6363A" w:rsidP="0004594B">
      <w:pPr>
        <w:jc w:val="both"/>
        <w:rPr>
          <w:sz w:val="24"/>
          <w:szCs w:val="24"/>
          <w:lang w:val="en-US"/>
        </w:rPr>
      </w:pPr>
      <w:r w:rsidRPr="008D27EC">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D27EC">
        <w:rPr>
          <w:sz w:val="24"/>
          <w:szCs w:val="24"/>
          <w:lang w:val="en-US"/>
        </w:rPr>
        <w:t>Some notable registries are described as follows:</w:t>
      </w:r>
    </w:p>
    <w:p w:rsidR="00D6363A" w:rsidRPr="008D27EC" w:rsidRDefault="00D6363A" w:rsidP="0004594B">
      <w:pPr>
        <w:jc w:val="both"/>
        <w:rPr>
          <w:sz w:val="24"/>
          <w:szCs w:val="24"/>
          <w:lang w:val="en-US"/>
        </w:rPr>
      </w:pPr>
      <w:r w:rsidRPr="008D27EC">
        <w:rPr>
          <w:sz w:val="24"/>
          <w:szCs w:val="24"/>
          <w:lang w:val="en-US"/>
        </w:rPr>
        <w:lastRenderedPageBreak/>
        <w:t>2.</w:t>
      </w:r>
      <w:r w:rsidR="00C07DC5">
        <w:rPr>
          <w:sz w:val="24"/>
          <w:szCs w:val="24"/>
          <w:lang w:val="en-US"/>
        </w:rPr>
        <w:t>5</w:t>
      </w:r>
      <w:r w:rsidRPr="008D27EC">
        <w:rPr>
          <w:sz w:val="24"/>
          <w:szCs w:val="24"/>
          <w:lang w:val="en-US"/>
        </w:rPr>
        <w:t xml:space="preserve">.1 </w:t>
      </w:r>
      <w:r w:rsidR="00CF5485" w:rsidRPr="008D27EC">
        <w:rPr>
          <w:sz w:val="24"/>
          <w:szCs w:val="24"/>
          <w:lang w:val="en-US"/>
        </w:rPr>
        <w:t xml:space="preserve"> ClinicalTrials.gov</w:t>
      </w:r>
    </w:p>
    <w:p w:rsidR="00CF5485" w:rsidRPr="008D27EC" w:rsidRDefault="00CF5485" w:rsidP="0004594B">
      <w:pPr>
        <w:jc w:val="both"/>
        <w:rPr>
          <w:sz w:val="24"/>
          <w:szCs w:val="24"/>
          <w:lang w:val="en-US"/>
        </w:rPr>
      </w:pPr>
      <w:r w:rsidRPr="008D27EC">
        <w:rPr>
          <w:sz w:val="24"/>
          <w:szCs w:val="24"/>
          <w:lang w:val="en-US"/>
        </w:rPr>
        <w:tab/>
        <w:t>ClinicalTrials.gov is an US based trial registry maintained by the National Library of Medicine (NLM) at the National Institute of Health (NIH)</w:t>
      </w:r>
      <w:r w:rsidR="006B14EE" w:rsidRPr="008D27EC">
        <w:rPr>
          <w:sz w:val="24"/>
          <w:szCs w:val="24"/>
          <w:lang w:val="en-US"/>
        </w:rPr>
        <w:t>, made available in February 2000</w:t>
      </w:r>
      <w:r w:rsidRPr="008D27EC">
        <w:rPr>
          <w:sz w:val="24"/>
          <w:szCs w:val="24"/>
          <w:lang w:val="en-US"/>
        </w:rPr>
        <w:t xml:space="preserve">. </w:t>
      </w:r>
      <w:r w:rsidR="006B14EE" w:rsidRPr="008D27EC">
        <w:rPr>
          <w:sz w:val="24"/>
          <w:szCs w:val="24"/>
          <w:lang w:val="en-US"/>
        </w:rPr>
        <w:t xml:space="preserve">It holds both interventional and observational studies carried in 50 US states and 220 countries. The </w:t>
      </w:r>
      <w:r w:rsidR="00DD5015" w:rsidRPr="008D27EC">
        <w:rPr>
          <w:sz w:val="24"/>
          <w:szCs w:val="24"/>
          <w:lang w:val="en-US"/>
        </w:rPr>
        <w:t>records</w:t>
      </w:r>
      <w:r w:rsidR="006B14EE" w:rsidRPr="008D27EC">
        <w:rPr>
          <w:sz w:val="24"/>
          <w:szCs w:val="24"/>
          <w:lang w:val="en-US"/>
        </w:rPr>
        <w:t xml:space="preserve"> contains </w:t>
      </w:r>
      <w:r w:rsidR="00DD5015" w:rsidRPr="008D27EC">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D27EC">
        <w:rPr>
          <w:sz w:val="24"/>
          <w:szCs w:val="24"/>
          <w:lang w:val="en-US"/>
        </w:rPr>
        <w:t xml:space="preserve">the trials are </w:t>
      </w:r>
      <w:r w:rsidR="00DD5015" w:rsidRPr="008D27EC">
        <w:rPr>
          <w:sz w:val="24"/>
          <w:szCs w:val="24"/>
          <w:lang w:val="en-US"/>
        </w:rPr>
        <w:t>subject to Section 801 of FDAAA (FDAAA 801)</w:t>
      </w:r>
      <w:r w:rsidR="00A66366" w:rsidRPr="008D27EC">
        <w:rPr>
          <w:sz w:val="24"/>
          <w:szCs w:val="24"/>
          <w:lang w:val="en-US"/>
        </w:rPr>
        <w:t xml:space="preserve"> </w:t>
      </w:r>
      <w:r w:rsidR="00A66366" w:rsidRPr="008D27EC">
        <w:rPr>
          <w:sz w:val="24"/>
          <w:szCs w:val="24"/>
          <w:lang w:val="en-US"/>
        </w:rPr>
        <w:fldChar w:fldCharType="begin" w:fldLock="1"/>
      </w:r>
      <w:r w:rsidR="00D9312E" w:rsidRPr="008D27EC">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D27EC">
        <w:rPr>
          <w:sz w:val="24"/>
          <w:szCs w:val="24"/>
          <w:lang w:val="en-US"/>
        </w:rPr>
        <w:fldChar w:fldCharType="separate"/>
      </w:r>
      <w:r w:rsidR="00A66366" w:rsidRPr="008D27EC">
        <w:rPr>
          <w:noProof/>
          <w:sz w:val="24"/>
          <w:szCs w:val="24"/>
          <w:lang w:val="en-US"/>
        </w:rPr>
        <w:t>(</w:t>
      </w:r>
      <w:r w:rsidR="00A66366" w:rsidRPr="008D27EC">
        <w:rPr>
          <w:i/>
          <w:noProof/>
          <w:sz w:val="24"/>
          <w:szCs w:val="24"/>
          <w:lang w:val="en-US"/>
        </w:rPr>
        <w:t>ClinicalTrials.Gov Background - ClinicalTrials.Gov</w:t>
      </w:r>
      <w:r w:rsidR="00A66366" w:rsidRPr="008D27EC">
        <w:rPr>
          <w:noProof/>
          <w:sz w:val="24"/>
          <w:szCs w:val="24"/>
          <w:lang w:val="en-US"/>
        </w:rPr>
        <w:t>, n.d.)</w:t>
      </w:r>
      <w:r w:rsidR="00A66366" w:rsidRPr="008D27EC">
        <w:rPr>
          <w:sz w:val="24"/>
          <w:szCs w:val="24"/>
          <w:lang w:val="en-US"/>
        </w:rPr>
        <w:fldChar w:fldCharType="end"/>
      </w:r>
      <w:r w:rsidR="00A66366" w:rsidRPr="008D27EC">
        <w:rPr>
          <w:sz w:val="24"/>
          <w:szCs w:val="24"/>
          <w:lang w:val="en-US"/>
        </w:rPr>
        <w:t xml:space="preserve">. </w:t>
      </w:r>
    </w:p>
    <w:p w:rsidR="00A54601" w:rsidRPr="008D27EC" w:rsidRDefault="00F037B3" w:rsidP="0004594B">
      <w:pPr>
        <w:jc w:val="both"/>
        <w:rPr>
          <w:sz w:val="24"/>
          <w:szCs w:val="24"/>
          <w:lang w:val="en-US"/>
        </w:rPr>
      </w:pPr>
      <w:r w:rsidRPr="008D27EC">
        <w:rPr>
          <w:sz w:val="24"/>
          <w:szCs w:val="24"/>
          <w:lang w:val="en-US"/>
        </w:rPr>
        <w:t xml:space="preserve">The </w:t>
      </w:r>
      <w:r w:rsidR="00EE4768" w:rsidRPr="008D27EC">
        <w:rPr>
          <w:sz w:val="24"/>
          <w:szCs w:val="24"/>
          <w:lang w:val="en-US"/>
        </w:rPr>
        <w:t xml:space="preserve">ClinicalTrials.gov </w:t>
      </w:r>
      <w:r w:rsidRPr="008D27EC">
        <w:rPr>
          <w:sz w:val="24"/>
          <w:szCs w:val="24"/>
          <w:lang w:val="en-US"/>
        </w:rPr>
        <w:t xml:space="preserve">registry could be accessed via </w:t>
      </w:r>
      <w:hyperlink r:id="rId11" w:history="1">
        <w:r w:rsidRPr="008D27EC">
          <w:rPr>
            <w:rStyle w:val="Hyperlink"/>
            <w:sz w:val="24"/>
            <w:szCs w:val="24"/>
            <w:lang w:val="en-US"/>
          </w:rPr>
          <w:t>https://clinicaltrials.gov/</w:t>
        </w:r>
      </w:hyperlink>
      <w:r w:rsidRPr="008D27EC">
        <w:rPr>
          <w:sz w:val="24"/>
          <w:szCs w:val="24"/>
          <w:lang w:val="en-US"/>
        </w:rPr>
        <w:t xml:space="preserve">. </w:t>
      </w:r>
      <w:r w:rsidR="00461D39" w:rsidRPr="008D27EC">
        <w:rPr>
          <w:sz w:val="24"/>
          <w:szCs w:val="24"/>
          <w:lang w:val="en-US"/>
        </w:rPr>
        <w:t>The registry actually recorded 5,420 studies for the novel COVID 19 virus as of 21</w:t>
      </w:r>
      <w:r w:rsidR="00461D39" w:rsidRPr="008D27EC">
        <w:rPr>
          <w:sz w:val="24"/>
          <w:szCs w:val="24"/>
          <w:vertAlign w:val="superscript"/>
          <w:lang w:val="en-US"/>
        </w:rPr>
        <w:t>st</w:t>
      </w:r>
      <w:r w:rsidR="00461D39" w:rsidRPr="008D27EC">
        <w:rPr>
          <w:sz w:val="24"/>
          <w:szCs w:val="24"/>
          <w:lang w:val="en-US"/>
        </w:rPr>
        <w:t xml:space="preserve"> April 2021.  </w:t>
      </w:r>
    </w:p>
    <w:p w:rsidR="00A54601" w:rsidRPr="008D27EC" w:rsidRDefault="00A54601" w:rsidP="00A54601">
      <w:pPr>
        <w:jc w:val="both"/>
        <w:rPr>
          <w:sz w:val="24"/>
          <w:szCs w:val="24"/>
          <w:lang w:val="en-US"/>
        </w:rPr>
      </w:pPr>
      <w:r w:rsidRPr="008D27EC">
        <w:rPr>
          <w:sz w:val="24"/>
          <w:szCs w:val="24"/>
          <w:lang w:val="en-US"/>
        </w:rPr>
        <w:t>2.</w:t>
      </w:r>
      <w:r w:rsidR="00C07DC5">
        <w:rPr>
          <w:sz w:val="24"/>
          <w:szCs w:val="24"/>
          <w:lang w:val="en-US"/>
        </w:rPr>
        <w:t>5</w:t>
      </w:r>
      <w:r w:rsidRPr="008D27EC">
        <w:rPr>
          <w:sz w:val="24"/>
          <w:szCs w:val="24"/>
          <w:lang w:val="en-US"/>
        </w:rPr>
        <w:t>.2  ICTRP</w:t>
      </w:r>
    </w:p>
    <w:p w:rsidR="00250392" w:rsidRPr="008D27EC" w:rsidRDefault="00A54601" w:rsidP="00A54601">
      <w:pPr>
        <w:jc w:val="both"/>
        <w:rPr>
          <w:sz w:val="24"/>
          <w:szCs w:val="24"/>
          <w:lang w:val="en-US"/>
        </w:rPr>
      </w:pPr>
      <w:r w:rsidRPr="008D27EC">
        <w:rPr>
          <w:sz w:val="24"/>
          <w:szCs w:val="24"/>
          <w:lang w:val="en-US"/>
        </w:rPr>
        <w:tab/>
        <w:t xml:space="preserve">International Clinical Trials Registry Platform (ICTRP) is a project of World Health Organization (WHO) </w:t>
      </w:r>
      <w:r w:rsidR="0071626F" w:rsidRPr="008D27EC">
        <w:rPr>
          <w:sz w:val="24"/>
          <w:szCs w:val="24"/>
          <w:lang w:val="en-US"/>
        </w:rPr>
        <w:t xml:space="preserve">is to ensure the registration of </w:t>
      </w:r>
      <w:r w:rsidR="00250392" w:rsidRPr="008D27EC">
        <w:rPr>
          <w:i/>
          <w:sz w:val="24"/>
          <w:szCs w:val="24"/>
          <w:lang w:val="en-US"/>
        </w:rPr>
        <w:t>WHO Trial Registration Data Set</w:t>
      </w:r>
      <w:r w:rsidR="00250392" w:rsidRPr="008D27EC">
        <w:rPr>
          <w:sz w:val="24"/>
          <w:szCs w:val="24"/>
          <w:lang w:val="en-US"/>
        </w:rPr>
        <w:t xml:space="preserve"> </w:t>
      </w:r>
      <w:r w:rsidR="0071626F" w:rsidRPr="008D27EC">
        <w:rPr>
          <w:sz w:val="24"/>
          <w:szCs w:val="24"/>
          <w:lang w:val="en-US"/>
        </w:rPr>
        <w:t xml:space="preserve">and its accessibility to the public. </w:t>
      </w:r>
      <w:r w:rsidR="00250392" w:rsidRPr="008D27EC">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D27EC">
        <w:rPr>
          <w:sz w:val="24"/>
          <w:szCs w:val="24"/>
          <w:lang w:val="en-US"/>
        </w:rPr>
        <w:t>etc.</w:t>
      </w:r>
      <w:r w:rsidR="000C09D0" w:rsidRPr="008D27EC">
        <w:rPr>
          <w:sz w:val="24"/>
          <w:szCs w:val="24"/>
          <w:lang w:val="en-US"/>
        </w:rPr>
        <w:t xml:space="preserve"> </w:t>
      </w:r>
      <w:r w:rsidR="000C09D0" w:rsidRPr="008D27EC">
        <w:rPr>
          <w:sz w:val="24"/>
          <w:szCs w:val="24"/>
          <w:lang w:val="en-US"/>
        </w:rPr>
        <w:fldChar w:fldCharType="begin" w:fldLock="1"/>
      </w:r>
      <w:r w:rsidR="00852EDE" w:rsidRPr="008D27EC">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D27EC">
        <w:rPr>
          <w:sz w:val="24"/>
          <w:szCs w:val="24"/>
          <w:lang w:val="en-US"/>
        </w:rPr>
        <w:fldChar w:fldCharType="separate"/>
      </w:r>
      <w:r w:rsidR="000C09D0" w:rsidRPr="008D27EC">
        <w:rPr>
          <w:noProof/>
          <w:sz w:val="24"/>
          <w:szCs w:val="24"/>
          <w:lang w:val="en-US"/>
        </w:rPr>
        <w:t>(</w:t>
      </w:r>
      <w:r w:rsidR="000C09D0" w:rsidRPr="008D27EC">
        <w:rPr>
          <w:i/>
          <w:noProof/>
          <w:sz w:val="24"/>
          <w:szCs w:val="24"/>
          <w:lang w:val="en-US"/>
        </w:rPr>
        <w:t>About ICTRP</w:t>
      </w:r>
      <w:r w:rsidR="000C09D0" w:rsidRPr="008D27EC">
        <w:rPr>
          <w:noProof/>
          <w:sz w:val="24"/>
          <w:szCs w:val="24"/>
          <w:lang w:val="en-US"/>
        </w:rPr>
        <w:t>, n.d.)</w:t>
      </w:r>
      <w:r w:rsidR="000C09D0" w:rsidRPr="008D27EC">
        <w:rPr>
          <w:sz w:val="24"/>
          <w:szCs w:val="24"/>
          <w:lang w:val="en-US"/>
        </w:rPr>
        <w:fldChar w:fldCharType="end"/>
      </w:r>
      <w:r w:rsidR="00250392" w:rsidRPr="008D27EC">
        <w:rPr>
          <w:sz w:val="24"/>
          <w:szCs w:val="24"/>
          <w:lang w:val="en-US"/>
        </w:rPr>
        <w:t xml:space="preserve">. </w:t>
      </w:r>
    </w:p>
    <w:p w:rsidR="00A54601" w:rsidRPr="008D27EC" w:rsidRDefault="0071626F" w:rsidP="00A54601">
      <w:pPr>
        <w:jc w:val="both"/>
        <w:rPr>
          <w:sz w:val="24"/>
          <w:szCs w:val="24"/>
          <w:lang w:val="en-US"/>
        </w:rPr>
      </w:pPr>
      <w:r w:rsidRPr="008D27EC">
        <w:rPr>
          <w:sz w:val="24"/>
          <w:szCs w:val="24"/>
          <w:lang w:val="en-US"/>
        </w:rPr>
        <w:t xml:space="preserve"> </w:t>
      </w:r>
      <w:r w:rsidR="00EE4768" w:rsidRPr="008D27EC">
        <w:rPr>
          <w:sz w:val="24"/>
          <w:szCs w:val="24"/>
          <w:lang w:val="en-US"/>
        </w:rPr>
        <w:t xml:space="preserve">The ICTRP could be accessed via </w:t>
      </w:r>
      <w:hyperlink r:id="rId12" w:history="1">
        <w:r w:rsidR="00EE4768" w:rsidRPr="008D27EC">
          <w:rPr>
            <w:rStyle w:val="Hyperlink"/>
            <w:sz w:val="24"/>
            <w:szCs w:val="24"/>
            <w:lang w:val="en-US"/>
          </w:rPr>
          <w:t>https://apps.who.int/trialsearch/</w:t>
        </w:r>
      </w:hyperlink>
      <w:r w:rsidR="00EE4768" w:rsidRPr="008D27EC">
        <w:rPr>
          <w:sz w:val="24"/>
          <w:szCs w:val="24"/>
          <w:lang w:val="en-US"/>
        </w:rPr>
        <w:t xml:space="preserve">. </w:t>
      </w:r>
      <w:r w:rsidRPr="008D27EC">
        <w:rPr>
          <w:sz w:val="24"/>
          <w:szCs w:val="24"/>
          <w:lang w:val="en-US"/>
        </w:rPr>
        <w:t xml:space="preserve">It was established in August 2005 in Geneva, Switzerland. </w:t>
      </w:r>
    </w:p>
    <w:p w:rsidR="000C09D0" w:rsidRPr="008D27EC" w:rsidRDefault="000C09D0" w:rsidP="00A54601">
      <w:pPr>
        <w:jc w:val="both"/>
        <w:rPr>
          <w:sz w:val="24"/>
          <w:szCs w:val="24"/>
          <w:lang w:val="en-US"/>
        </w:rPr>
      </w:pPr>
    </w:p>
    <w:p w:rsidR="000C09D0" w:rsidRPr="008D27EC" w:rsidRDefault="000C09D0" w:rsidP="00A54601">
      <w:pPr>
        <w:jc w:val="both"/>
        <w:rPr>
          <w:sz w:val="24"/>
          <w:szCs w:val="24"/>
          <w:lang w:val="en-US"/>
        </w:rPr>
      </w:pPr>
      <w:r w:rsidRPr="008D27EC">
        <w:rPr>
          <w:sz w:val="24"/>
          <w:szCs w:val="24"/>
          <w:lang w:val="en-US"/>
        </w:rPr>
        <w:t>2.</w:t>
      </w:r>
      <w:r w:rsidR="00C07DC5">
        <w:rPr>
          <w:sz w:val="24"/>
          <w:szCs w:val="24"/>
          <w:lang w:val="en-US"/>
        </w:rPr>
        <w:t>5</w:t>
      </w:r>
      <w:r w:rsidRPr="008D27EC">
        <w:rPr>
          <w:sz w:val="24"/>
          <w:szCs w:val="24"/>
          <w:lang w:val="en-US"/>
        </w:rPr>
        <w:t>.3 EU Clinical Trials Register</w:t>
      </w:r>
    </w:p>
    <w:p w:rsidR="000C09D0" w:rsidRPr="008D27EC" w:rsidRDefault="000C09D0" w:rsidP="00A54601">
      <w:pPr>
        <w:jc w:val="both"/>
        <w:rPr>
          <w:sz w:val="24"/>
          <w:szCs w:val="24"/>
          <w:lang w:val="en-US"/>
        </w:rPr>
      </w:pPr>
      <w:r w:rsidRPr="008D27EC">
        <w:rPr>
          <w:sz w:val="24"/>
          <w:szCs w:val="24"/>
          <w:lang w:val="en-US"/>
        </w:rPr>
        <w:tab/>
        <w:t xml:space="preserve">The EU Clinical Trials Register records the interventional studies conducted in the European Union (EU) or the European Economic Area (EEA) started after May 01, 2004. </w:t>
      </w:r>
      <w:r w:rsidR="00E6007C" w:rsidRPr="008D27EC">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D27EC">
        <w:rPr>
          <w:sz w:val="24"/>
          <w:szCs w:val="24"/>
          <w:lang w:val="en-US"/>
        </w:rPr>
        <w:t xml:space="preserve"> and psychotherapeutic procedures</w:t>
      </w:r>
      <w:r w:rsidR="00852EDE" w:rsidRPr="008D27EC">
        <w:rPr>
          <w:sz w:val="24"/>
          <w:szCs w:val="24"/>
          <w:lang w:val="en-US"/>
        </w:rPr>
        <w:t xml:space="preserve"> </w:t>
      </w:r>
      <w:r w:rsidR="00852EDE" w:rsidRPr="008D27EC">
        <w:rPr>
          <w:sz w:val="24"/>
          <w:szCs w:val="24"/>
          <w:lang w:val="en-US"/>
        </w:rPr>
        <w:fldChar w:fldCharType="begin" w:fldLock="1"/>
      </w:r>
      <w:r w:rsidR="000D3301" w:rsidRPr="008D27EC">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D27EC">
        <w:rPr>
          <w:sz w:val="24"/>
          <w:szCs w:val="24"/>
          <w:lang w:val="en-US"/>
        </w:rPr>
        <w:fldChar w:fldCharType="separate"/>
      </w:r>
      <w:r w:rsidR="00852EDE" w:rsidRPr="008D27EC">
        <w:rPr>
          <w:noProof/>
          <w:sz w:val="24"/>
          <w:szCs w:val="24"/>
          <w:lang w:val="en-US"/>
        </w:rPr>
        <w:t>(</w:t>
      </w:r>
      <w:r w:rsidR="00852EDE" w:rsidRPr="008D27EC">
        <w:rPr>
          <w:i/>
          <w:noProof/>
          <w:sz w:val="24"/>
          <w:szCs w:val="24"/>
          <w:lang w:val="en-US"/>
        </w:rPr>
        <w:t>About the EU Clinical Trials Register</w:t>
      </w:r>
      <w:r w:rsidR="00852EDE" w:rsidRPr="008D27EC">
        <w:rPr>
          <w:noProof/>
          <w:sz w:val="24"/>
          <w:szCs w:val="24"/>
          <w:lang w:val="en-US"/>
        </w:rPr>
        <w:t>, n.d.)</w:t>
      </w:r>
      <w:r w:rsidR="00852EDE" w:rsidRPr="008D27EC">
        <w:rPr>
          <w:sz w:val="24"/>
          <w:szCs w:val="24"/>
          <w:lang w:val="en-US"/>
        </w:rPr>
        <w:fldChar w:fldCharType="end"/>
      </w:r>
      <w:r w:rsidR="00BE6BCB" w:rsidRPr="008D27EC">
        <w:rPr>
          <w:sz w:val="24"/>
          <w:szCs w:val="24"/>
          <w:lang w:val="en-US"/>
        </w:rPr>
        <w:t xml:space="preserve">. </w:t>
      </w:r>
      <w:r w:rsidR="00EE4768" w:rsidRPr="008D27EC">
        <w:rPr>
          <w:sz w:val="24"/>
          <w:szCs w:val="24"/>
          <w:lang w:val="en-US"/>
        </w:rPr>
        <w:t xml:space="preserve"> The EU Clinical Trials Register could be accessed via </w:t>
      </w:r>
      <w:hyperlink r:id="rId13" w:history="1">
        <w:r w:rsidR="00EE4768" w:rsidRPr="008D27EC">
          <w:rPr>
            <w:rStyle w:val="Hyperlink"/>
            <w:sz w:val="24"/>
            <w:szCs w:val="24"/>
            <w:lang w:val="en-US"/>
          </w:rPr>
          <w:t>https://www.clinicaltrialsregister.eu/ctr-search/search</w:t>
        </w:r>
      </w:hyperlink>
      <w:r w:rsidR="00EE4768" w:rsidRPr="008D27EC">
        <w:rPr>
          <w:sz w:val="24"/>
          <w:szCs w:val="24"/>
          <w:lang w:val="en-US"/>
        </w:rPr>
        <w:t xml:space="preserve">. </w:t>
      </w:r>
    </w:p>
    <w:p w:rsidR="00545AAD" w:rsidRPr="008D27EC" w:rsidRDefault="00545AAD" w:rsidP="00A54601">
      <w:pPr>
        <w:jc w:val="both"/>
        <w:rPr>
          <w:sz w:val="24"/>
          <w:szCs w:val="24"/>
          <w:lang w:val="en-US"/>
        </w:rPr>
      </w:pPr>
    </w:p>
    <w:p w:rsidR="00545AAD" w:rsidRPr="008D27EC" w:rsidRDefault="00545AAD" w:rsidP="00A54601">
      <w:pPr>
        <w:jc w:val="both"/>
        <w:rPr>
          <w:sz w:val="24"/>
          <w:szCs w:val="24"/>
          <w:lang w:val="en-US"/>
        </w:rPr>
      </w:pPr>
      <w:r w:rsidRPr="008D27EC">
        <w:rPr>
          <w:sz w:val="24"/>
          <w:szCs w:val="24"/>
          <w:lang w:val="en-US"/>
        </w:rPr>
        <w:t>2.</w:t>
      </w:r>
      <w:r w:rsidR="00C07DC5">
        <w:rPr>
          <w:sz w:val="24"/>
          <w:szCs w:val="24"/>
          <w:lang w:val="en-US"/>
        </w:rPr>
        <w:t>5</w:t>
      </w:r>
      <w:r w:rsidRPr="008D27EC">
        <w:rPr>
          <w:sz w:val="24"/>
          <w:szCs w:val="24"/>
          <w:lang w:val="en-US"/>
        </w:rPr>
        <w:t>.4 ECRIN-MDR</w:t>
      </w:r>
    </w:p>
    <w:p w:rsidR="00545AAD" w:rsidRPr="008D27EC" w:rsidRDefault="00545AAD" w:rsidP="00A54601">
      <w:pPr>
        <w:jc w:val="both"/>
        <w:rPr>
          <w:sz w:val="24"/>
          <w:szCs w:val="24"/>
          <w:lang w:val="en-US"/>
        </w:rPr>
      </w:pPr>
      <w:r w:rsidRPr="008D27EC">
        <w:rPr>
          <w:sz w:val="24"/>
          <w:szCs w:val="24"/>
          <w:lang w:val="en-US"/>
        </w:rPr>
        <w:tab/>
        <w:t>European Clinical Research Infrastructure Network (ECRIN) is an EU based non-profit organization built to facilitate multinational clinical research across twelve EU countries. T</w:t>
      </w:r>
      <w:r w:rsidR="00407D51" w:rsidRPr="008D27EC">
        <w:rPr>
          <w:sz w:val="24"/>
          <w:szCs w:val="24"/>
          <w:lang w:val="en-US"/>
        </w:rPr>
        <w:t xml:space="preserve">o support the COVID-19 research, ECRIN developed the Metadata Repository (MDR). It standardizes the </w:t>
      </w:r>
      <w:r w:rsidR="00435F3D" w:rsidRPr="008D27EC">
        <w:rPr>
          <w:sz w:val="24"/>
          <w:szCs w:val="24"/>
          <w:lang w:val="en-US"/>
        </w:rPr>
        <w:t xml:space="preserve">metadata about the clinical studies and thus it could be accessed by a web interface. This portal is an open source enabling researchers to access worldwide with the results directing to the open access journal article or a trial registry entry if the results are </w:t>
      </w:r>
      <w:r w:rsidR="00435F3D" w:rsidRPr="008D27EC">
        <w:rPr>
          <w:sz w:val="24"/>
          <w:szCs w:val="24"/>
          <w:lang w:val="en-US"/>
        </w:rPr>
        <w:lastRenderedPageBreak/>
        <w:t>publicly available</w:t>
      </w:r>
      <w:r w:rsidR="000D3301" w:rsidRPr="008D27EC">
        <w:rPr>
          <w:sz w:val="24"/>
          <w:szCs w:val="24"/>
          <w:lang w:val="en-US"/>
        </w:rPr>
        <w:t xml:space="preserve"> </w:t>
      </w:r>
      <w:r w:rsidR="000D3301" w:rsidRPr="008D27EC">
        <w:rPr>
          <w:sz w:val="24"/>
          <w:szCs w:val="24"/>
          <w:lang w:val="en-US"/>
        </w:rPr>
        <w:fldChar w:fldCharType="begin" w:fldLock="1"/>
      </w:r>
      <w:r w:rsidR="00F037B3" w:rsidRPr="008D27EC">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sidRPr="008D27EC">
        <w:rPr>
          <w:sz w:val="24"/>
          <w:szCs w:val="24"/>
          <w:lang w:val="en-US"/>
        </w:rPr>
        <w:fldChar w:fldCharType="separate"/>
      </w:r>
      <w:r w:rsidR="000D3301" w:rsidRPr="008D27EC">
        <w:rPr>
          <w:noProof/>
          <w:sz w:val="24"/>
          <w:szCs w:val="24"/>
          <w:lang w:val="en-US"/>
        </w:rPr>
        <w:t>(</w:t>
      </w:r>
      <w:r w:rsidR="000D3301" w:rsidRPr="008D27EC">
        <w:rPr>
          <w:i/>
          <w:noProof/>
          <w:sz w:val="24"/>
          <w:szCs w:val="24"/>
          <w:lang w:val="en-US"/>
        </w:rPr>
        <w:t>Clinical Research Metadata Repository | ECRIN</w:t>
      </w:r>
      <w:r w:rsidR="000D3301" w:rsidRPr="008D27EC">
        <w:rPr>
          <w:noProof/>
          <w:sz w:val="24"/>
          <w:szCs w:val="24"/>
          <w:lang w:val="en-US"/>
        </w:rPr>
        <w:t>, n.d.)</w:t>
      </w:r>
      <w:r w:rsidR="000D3301" w:rsidRPr="008D27EC">
        <w:rPr>
          <w:sz w:val="24"/>
          <w:szCs w:val="24"/>
          <w:lang w:val="en-US"/>
        </w:rPr>
        <w:fldChar w:fldCharType="end"/>
      </w:r>
      <w:r w:rsidR="00435F3D" w:rsidRPr="008D27EC">
        <w:rPr>
          <w:sz w:val="24"/>
          <w:szCs w:val="24"/>
          <w:lang w:val="en-US"/>
        </w:rPr>
        <w:t xml:space="preserve">. </w:t>
      </w:r>
      <w:r w:rsidR="00EE4768" w:rsidRPr="008D27EC">
        <w:rPr>
          <w:sz w:val="24"/>
          <w:szCs w:val="24"/>
          <w:lang w:val="en-US"/>
        </w:rPr>
        <w:t xml:space="preserve">The ECRIN-MDR could be accessed via </w:t>
      </w:r>
      <w:hyperlink r:id="rId14" w:history="1">
        <w:r w:rsidR="00EE4768" w:rsidRPr="008D27EC">
          <w:rPr>
            <w:rStyle w:val="Hyperlink"/>
            <w:sz w:val="24"/>
            <w:szCs w:val="24"/>
            <w:lang w:val="en-US"/>
          </w:rPr>
          <w:t>https://ecrin.org/tools/clinical-research-metadata-repository</w:t>
        </w:r>
      </w:hyperlink>
      <w:r w:rsidR="00EE4768" w:rsidRPr="008D27EC">
        <w:rPr>
          <w:sz w:val="24"/>
          <w:szCs w:val="24"/>
          <w:lang w:val="en-US"/>
        </w:rPr>
        <w:t xml:space="preserve">. </w:t>
      </w:r>
    </w:p>
    <w:p w:rsidR="000D3301" w:rsidRPr="008D27EC" w:rsidRDefault="000D3301" w:rsidP="00A54601">
      <w:pPr>
        <w:jc w:val="both"/>
        <w:rPr>
          <w:sz w:val="24"/>
          <w:szCs w:val="24"/>
          <w:lang w:val="en-US"/>
        </w:rPr>
      </w:pPr>
    </w:p>
    <w:p w:rsidR="000D3301" w:rsidRPr="008D27EC" w:rsidRDefault="000D3301" w:rsidP="00A54601">
      <w:pPr>
        <w:jc w:val="both"/>
        <w:rPr>
          <w:rStyle w:val="myclass"/>
          <w:sz w:val="24"/>
          <w:szCs w:val="24"/>
          <w:lang w:val="en-US"/>
        </w:rPr>
      </w:pPr>
      <w:r w:rsidRPr="008D27EC">
        <w:rPr>
          <w:sz w:val="24"/>
          <w:szCs w:val="24"/>
          <w:lang w:val="en-US"/>
        </w:rPr>
        <w:t>2.</w:t>
      </w:r>
      <w:r w:rsidR="00C07DC5">
        <w:rPr>
          <w:sz w:val="24"/>
          <w:szCs w:val="24"/>
          <w:lang w:val="en-US"/>
        </w:rPr>
        <w:t>5</w:t>
      </w:r>
      <w:r w:rsidRPr="008D27EC">
        <w:rPr>
          <w:sz w:val="24"/>
          <w:szCs w:val="24"/>
          <w:lang w:val="en-US"/>
        </w:rPr>
        <w:t xml:space="preserve">.5 </w:t>
      </w:r>
      <w:r w:rsidRPr="008D27EC">
        <w:rPr>
          <w:rStyle w:val="myclass"/>
          <w:sz w:val="24"/>
          <w:szCs w:val="24"/>
          <w:lang w:val="en-US"/>
        </w:rPr>
        <w:t>Global Coronavirus COVID-19 Clinical Trial Tracker</w:t>
      </w:r>
    </w:p>
    <w:p w:rsidR="00CD0B2E" w:rsidRPr="008D27EC" w:rsidRDefault="00CD0B2E" w:rsidP="00A54601">
      <w:pPr>
        <w:jc w:val="both"/>
        <w:rPr>
          <w:rStyle w:val="myclass"/>
          <w:sz w:val="24"/>
          <w:szCs w:val="24"/>
          <w:lang w:val="en-US"/>
        </w:rPr>
      </w:pPr>
      <w:r w:rsidRPr="008D27EC">
        <w:rPr>
          <w:rStyle w:val="myclass"/>
          <w:sz w:val="24"/>
          <w:szCs w:val="24"/>
          <w:lang w:val="en-US"/>
        </w:rPr>
        <w:tab/>
        <w:t xml:space="preserve">This is a specialized real time dashboard of clinical trial for COVID-19. The results are gathered from International Clinical Trials Registry Platform </w:t>
      </w:r>
      <w:r w:rsidRPr="008D27EC">
        <w:rPr>
          <w:sz w:val="24"/>
          <w:szCs w:val="24"/>
          <w:lang w:val="en-US"/>
        </w:rPr>
        <w:t>(ICTRP), Chinese Clinical Trial Registry</w:t>
      </w:r>
      <w:r w:rsidR="00E9060D" w:rsidRPr="008D27EC">
        <w:rPr>
          <w:sz w:val="24"/>
          <w:szCs w:val="24"/>
          <w:lang w:val="en-US"/>
        </w:rPr>
        <w:t xml:space="preserve"> (ChiCTR)</w:t>
      </w:r>
      <w:r w:rsidRPr="008D27EC">
        <w:rPr>
          <w:sz w:val="24"/>
          <w:szCs w:val="24"/>
          <w:lang w:val="en-US"/>
        </w:rPr>
        <w:t>, ClinicalTrials.gov, EU Clinical Trials Register</w:t>
      </w:r>
      <w:r w:rsidR="00155AB2" w:rsidRPr="008D27EC">
        <w:rPr>
          <w:sz w:val="24"/>
          <w:szCs w:val="24"/>
          <w:lang w:val="en-US"/>
        </w:rPr>
        <w:t xml:space="preserve">, </w:t>
      </w:r>
      <w:r w:rsidRPr="008D27EC">
        <w:rPr>
          <w:sz w:val="24"/>
          <w:szCs w:val="24"/>
          <w:lang w:val="en-US"/>
        </w:rPr>
        <w:t>Clinical Research Information Service – Republic of Korea</w:t>
      </w:r>
      <w:r w:rsidR="00077465" w:rsidRPr="008D27EC">
        <w:rPr>
          <w:sz w:val="24"/>
          <w:szCs w:val="24"/>
          <w:lang w:val="en-US"/>
        </w:rPr>
        <w:t xml:space="preserve"> (CRiS)</w:t>
      </w:r>
      <w:r w:rsidRPr="008D27EC">
        <w:rPr>
          <w:sz w:val="24"/>
          <w:szCs w:val="24"/>
          <w:lang w:val="en-US"/>
        </w:rPr>
        <w:t xml:space="preserve">, </w:t>
      </w:r>
      <w:r w:rsidR="00155AB2" w:rsidRPr="008D27EC">
        <w:rPr>
          <w:sz w:val="24"/>
          <w:szCs w:val="24"/>
          <w:lang w:val="en-US"/>
        </w:rPr>
        <w:t>Iranian Registry of Clinical Trials (IRCT), Japan Primary Registries Network (JPRN) and German Clinical Trials Register (DRKS) .</w:t>
      </w:r>
      <w:r w:rsidR="006C4E76" w:rsidRPr="008D27EC">
        <w:rPr>
          <w:sz w:val="24"/>
          <w:szCs w:val="24"/>
          <w:lang w:val="en-US"/>
        </w:rPr>
        <w:t xml:space="preserve"> To identify potential clinical studies Artificial Intelligence (AI) based methods are employed. </w:t>
      </w:r>
      <w:r w:rsidR="00F037B3" w:rsidRPr="008D27EC">
        <w:rPr>
          <w:sz w:val="24"/>
          <w:szCs w:val="24"/>
          <w:lang w:val="en-US"/>
        </w:rPr>
        <w:t xml:space="preserve">COVID-19 trials are mapped based on geographical, patient and intervention characteristics whose results are visualized in a convincing plots </w:t>
      </w:r>
      <w:r w:rsidR="00F037B3" w:rsidRPr="008D27EC">
        <w:rPr>
          <w:sz w:val="24"/>
          <w:szCs w:val="24"/>
          <w:lang w:val="en-US"/>
        </w:rPr>
        <w:fldChar w:fldCharType="begin" w:fldLock="1"/>
      </w:r>
      <w:r w:rsidR="00EE4768" w:rsidRPr="008D27EC">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sidRPr="008D27EC">
        <w:rPr>
          <w:sz w:val="24"/>
          <w:szCs w:val="24"/>
          <w:lang w:val="en-US"/>
        </w:rPr>
        <w:fldChar w:fldCharType="separate"/>
      </w:r>
      <w:r w:rsidR="00F037B3" w:rsidRPr="008D27EC">
        <w:rPr>
          <w:noProof/>
          <w:sz w:val="24"/>
          <w:szCs w:val="24"/>
          <w:lang w:val="en-US"/>
        </w:rPr>
        <w:t>(Thorlund et al., 2020)</w:t>
      </w:r>
      <w:r w:rsidR="00F037B3" w:rsidRPr="008D27EC">
        <w:rPr>
          <w:sz w:val="24"/>
          <w:szCs w:val="24"/>
          <w:lang w:val="en-US"/>
        </w:rPr>
        <w:fldChar w:fldCharType="end"/>
      </w:r>
      <w:r w:rsidR="00F037B3" w:rsidRPr="008D27EC">
        <w:rPr>
          <w:sz w:val="24"/>
          <w:szCs w:val="24"/>
          <w:lang w:val="en-US"/>
        </w:rPr>
        <w:t>.</w:t>
      </w:r>
      <w:r w:rsidR="00EE4768" w:rsidRPr="008D27EC">
        <w:rPr>
          <w:sz w:val="24"/>
          <w:szCs w:val="24"/>
          <w:lang w:val="en-US"/>
        </w:rPr>
        <w:t xml:space="preserve"> The real time dashboard could be accessed via </w:t>
      </w:r>
      <w:hyperlink r:id="rId15" w:history="1">
        <w:r w:rsidR="00EE4768" w:rsidRPr="008D27EC">
          <w:rPr>
            <w:rStyle w:val="Hyperlink"/>
            <w:sz w:val="24"/>
            <w:szCs w:val="24"/>
            <w:lang w:val="en-US"/>
          </w:rPr>
          <w:t>https://www.covid-trials.org/</w:t>
        </w:r>
      </w:hyperlink>
      <w:r w:rsidR="00EE4768" w:rsidRPr="008D27EC">
        <w:rPr>
          <w:sz w:val="24"/>
          <w:szCs w:val="24"/>
          <w:lang w:val="en-US"/>
        </w:rPr>
        <w:t xml:space="preserve">. </w:t>
      </w:r>
      <w:r w:rsidR="00F037B3" w:rsidRPr="008D27EC">
        <w:rPr>
          <w:sz w:val="24"/>
          <w:szCs w:val="24"/>
          <w:lang w:val="en-US"/>
        </w:rPr>
        <w:t xml:space="preserve"> </w:t>
      </w:r>
    </w:p>
    <w:p w:rsidR="000D3301" w:rsidRPr="008D27EC" w:rsidRDefault="000D3301" w:rsidP="00A54601">
      <w:pPr>
        <w:jc w:val="both"/>
        <w:rPr>
          <w:sz w:val="24"/>
          <w:szCs w:val="24"/>
          <w:lang w:val="en-US"/>
        </w:rPr>
      </w:pPr>
      <w:r w:rsidRPr="008D27EC">
        <w:rPr>
          <w:rStyle w:val="myclass"/>
          <w:sz w:val="24"/>
          <w:szCs w:val="24"/>
          <w:lang w:val="en-US"/>
        </w:rPr>
        <w:tab/>
      </w:r>
      <w:r w:rsidR="00155AB2" w:rsidRPr="008D27EC">
        <w:rPr>
          <w:rStyle w:val="myclass"/>
          <w:sz w:val="24"/>
          <w:szCs w:val="24"/>
          <w:lang w:val="en-US"/>
        </w:rPr>
        <w:t xml:space="preserve"> </w:t>
      </w:r>
    </w:p>
    <w:p w:rsidR="00A54601" w:rsidRPr="008D27EC" w:rsidRDefault="007767CB" w:rsidP="0004594B">
      <w:pPr>
        <w:jc w:val="both"/>
        <w:rPr>
          <w:sz w:val="24"/>
          <w:szCs w:val="24"/>
          <w:lang w:val="en-US"/>
        </w:rPr>
      </w:pPr>
      <w:r w:rsidRPr="008D27EC">
        <w:rPr>
          <w:sz w:val="24"/>
          <w:szCs w:val="24"/>
          <w:lang w:val="en-US"/>
        </w:rPr>
        <w:t>2.</w:t>
      </w:r>
      <w:r w:rsidR="00C07DC5">
        <w:rPr>
          <w:sz w:val="24"/>
          <w:szCs w:val="24"/>
          <w:lang w:val="en-US"/>
        </w:rPr>
        <w:t>6</w:t>
      </w:r>
      <w:r w:rsidRPr="008D27EC">
        <w:rPr>
          <w:sz w:val="24"/>
          <w:szCs w:val="24"/>
          <w:lang w:val="en-US"/>
        </w:rPr>
        <w:t xml:space="preserve"> Biological Expression Language (BEL)</w:t>
      </w:r>
    </w:p>
    <w:p w:rsidR="007767CB" w:rsidRPr="008D27EC" w:rsidRDefault="007767CB" w:rsidP="0004594B">
      <w:pPr>
        <w:jc w:val="both"/>
        <w:rPr>
          <w:sz w:val="24"/>
          <w:szCs w:val="24"/>
          <w:lang w:val="en-US"/>
        </w:rPr>
      </w:pPr>
      <w:r w:rsidRPr="008D27EC">
        <w:rPr>
          <w:sz w:val="24"/>
          <w:szCs w:val="24"/>
          <w:lang w:val="en-US"/>
        </w:rPr>
        <w:tab/>
        <w:t>The scientific knowledge available within a literature is mostly in the form of long free text and thus capturing of the available knowledge is cumbersome. This drawback is overcame by the Biological Expression Language (BEL</w:t>
      </w:r>
      <w:r w:rsidR="000C7A33" w:rsidRPr="008D27EC">
        <w:rPr>
          <w:sz w:val="24"/>
          <w:szCs w:val="24"/>
          <w:lang w:val="en-US"/>
        </w:rPr>
        <w:t>) that</w:t>
      </w:r>
      <w:r w:rsidRPr="008D27EC">
        <w:rPr>
          <w:sz w:val="24"/>
          <w:szCs w:val="24"/>
          <w:lang w:val="en-US"/>
        </w:rPr>
        <w:t xml:space="preserve"> represents the syntactical representation of biological relationships. </w:t>
      </w:r>
      <w:r w:rsidR="000C7A33" w:rsidRPr="008D27EC">
        <w:rPr>
          <w:sz w:val="24"/>
          <w:szCs w:val="24"/>
          <w:lang w:val="en-US"/>
        </w:rPr>
        <w:t>Thus, t</w:t>
      </w:r>
      <w:r w:rsidRPr="008D27EC">
        <w:rPr>
          <w:sz w:val="24"/>
          <w:szCs w:val="24"/>
          <w:lang w:val="en-US"/>
        </w:rPr>
        <w:t>he Biological Expression Language (BEL) originally designed by Selvanta is a language developed for the representation of knowledge in the life science domains</w:t>
      </w:r>
      <w:r w:rsidR="00E2510A" w:rsidRPr="008D27EC">
        <w:rPr>
          <w:sz w:val="24"/>
          <w:szCs w:val="24"/>
          <w:lang w:val="en-US"/>
        </w:rPr>
        <w:t xml:space="preserve"> thus paving the way for biocuration and enabling in identifying disease mechanisms, pathways, etc. in the literature</w:t>
      </w:r>
      <w:r w:rsidR="00FF6634" w:rsidRPr="008D27EC">
        <w:rPr>
          <w:sz w:val="24"/>
          <w:szCs w:val="24"/>
          <w:lang w:val="en-US"/>
        </w:rPr>
        <w:t xml:space="preserve"> </w:t>
      </w:r>
      <w:r w:rsidR="00FF6634"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sidRPr="008D27EC">
        <w:rPr>
          <w:sz w:val="24"/>
          <w:szCs w:val="24"/>
          <w:lang w:val="en-US"/>
        </w:rPr>
        <w:fldChar w:fldCharType="separate"/>
      </w:r>
      <w:r w:rsidR="00FF6634" w:rsidRPr="008D27EC">
        <w:rPr>
          <w:noProof/>
          <w:sz w:val="24"/>
          <w:szCs w:val="24"/>
          <w:lang w:val="en-US"/>
        </w:rPr>
        <w:t>(Madan et al., 2019)</w:t>
      </w:r>
      <w:r w:rsidR="00FF6634" w:rsidRPr="008D27EC">
        <w:rPr>
          <w:sz w:val="24"/>
          <w:szCs w:val="24"/>
          <w:lang w:val="en-US"/>
        </w:rPr>
        <w:fldChar w:fldCharType="end"/>
      </w:r>
      <w:r w:rsidRPr="008D27EC">
        <w:rPr>
          <w:sz w:val="24"/>
          <w:szCs w:val="24"/>
          <w:lang w:val="en-US"/>
        </w:rPr>
        <w:t xml:space="preserve">. </w:t>
      </w:r>
    </w:p>
    <w:p w:rsidR="002D59C3" w:rsidRPr="008D27EC" w:rsidRDefault="00E2510A" w:rsidP="0004594B">
      <w:pPr>
        <w:jc w:val="both"/>
        <w:rPr>
          <w:sz w:val="24"/>
          <w:szCs w:val="24"/>
          <w:lang w:val="en-US"/>
        </w:rPr>
      </w:pPr>
      <w:r w:rsidRPr="008D27EC">
        <w:rPr>
          <w:sz w:val="24"/>
          <w:szCs w:val="24"/>
          <w:lang w:val="en-US"/>
        </w:rPr>
        <w:t xml:space="preserve">In this language, the statements are transformed into subject, </w:t>
      </w:r>
      <w:r w:rsidR="00A60302" w:rsidRPr="008D27EC">
        <w:rPr>
          <w:sz w:val="24"/>
          <w:szCs w:val="24"/>
          <w:lang w:val="en-US"/>
        </w:rPr>
        <w:t>relation</w:t>
      </w:r>
      <w:r w:rsidRPr="008D27EC">
        <w:rPr>
          <w:sz w:val="24"/>
          <w:szCs w:val="24"/>
          <w:lang w:val="en-US"/>
        </w:rPr>
        <w:t xml:space="preserve">, object. </w:t>
      </w:r>
      <w:r w:rsidR="00A60302" w:rsidRPr="008D27EC">
        <w:rPr>
          <w:sz w:val="24"/>
          <w:szCs w:val="24"/>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sidRPr="008D27EC">
        <w:rPr>
          <w:sz w:val="24"/>
          <w:szCs w:val="24"/>
          <w:lang w:val="en-US"/>
        </w:rPr>
        <w:t xml:space="preserve"> The most common biological entities like gene is notated as g(), protein as p(), mRNA as r(). </w:t>
      </w:r>
    </w:p>
    <w:p w:rsidR="00FF6634" w:rsidRPr="008D27EC" w:rsidRDefault="00FF6634" w:rsidP="0004594B">
      <w:pPr>
        <w:jc w:val="both"/>
        <w:rPr>
          <w:sz w:val="24"/>
          <w:szCs w:val="24"/>
          <w:lang w:val="en-US"/>
        </w:rPr>
      </w:pPr>
      <w:r w:rsidRPr="008D27EC">
        <w:rPr>
          <w:noProof/>
          <w:sz w:val="24"/>
          <w:szCs w:val="24"/>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27150"/>
                    </a:xfrm>
                    <a:prstGeom prst="rect">
                      <a:avLst/>
                    </a:prstGeom>
                  </pic:spPr>
                </pic:pic>
              </a:graphicData>
            </a:graphic>
          </wp:inline>
        </w:drawing>
      </w:r>
    </w:p>
    <w:p w:rsidR="00FF6634" w:rsidRPr="008D27EC" w:rsidRDefault="00FF6634" w:rsidP="0004594B">
      <w:pPr>
        <w:jc w:val="both"/>
        <w:rPr>
          <w:sz w:val="24"/>
          <w:szCs w:val="24"/>
          <w:lang w:val="en-US"/>
        </w:rPr>
      </w:pPr>
      <w:r w:rsidRPr="008D27EC">
        <w:rPr>
          <w:sz w:val="24"/>
          <w:szCs w:val="24"/>
          <w:lang w:val="en-US"/>
        </w:rPr>
        <w:t xml:space="preserve">Figure : Structure of a BEL statement. Adapted from </w:t>
      </w:r>
      <w:r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Pr="008D27EC">
        <w:rPr>
          <w:sz w:val="24"/>
          <w:szCs w:val="24"/>
          <w:lang w:val="en-US"/>
        </w:rPr>
        <w:fldChar w:fldCharType="separate"/>
      </w:r>
      <w:r w:rsidRPr="008D27EC">
        <w:rPr>
          <w:noProof/>
          <w:sz w:val="24"/>
          <w:szCs w:val="24"/>
          <w:lang w:val="en-US"/>
        </w:rPr>
        <w:t>(Madan et al., 2019)</w:t>
      </w:r>
      <w:r w:rsidRPr="008D27EC">
        <w:rPr>
          <w:sz w:val="24"/>
          <w:szCs w:val="24"/>
          <w:lang w:val="en-US"/>
        </w:rPr>
        <w:fldChar w:fldCharType="end"/>
      </w:r>
      <w:r w:rsidRPr="008D27EC">
        <w:rPr>
          <w:sz w:val="24"/>
          <w:szCs w:val="24"/>
          <w:lang w:val="en-US"/>
        </w:rPr>
        <w:t>.</w:t>
      </w:r>
    </w:p>
    <w:p w:rsidR="002D59C3" w:rsidRPr="008D27EC" w:rsidRDefault="00A60302" w:rsidP="002D59C3">
      <w:pPr>
        <w:jc w:val="both"/>
        <w:rPr>
          <w:sz w:val="24"/>
          <w:szCs w:val="24"/>
          <w:lang w:val="en-US"/>
        </w:rPr>
      </w:pPr>
      <w:r w:rsidRPr="008D27EC">
        <w:rPr>
          <w:sz w:val="24"/>
          <w:szCs w:val="24"/>
          <w:lang w:val="en-US"/>
        </w:rPr>
        <w:t>The</w:t>
      </w:r>
      <w:r w:rsidR="002D59C3" w:rsidRPr="008D27EC">
        <w:rPr>
          <w:sz w:val="24"/>
          <w:szCs w:val="24"/>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RPr="008D27EC" w:rsidTr="002D59C3">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Function</w:t>
            </w:r>
          </w:p>
        </w:tc>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Notation</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Abundance</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Biological process</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bp()</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Cell Secretion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sec()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lastRenderedPageBreak/>
              <w:t>Location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Degaradation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Fragment</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Pathology</w:t>
            </w:r>
          </w:p>
        </w:tc>
        <w:tc>
          <w:tcPr>
            <w:tcW w:w="3136" w:type="dxa"/>
          </w:tcPr>
          <w:p w:rsidR="002D59C3" w:rsidRPr="008D27EC" w:rsidRDefault="00F92BE1" w:rsidP="002D59C3">
            <w:pPr>
              <w:pStyle w:val="Listenabsatz"/>
              <w:ind w:left="0"/>
              <w:jc w:val="both"/>
              <w:rPr>
                <w:sz w:val="24"/>
                <w:szCs w:val="24"/>
                <w:lang w:val="en-US"/>
              </w:rPr>
            </w:pPr>
            <w:r w:rsidRPr="008D27EC">
              <w:rPr>
                <w:sz w:val="24"/>
                <w:szCs w:val="24"/>
                <w:lang w:val="en-US"/>
              </w:rPr>
              <w:t>path()</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Translocation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tloc()</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Variant</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w:t>
            </w:r>
          </w:p>
        </w:tc>
      </w:tr>
    </w:tbl>
    <w:p w:rsidR="00F92BE1" w:rsidRPr="008D27EC" w:rsidRDefault="00F92BE1" w:rsidP="00F92BE1">
      <w:pPr>
        <w:jc w:val="both"/>
        <w:rPr>
          <w:sz w:val="24"/>
          <w:szCs w:val="24"/>
          <w:lang w:val="en-US"/>
        </w:rPr>
      </w:pPr>
    </w:p>
    <w:p w:rsidR="00F92BE1" w:rsidRPr="008D27EC" w:rsidRDefault="00F92BE1" w:rsidP="00F92BE1">
      <w:pPr>
        <w:jc w:val="both"/>
        <w:rPr>
          <w:sz w:val="24"/>
          <w:szCs w:val="24"/>
          <w:lang w:val="en-US"/>
        </w:rPr>
      </w:pPr>
      <w:r w:rsidRPr="008D27EC">
        <w:rPr>
          <w:sz w:val="24"/>
          <w:szCs w:val="24"/>
          <w:lang w:val="en-US"/>
        </w:rPr>
        <w:t>The various relationships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RPr="008D27EC" w:rsidTr="009A66DF">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Relationship</w:t>
            </w:r>
          </w:p>
        </w:tc>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 xml:space="preserve"> Meaning</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t>I</w:t>
            </w:r>
            <w:r w:rsidR="00F92BE1" w:rsidRPr="008D27EC">
              <w:rPr>
                <w:sz w:val="24"/>
                <w:szCs w:val="24"/>
                <w:lang w:val="en-US"/>
              </w:rPr>
              <w:t>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increases B</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t>D</w:t>
            </w:r>
            <w:r w:rsidR="00F92BE1" w:rsidRPr="008D27EC">
              <w:rPr>
                <w:sz w:val="24"/>
                <w:szCs w:val="24"/>
                <w:lang w:val="en-US"/>
              </w:rPr>
              <w:t>ecreases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decreases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increases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decreases B</w:t>
            </w:r>
          </w:p>
        </w:tc>
      </w:tr>
      <w:tr w:rsidR="00F92BE1" w:rsidRPr="00202D99"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isA</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is a subset of B</w:t>
            </w:r>
          </w:p>
        </w:tc>
      </w:tr>
      <w:tr w:rsidR="00F92BE1" w:rsidRPr="00202D99"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positiveCorrelation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positively correlated with B</w:t>
            </w:r>
          </w:p>
        </w:tc>
      </w:tr>
      <w:tr w:rsidR="00F92BE1" w:rsidRPr="00202D99"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negativeCorrelation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negatively correlated with B</w:t>
            </w:r>
          </w:p>
        </w:tc>
      </w:tr>
      <w:tr w:rsidR="00F92BE1" w:rsidRPr="00202D99"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biomarkerFor</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a biomarker for B</w:t>
            </w:r>
          </w:p>
        </w:tc>
      </w:tr>
      <w:tr w:rsidR="00F92BE1" w:rsidRPr="00202D99"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transcribedTo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gene is transcribed to RNA</w:t>
            </w:r>
          </w:p>
        </w:tc>
      </w:tr>
      <w:tr w:rsidR="00F92BE1" w:rsidRPr="00202D99"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translatedTo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RNA is translated to Protein</w:t>
            </w:r>
          </w:p>
        </w:tc>
      </w:tr>
    </w:tbl>
    <w:p w:rsidR="00F92BE1" w:rsidRPr="008D27EC" w:rsidRDefault="00F92BE1" w:rsidP="00F92BE1">
      <w:pPr>
        <w:jc w:val="both"/>
        <w:rPr>
          <w:sz w:val="24"/>
          <w:szCs w:val="24"/>
          <w:lang w:val="en-US"/>
        </w:rPr>
      </w:pPr>
    </w:p>
    <w:p w:rsidR="00454C0D" w:rsidRPr="008D27EC" w:rsidRDefault="00FF6634" w:rsidP="00F92BE1">
      <w:pPr>
        <w:jc w:val="both"/>
        <w:rPr>
          <w:sz w:val="24"/>
          <w:szCs w:val="24"/>
          <w:lang w:val="en-US"/>
        </w:rPr>
      </w:pPr>
      <w:r w:rsidRPr="008D27EC">
        <w:rPr>
          <w:sz w:val="24"/>
          <w:szCs w:val="24"/>
          <w:lang w:val="en-US"/>
        </w:rPr>
        <w:t xml:space="preserve"> Table : The list of various relationships and functions described by the BEL statements. Adapted from </w:t>
      </w:r>
      <w:r w:rsidR="00505380" w:rsidRPr="008D27EC">
        <w:rPr>
          <w:sz w:val="24"/>
          <w:szCs w:val="24"/>
          <w:lang w:val="en-US"/>
        </w:rPr>
        <w:t xml:space="preserve"> </w:t>
      </w:r>
      <w:r w:rsidR="00505380" w:rsidRPr="008D27EC">
        <w:rPr>
          <w:sz w:val="24"/>
          <w:szCs w:val="24"/>
          <w:lang w:val="en-US"/>
        </w:rPr>
        <w:fldChar w:fldCharType="begin" w:fldLock="1"/>
      </w:r>
      <w:r w:rsidR="00771096" w:rsidRPr="008D27EC">
        <w:rPr>
          <w:sz w:val="24"/>
          <w:szCs w:val="24"/>
          <w:lang w:val="en-US"/>
        </w:rPr>
        <w:instrText>ADDIN CSL_CITATION {"citationItems":[{"id":"ITEM-1","itemData":{"URL":"https://language.bel.bio/language/reference/2.1.0/relations/","accessed":{"date-parts":[["2021","4","28"]]},"id":"ITEM-1","issued":{"date-parts":[["0"]]},"title":"Relations :: Documentation for BEL Language","type":"webpage"},"uris":["http://www.mendeley.com/documents/?uuid=0f67724a-4c65-3ae8-8136-bedc96cb2c37"]}],"mendeley":{"formattedCitation":"(&lt;i&gt;Relations :: Documentation for BEL Language&lt;/i&gt;, n.d.)","plainTextFormattedCitation":"(Relations :: Documentation for BEL Language, n.d.)","previouslyFormattedCitation":"(&lt;i&gt;Relations :: Documentation for BEL Language&lt;/i&gt;, n.d.)"},"properties":{"noteIndex":0},"schema":"https://github.com/citation-style-language/schema/raw/master/csl-citation.json"}</w:instrText>
      </w:r>
      <w:r w:rsidR="00505380"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Relations :: Documentation for BEL Language</w:t>
      </w:r>
      <w:r w:rsidR="00771096" w:rsidRPr="008D27EC">
        <w:rPr>
          <w:noProof/>
          <w:sz w:val="24"/>
          <w:szCs w:val="24"/>
          <w:lang w:val="en-US"/>
        </w:rPr>
        <w:t>, n.d.)</w:t>
      </w:r>
      <w:r w:rsidR="00505380" w:rsidRPr="008D27EC">
        <w:rPr>
          <w:sz w:val="24"/>
          <w:szCs w:val="24"/>
          <w:lang w:val="en-US"/>
        </w:rPr>
        <w:fldChar w:fldCharType="end"/>
      </w:r>
    </w:p>
    <w:p w:rsidR="00065BA6" w:rsidRPr="008D27EC" w:rsidRDefault="00065BA6" w:rsidP="00F92BE1">
      <w:pPr>
        <w:jc w:val="both"/>
        <w:rPr>
          <w:sz w:val="24"/>
          <w:szCs w:val="24"/>
          <w:lang w:val="en-US"/>
        </w:rPr>
      </w:pPr>
    </w:p>
    <w:p w:rsidR="00065BA6" w:rsidRPr="008D27EC" w:rsidRDefault="007F0557" w:rsidP="00F92BE1">
      <w:pPr>
        <w:jc w:val="both"/>
        <w:rPr>
          <w:sz w:val="24"/>
          <w:szCs w:val="24"/>
          <w:lang w:val="en-US"/>
        </w:rPr>
      </w:pPr>
      <w:r w:rsidRPr="008D27EC">
        <w:rPr>
          <w:sz w:val="24"/>
          <w:szCs w:val="24"/>
          <w:lang w:val="en-US"/>
        </w:rPr>
        <w:t>2.</w:t>
      </w:r>
      <w:r w:rsidR="00C07DC5">
        <w:rPr>
          <w:sz w:val="24"/>
          <w:szCs w:val="24"/>
          <w:lang w:val="en-US"/>
        </w:rPr>
        <w:t>7</w:t>
      </w:r>
      <w:r w:rsidRPr="008D27EC">
        <w:rPr>
          <w:sz w:val="24"/>
          <w:szCs w:val="24"/>
          <w:lang w:val="en-US"/>
        </w:rPr>
        <w:t xml:space="preserve"> </w:t>
      </w:r>
      <w:r w:rsidR="00065BA6" w:rsidRPr="008D27EC">
        <w:rPr>
          <w:sz w:val="24"/>
          <w:szCs w:val="24"/>
          <w:lang w:val="en-US"/>
        </w:rPr>
        <w:t>Ontology:</w:t>
      </w:r>
    </w:p>
    <w:p w:rsidR="00065BA6" w:rsidRPr="008D27EC" w:rsidRDefault="00065BA6" w:rsidP="00F92BE1">
      <w:pPr>
        <w:jc w:val="both"/>
        <w:rPr>
          <w:sz w:val="24"/>
          <w:szCs w:val="24"/>
          <w:lang w:val="en-US"/>
        </w:rPr>
      </w:pPr>
      <w:r w:rsidRPr="008D27EC">
        <w:rPr>
          <w:sz w:val="24"/>
          <w:szCs w:val="24"/>
          <w:lang w:val="en-US"/>
        </w:rPr>
        <w:tab/>
        <w:t xml:space="preserve">Ontologies are developed to capture knowledge about a specific domain of interest like Genes, Clinical Trials, Parkinson Disease, COVID-19 etc. The ontology best describes the concepts within the specified domain along with the exploration of relationships existing between the concepts. </w:t>
      </w:r>
      <w:r w:rsidR="00582A8B" w:rsidRPr="008D27EC">
        <w:rPr>
          <w:sz w:val="24"/>
          <w:szCs w:val="24"/>
          <w:lang w:val="en-US"/>
        </w:rPr>
        <w:t xml:space="preserve"> An Ontology consisted of various components including Individuals, Classes, Attributes, Relations, Restrictions, Rules and Axioms. These ontologies are based on the </w:t>
      </w:r>
      <w:r w:rsidR="00582A8B" w:rsidRPr="008D27EC">
        <w:rPr>
          <w:i/>
          <w:sz w:val="24"/>
          <w:szCs w:val="24"/>
          <w:lang w:val="en-US"/>
        </w:rPr>
        <w:t>Open Biological and Biomedical Ontology</w:t>
      </w:r>
      <w:r w:rsidR="00582A8B" w:rsidRPr="008D27EC">
        <w:rPr>
          <w:sz w:val="24"/>
          <w:szCs w:val="24"/>
          <w:lang w:val="en-US"/>
        </w:rPr>
        <w:t xml:space="preserve"> (OBO) Foundry principles</w:t>
      </w:r>
      <w:r w:rsidR="007F0557" w:rsidRPr="008D27EC">
        <w:rPr>
          <w:sz w:val="24"/>
          <w:szCs w:val="24"/>
          <w:lang w:val="en-US"/>
        </w:rPr>
        <w:t xml:space="preserve"> in </w:t>
      </w:r>
      <w:r w:rsidR="007F0557" w:rsidRPr="008D27EC">
        <w:rPr>
          <w:i/>
          <w:sz w:val="24"/>
          <w:szCs w:val="24"/>
          <w:lang w:val="en-US"/>
        </w:rPr>
        <w:t>Web Ontology Language</w:t>
      </w:r>
      <w:r w:rsidR="007F0557" w:rsidRPr="008D27EC">
        <w:rPr>
          <w:sz w:val="24"/>
          <w:szCs w:val="24"/>
          <w:lang w:val="en-US"/>
        </w:rPr>
        <w:t xml:space="preserve"> (OWL) representations</w:t>
      </w:r>
      <w:r w:rsidR="00582A8B" w:rsidRPr="008D27EC">
        <w:rPr>
          <w:sz w:val="24"/>
          <w:szCs w:val="24"/>
          <w:lang w:val="en-US"/>
        </w:rPr>
        <w:t>.</w:t>
      </w:r>
      <w:r w:rsidR="007F0557" w:rsidRPr="008D27EC">
        <w:rPr>
          <w:sz w:val="24"/>
          <w:szCs w:val="24"/>
          <w:lang w:val="en-US"/>
        </w:rPr>
        <w:t xml:space="preserve"> </w:t>
      </w:r>
    </w:p>
    <w:p w:rsidR="007F0557" w:rsidRPr="008D27EC" w:rsidRDefault="007F0557" w:rsidP="00F92BE1">
      <w:pPr>
        <w:jc w:val="both"/>
        <w:rPr>
          <w:sz w:val="24"/>
          <w:szCs w:val="24"/>
          <w:lang w:val="en-US"/>
        </w:rPr>
      </w:pPr>
      <w:r w:rsidRPr="008D27EC">
        <w:rPr>
          <w:sz w:val="24"/>
          <w:szCs w:val="24"/>
          <w:lang w:val="en-US"/>
        </w:rPr>
        <w:t xml:space="preserve">Some applications of the Ontology includes extraction of information from various sources, improvement of communication/interoperability between people and organizations. </w:t>
      </w:r>
    </w:p>
    <w:p w:rsidR="007F0557" w:rsidRPr="008D27EC" w:rsidRDefault="007F0557" w:rsidP="00F92BE1">
      <w:pPr>
        <w:jc w:val="both"/>
        <w:rPr>
          <w:sz w:val="24"/>
          <w:szCs w:val="24"/>
          <w:lang w:val="en-US"/>
        </w:rPr>
      </w:pPr>
      <w:r w:rsidRPr="008D27EC">
        <w:rPr>
          <w:sz w:val="24"/>
          <w:szCs w:val="24"/>
          <w:lang w:val="en-US"/>
        </w:rPr>
        <w:t>2.</w:t>
      </w:r>
      <w:r w:rsidR="00C07DC5">
        <w:rPr>
          <w:sz w:val="24"/>
          <w:szCs w:val="24"/>
          <w:lang w:val="en-US"/>
        </w:rPr>
        <w:t>7</w:t>
      </w:r>
      <w:r w:rsidRPr="008D27EC">
        <w:rPr>
          <w:sz w:val="24"/>
          <w:szCs w:val="24"/>
          <w:lang w:val="en-US"/>
        </w:rPr>
        <w:t xml:space="preserve">.1 COVID-19 Ontology </w:t>
      </w:r>
    </w:p>
    <w:p w:rsidR="00454C0D" w:rsidRPr="008D27EC" w:rsidRDefault="007F0557" w:rsidP="00F92BE1">
      <w:pPr>
        <w:jc w:val="both"/>
        <w:rPr>
          <w:sz w:val="24"/>
          <w:szCs w:val="24"/>
          <w:lang w:val="en-US"/>
        </w:rPr>
      </w:pPr>
      <w:r w:rsidRPr="008D27EC">
        <w:rPr>
          <w:sz w:val="24"/>
          <w:szCs w:val="24"/>
          <w:lang w:val="en-US"/>
        </w:rPr>
        <w:tab/>
        <w:t xml:space="preserve">The COVID-19 ontology is </w:t>
      </w:r>
      <w:r w:rsidR="00D26030" w:rsidRPr="008D27EC">
        <w:rPr>
          <w:sz w:val="24"/>
          <w:szCs w:val="24"/>
          <w:lang w:val="en-US"/>
        </w:rPr>
        <w:t xml:space="preserve">exclusively designed to facilitate  </w:t>
      </w:r>
      <w:r w:rsidR="009B1D74" w:rsidRPr="008D27EC">
        <w:rPr>
          <w:sz w:val="24"/>
          <w:szCs w:val="24"/>
          <w:lang w:val="en-US"/>
        </w:rPr>
        <w:t>COVID-19 research in its virology, epidemiology, clinical aspects, disease maps and thus widely applied in text mining and drug repurposing.</w:t>
      </w:r>
      <w:r w:rsidR="00EC1273" w:rsidRPr="008D27EC">
        <w:rPr>
          <w:sz w:val="24"/>
          <w:szCs w:val="24"/>
          <w:lang w:val="en-US"/>
        </w:rPr>
        <w:t xml:space="preserve"> For building the ontology, the concepts and entities were derived from several research articles, reviews, COVID-19 related websites which are assembled using </w:t>
      </w:r>
      <w:r w:rsidR="00EC1273" w:rsidRPr="008D27EC">
        <w:rPr>
          <w:sz w:val="24"/>
          <w:szCs w:val="24"/>
          <w:lang w:val="en-US"/>
        </w:rPr>
        <w:lastRenderedPageBreak/>
        <w:t xml:space="preserve">Protégé ontology editor on the principles of </w:t>
      </w:r>
      <w:r w:rsidR="00EC1273" w:rsidRPr="008D27EC">
        <w:rPr>
          <w:i/>
          <w:sz w:val="24"/>
          <w:szCs w:val="24"/>
          <w:lang w:val="en-US"/>
        </w:rPr>
        <w:t>Open Biological and Biomedical Ontology</w:t>
      </w:r>
      <w:r w:rsidR="00EC1273" w:rsidRPr="008D27EC">
        <w:rPr>
          <w:sz w:val="24"/>
          <w:szCs w:val="24"/>
          <w:lang w:val="en-US"/>
        </w:rPr>
        <w:t xml:space="preserve"> (OBO)</w:t>
      </w:r>
      <w:r w:rsidR="00771096" w:rsidRPr="008D27EC">
        <w:rPr>
          <w:sz w:val="24"/>
          <w:szCs w:val="24"/>
          <w:lang w:val="en-US"/>
        </w:rPr>
        <w:t xml:space="preserve"> </w:t>
      </w:r>
      <w:r w:rsidR="00771096" w:rsidRPr="008D27EC">
        <w:rPr>
          <w:sz w:val="24"/>
          <w:szCs w:val="24"/>
          <w:lang w:val="en-US"/>
        </w:rPr>
        <w:fldChar w:fldCharType="begin" w:fldLock="1"/>
      </w:r>
      <w:r w:rsidR="00771096" w:rsidRPr="008D27EC">
        <w:rPr>
          <w:sz w:val="24"/>
          <w:szCs w:val="24"/>
          <w:lang w:val="en-US"/>
        </w:rPr>
        <w:instrText>ADDIN CSL_CITATION {"citationItems":[{"id":"ITEM-1","itemData":{"DOI":"10.1093/bioinformatics/btaa1057","ISSN":"1367-4803","abstract":"Motivation: The COVID-19 pandemic has prompted an impressive, worldwide response by the academic community. In order to support text mining approaches as well as data description, linking and harmonization in the context of COVID-19, we have developed an ontology representing major novel coronavirus (SARS-CoV-2) entities. The ontology has a strong scope on chemical entities suited for drug repurposing, as this is a major target of ongoing COVID-19 therapeutic development. Results: The ontology comprises 2.270 classes of concepts and 38.987 axioms (2622 logical axioms and 2434 declaration axioms). It depicts the roles of molecular and cellular entities in virus-host interactions and in the virus life cycle, as well as a wide spectrum of medical and epidemiological concepts linked to COVID-19. The performance of the ontology has been tested on Medline and the COVID-19 corpus provided by the Allen Institute. Availability: COVID-19 Ontology is released under a Creative Commons 4.0 License and shared via","author":[{"dropping-particle":"","family":"Sargsyan","given":"Astghik","non-dropping-particle":"","parse-names":false,"suffix":""},{"dropping-particle":"","family":"Kodamullil","given":"Alpha Tom","non-dropping-particle":"","parse-names":false,"suffix":""},{"dropping-particle":"","family":"Baksi","given":"Shounak","non-dropping-particle":"","parse-names":false,"suffix":""},{"dropping-particle":"","family":"Darms","given":"Johannes","non-dropping-particle":"","parse-names":false,"suffix":""},{"dropping-particle":"","family":"Madan","given":"Sumit","non-dropping-particle":"","parse-names":false,"suffix":""},{"dropping-particle":"","family":"Gebel","given":"Stephan","non-dropping-particle":"","parse-names":false,"suffix":""},{"dropping-particle":"","family":"Keminer","given":"Oliver","non-dropping-particle":"","parse-names":false,"suffix":""},{"dropping-particle":"","family":"Jose","given":"Geena Mariya","non-dropping-particle":"","parse-names":false,"suffix":""},{"dropping-particle":"","family":"Balabin","given":"Helena","non-dropping-particle":"","parse-names":false,"suffix":""},{"dropping-particle":"","family":"DeLong","given":"Lauren Nicole","non-dropping-particle":"","parse-names":false,"suffix":""},{"dropping-particle":"","family":"Kohler","given":"Manfred","non-dropping-particle":"","parse-names":false,"suffix":""},{"dropping-particle":"","family":"Jacobs","given":"Marc","non-dropping-particle":"","parse-names":false,"suffix":""},{"dropping-particle":"","family":"Hofmann-Apitius","given":"Martin","non-dropping-particle":"","parse-names":false,"suffix":""}],"container-title":"Bioinformatics","id":"ITEM-1","issue":"24","issued":{"date-parts":[["2021"]]},"page":"5703-5705","title":"The COVID-19 Ontology","type":"article-journal","volume":"36"},"uris":["http://www.mendeley.com/documents/?uuid=24dea7ef-3119-4694-853a-094c87b93b7c"]}],"mendeley":{"formattedCitation":"(Sargsyan et al., 2021)","plainTextFormattedCitation":"(Sargsyan et al., 2021)","previouslyFormattedCitation":"(Sargsyan et al., 2021)"},"properties":{"noteIndex":0},"schema":"https://github.com/citation-style-language/schema/raw/master/csl-citation.json"}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(Sargsyan et al., 2021)</w:t>
      </w:r>
      <w:r w:rsidR="00771096" w:rsidRPr="008D27EC">
        <w:rPr>
          <w:sz w:val="24"/>
          <w:szCs w:val="24"/>
          <w:lang w:val="en-US"/>
        </w:rPr>
        <w:fldChar w:fldCharType="end"/>
      </w:r>
      <w:r w:rsidR="00EC1273" w:rsidRPr="008D27EC">
        <w:rPr>
          <w:sz w:val="24"/>
          <w:szCs w:val="24"/>
          <w:lang w:val="en-US"/>
        </w:rPr>
        <w:t xml:space="preserve">. </w:t>
      </w:r>
      <w:r w:rsidR="001D24B5" w:rsidRPr="008D27EC">
        <w:rPr>
          <w:sz w:val="24"/>
          <w:szCs w:val="24"/>
          <w:lang w:val="en-US"/>
        </w:rPr>
        <w:t xml:space="preserve"> </w:t>
      </w:r>
    </w:p>
    <w:p w:rsidR="001D24B5" w:rsidRPr="008D27EC" w:rsidRDefault="001D24B5" w:rsidP="00F92BE1">
      <w:pPr>
        <w:jc w:val="both"/>
        <w:rPr>
          <w:sz w:val="24"/>
          <w:szCs w:val="24"/>
          <w:lang w:val="en-US"/>
        </w:rPr>
      </w:pPr>
      <w:r w:rsidRPr="008D27EC">
        <w:rPr>
          <w:sz w:val="24"/>
          <w:szCs w:val="24"/>
          <w:lang w:val="en-US"/>
        </w:rPr>
        <w:t>The metrics of the COVID-19 ontology are described as below:</w:t>
      </w:r>
    </w:p>
    <w:tbl>
      <w:tblPr>
        <w:tblStyle w:val="Tabellenraster"/>
        <w:tblW w:w="0" w:type="auto"/>
        <w:tblLook w:val="04A0" w:firstRow="1" w:lastRow="0" w:firstColumn="1" w:lastColumn="0" w:noHBand="0" w:noVBand="1"/>
      </w:tblPr>
      <w:tblGrid>
        <w:gridCol w:w="4531"/>
        <w:gridCol w:w="4531"/>
      </w:tblGrid>
      <w:tr w:rsidR="001D24B5" w:rsidRPr="008D27EC" w:rsidTr="001D24B5">
        <w:tc>
          <w:tcPr>
            <w:tcW w:w="4531" w:type="dxa"/>
          </w:tcPr>
          <w:p w:rsidR="001D24B5" w:rsidRPr="008D27EC" w:rsidRDefault="001D24B5" w:rsidP="00F92BE1">
            <w:pPr>
              <w:jc w:val="both"/>
              <w:rPr>
                <w:b/>
                <w:sz w:val="24"/>
                <w:szCs w:val="24"/>
                <w:lang w:val="en-US"/>
              </w:rPr>
            </w:pPr>
            <w:r w:rsidRPr="008D27EC">
              <w:rPr>
                <w:b/>
                <w:sz w:val="24"/>
                <w:szCs w:val="24"/>
                <w:lang w:val="en-US"/>
              </w:rPr>
              <w:t>Metrics</w:t>
            </w:r>
          </w:p>
        </w:tc>
        <w:tc>
          <w:tcPr>
            <w:tcW w:w="4531" w:type="dxa"/>
          </w:tcPr>
          <w:p w:rsidR="001D24B5" w:rsidRPr="008D27EC" w:rsidRDefault="001D24B5" w:rsidP="00F92BE1">
            <w:pPr>
              <w:jc w:val="both"/>
              <w:rPr>
                <w:b/>
                <w:sz w:val="24"/>
                <w:szCs w:val="24"/>
                <w:lang w:val="en-US"/>
              </w:rPr>
            </w:pPr>
            <w:r w:rsidRPr="008D27EC">
              <w:rPr>
                <w:b/>
                <w:sz w:val="24"/>
                <w:szCs w:val="24"/>
                <w:lang w:val="en-US"/>
              </w:rPr>
              <w:t>Total Number</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w:t>
            </w:r>
          </w:p>
        </w:tc>
        <w:tc>
          <w:tcPr>
            <w:tcW w:w="4531" w:type="dxa"/>
          </w:tcPr>
          <w:p w:rsidR="001D24B5" w:rsidRPr="008D27EC" w:rsidRDefault="001D24B5" w:rsidP="00F92BE1">
            <w:pPr>
              <w:jc w:val="both"/>
              <w:rPr>
                <w:sz w:val="24"/>
                <w:szCs w:val="24"/>
                <w:lang w:val="en-US"/>
              </w:rPr>
            </w:pPr>
            <w:r w:rsidRPr="008D27EC">
              <w:rPr>
                <w:sz w:val="24"/>
                <w:szCs w:val="24"/>
                <w:lang w:val="en-US"/>
              </w:rPr>
              <w:t>2270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Individuals</w:t>
            </w:r>
          </w:p>
        </w:tc>
        <w:tc>
          <w:tcPr>
            <w:tcW w:w="4531" w:type="dxa"/>
          </w:tcPr>
          <w:p w:rsidR="001D24B5" w:rsidRPr="008D27EC" w:rsidRDefault="001D24B5" w:rsidP="00F92BE1">
            <w:pPr>
              <w:jc w:val="both"/>
              <w:rPr>
                <w:sz w:val="24"/>
                <w:szCs w:val="24"/>
                <w:lang w:val="en-US"/>
              </w:rPr>
            </w:pPr>
            <w:r w:rsidRPr="008D27EC">
              <w:rPr>
                <w:sz w:val="24"/>
                <w:szCs w:val="24"/>
                <w:lang w:val="en-US"/>
              </w:rPr>
              <w:t>6</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Properties</w:t>
            </w:r>
          </w:p>
        </w:tc>
        <w:tc>
          <w:tcPr>
            <w:tcW w:w="4531" w:type="dxa"/>
          </w:tcPr>
          <w:p w:rsidR="001D24B5" w:rsidRPr="008D27EC" w:rsidRDefault="001D24B5" w:rsidP="00F92BE1">
            <w:pPr>
              <w:jc w:val="both"/>
              <w:rPr>
                <w:sz w:val="24"/>
                <w:szCs w:val="24"/>
                <w:lang w:val="en-US"/>
              </w:rPr>
            </w:pPr>
            <w:r w:rsidRPr="008D27EC">
              <w:rPr>
                <w:sz w:val="24"/>
                <w:szCs w:val="24"/>
                <w:lang w:val="en-US"/>
              </w:rPr>
              <w:t>10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depth</w:t>
            </w:r>
          </w:p>
        </w:tc>
        <w:tc>
          <w:tcPr>
            <w:tcW w:w="4531" w:type="dxa"/>
          </w:tcPr>
          <w:p w:rsidR="001D24B5" w:rsidRPr="008D27EC" w:rsidRDefault="001D24B5" w:rsidP="00F92BE1">
            <w:pPr>
              <w:jc w:val="both"/>
              <w:rPr>
                <w:sz w:val="24"/>
                <w:szCs w:val="24"/>
                <w:lang w:val="en-US"/>
              </w:rPr>
            </w:pPr>
            <w:r w:rsidRPr="008D27EC">
              <w:rPr>
                <w:sz w:val="24"/>
                <w:szCs w:val="24"/>
                <w:lang w:val="en-US"/>
              </w:rPr>
              <w:t>15</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247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Average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3</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single child</w:t>
            </w:r>
          </w:p>
        </w:tc>
        <w:tc>
          <w:tcPr>
            <w:tcW w:w="4531" w:type="dxa"/>
          </w:tcPr>
          <w:p w:rsidR="001D24B5" w:rsidRPr="008D27EC" w:rsidRDefault="001D24B5" w:rsidP="00F92BE1">
            <w:pPr>
              <w:jc w:val="both"/>
              <w:rPr>
                <w:sz w:val="24"/>
                <w:szCs w:val="24"/>
                <w:lang w:val="en-US"/>
              </w:rPr>
            </w:pPr>
            <w:r w:rsidRPr="008D27EC">
              <w:rPr>
                <w:sz w:val="24"/>
                <w:szCs w:val="24"/>
                <w:lang w:val="en-US"/>
              </w:rPr>
              <w:t>447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more than 25 children</w:t>
            </w:r>
          </w:p>
        </w:tc>
        <w:tc>
          <w:tcPr>
            <w:tcW w:w="4531" w:type="dxa"/>
          </w:tcPr>
          <w:p w:rsidR="001D24B5" w:rsidRPr="008D27EC" w:rsidRDefault="001D24B5" w:rsidP="00F92BE1">
            <w:pPr>
              <w:jc w:val="both"/>
              <w:rPr>
                <w:sz w:val="24"/>
                <w:szCs w:val="24"/>
                <w:lang w:val="en-US"/>
              </w:rPr>
            </w:pPr>
            <w:r w:rsidRPr="008D27EC">
              <w:rPr>
                <w:sz w:val="24"/>
                <w:szCs w:val="24"/>
                <w:lang w:val="en-US"/>
              </w:rPr>
              <w:t>8</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no definition</w:t>
            </w:r>
          </w:p>
        </w:tc>
        <w:tc>
          <w:tcPr>
            <w:tcW w:w="4531" w:type="dxa"/>
          </w:tcPr>
          <w:p w:rsidR="001D24B5" w:rsidRPr="008D27EC" w:rsidRDefault="001D24B5" w:rsidP="00F92BE1">
            <w:pPr>
              <w:jc w:val="both"/>
              <w:rPr>
                <w:sz w:val="24"/>
                <w:szCs w:val="24"/>
                <w:lang w:val="en-US"/>
              </w:rPr>
            </w:pPr>
            <w:r w:rsidRPr="008D27EC">
              <w:rPr>
                <w:sz w:val="24"/>
                <w:szCs w:val="24"/>
                <w:lang w:val="en-US"/>
              </w:rPr>
              <w:t>860</w:t>
            </w:r>
          </w:p>
        </w:tc>
      </w:tr>
    </w:tbl>
    <w:p w:rsidR="001D24B5" w:rsidRPr="008D27EC" w:rsidRDefault="001D24B5" w:rsidP="00F92BE1">
      <w:pPr>
        <w:jc w:val="both"/>
        <w:rPr>
          <w:sz w:val="24"/>
          <w:szCs w:val="24"/>
          <w:lang w:val="en-US"/>
        </w:rPr>
      </w:pPr>
    </w:p>
    <w:p w:rsidR="00454C0D" w:rsidRPr="008D27EC" w:rsidRDefault="001D24B5" w:rsidP="00F92BE1">
      <w:pPr>
        <w:jc w:val="both"/>
        <w:rPr>
          <w:sz w:val="24"/>
          <w:szCs w:val="24"/>
          <w:lang w:val="en-US"/>
        </w:rPr>
      </w:pPr>
      <w:r w:rsidRPr="008D27EC">
        <w:rPr>
          <w:sz w:val="24"/>
          <w:szCs w:val="24"/>
          <w:lang w:val="en-US"/>
        </w:rPr>
        <w:t>Table</w:t>
      </w:r>
      <w:r w:rsidR="00771096" w:rsidRPr="008D27EC">
        <w:rPr>
          <w:sz w:val="24"/>
          <w:szCs w:val="24"/>
          <w:lang w:val="en-US"/>
        </w:rPr>
        <w:t xml:space="preserve"> : Metrics of COVID-19 Ontology. Adapted from </w:t>
      </w:r>
      <w:r w:rsidR="00771096" w:rsidRPr="008D27EC">
        <w:rPr>
          <w:sz w:val="24"/>
          <w:szCs w:val="24"/>
          <w:lang w:val="en-US"/>
        </w:rPr>
        <w:fldChar w:fldCharType="begin" w:fldLock="1"/>
      </w:r>
      <w:r w:rsidR="00771096" w:rsidRPr="008D27EC">
        <w:rPr>
          <w:sz w:val="24"/>
          <w:szCs w:val="24"/>
          <w:lang w:val="en-US"/>
        </w:rPr>
        <w:instrText>ADDIN CSL_CITATION {"citationItems":[{"id":"ITEM-1","itemData":{"URL":"https://bioportal.bioontology.org/ontologies/COVID-19","accessed":{"date-parts":[["2021","4","29"]]},"id":"ITEM-1","issued":{"date-parts":[["0"]]},"title":"COVID-19 Ontology - Summary | NCBO BioPortal","type":"webpage"},"uris":["http://www.mendeley.com/documents/?uuid=e2d7db28-ce55-3b2d-915c-70a09b540198"]}],"mendeley":{"formattedCitation":"(&lt;i&gt;COVID-19 Ontology - Summary | NCBO BioPortal&lt;/i&gt;, n.d.)","plainTextFormattedCitation":"(COVID-19 Ontology - Summary | NCBO BioPortal, n.d.)","previouslyFormattedCitation":"(&lt;i&gt;COVID-19 Ontology - Summary | NCBO BioPortal&lt;/i&gt;, n.d.)"},"properties":{"noteIndex":0},"schema":"https://github.com/citation-style-language/schema/raw/master/csl-citation.json"}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COVID-19 Ontology - Summary | NCBO BioPortal</w:t>
      </w:r>
      <w:r w:rsidR="00771096" w:rsidRPr="008D27EC">
        <w:rPr>
          <w:noProof/>
          <w:sz w:val="24"/>
          <w:szCs w:val="24"/>
          <w:lang w:val="en-US"/>
        </w:rPr>
        <w:t>, n.d.)</w:t>
      </w:r>
      <w:r w:rsidR="00771096" w:rsidRPr="008D27EC">
        <w:rPr>
          <w:sz w:val="24"/>
          <w:szCs w:val="24"/>
          <w:lang w:val="en-US"/>
        </w:rPr>
        <w:fldChar w:fldCharType="end"/>
      </w:r>
    </w:p>
    <w:p w:rsidR="00771096" w:rsidRPr="008D27EC" w:rsidRDefault="00771096" w:rsidP="00F92BE1">
      <w:pPr>
        <w:jc w:val="both"/>
        <w:rPr>
          <w:sz w:val="24"/>
          <w:szCs w:val="24"/>
          <w:lang w:val="en-US"/>
        </w:rPr>
      </w:pPr>
      <w:r w:rsidRPr="008D27EC">
        <w:rPr>
          <w:sz w:val="24"/>
          <w:szCs w:val="24"/>
          <w:lang w:val="en-US"/>
        </w:rPr>
        <w:t xml:space="preserve">This ontology is made available for free to the scientific community in several platforms including BioPortal, a dedicated repository for biomedical ontologies.  It is available in the web-link </w:t>
      </w:r>
      <w:hyperlink r:id="rId17" w:history="1">
        <w:r w:rsidRPr="008D27EC">
          <w:rPr>
            <w:rStyle w:val="Hyperlink"/>
            <w:sz w:val="24"/>
            <w:szCs w:val="24"/>
            <w:lang w:val="en-US"/>
          </w:rPr>
          <w:t>https://bioportal.bioontology.org/ontologies/COVID-19</w:t>
        </w:r>
      </w:hyperlink>
      <w:r w:rsidRPr="008D27EC">
        <w:rPr>
          <w:sz w:val="24"/>
          <w:szCs w:val="24"/>
          <w:lang w:val="en-US"/>
        </w:rPr>
        <w:t xml:space="preserve">. </w:t>
      </w:r>
    </w:p>
    <w:p w:rsidR="00F92BE1" w:rsidRPr="008D27EC" w:rsidRDefault="00F92BE1" w:rsidP="00F92BE1">
      <w:pPr>
        <w:jc w:val="both"/>
        <w:rPr>
          <w:sz w:val="24"/>
          <w:szCs w:val="24"/>
          <w:lang w:val="en-US"/>
        </w:rPr>
      </w:pPr>
    </w:p>
    <w:p w:rsidR="00712D9F" w:rsidRPr="008D27EC" w:rsidRDefault="003820D1" w:rsidP="0004594B">
      <w:pPr>
        <w:jc w:val="both"/>
        <w:rPr>
          <w:sz w:val="24"/>
          <w:szCs w:val="24"/>
          <w:lang w:val="en-US"/>
        </w:rPr>
      </w:pPr>
      <w:r w:rsidRPr="008D27EC">
        <w:rPr>
          <w:sz w:val="24"/>
          <w:szCs w:val="24"/>
          <w:lang w:val="en-US"/>
        </w:rPr>
        <w:t>2.</w:t>
      </w:r>
      <w:r w:rsidR="00C07DC5">
        <w:rPr>
          <w:sz w:val="24"/>
          <w:szCs w:val="24"/>
          <w:lang w:val="en-US"/>
        </w:rPr>
        <w:t>8</w:t>
      </w:r>
      <w:r w:rsidRPr="008D27EC">
        <w:rPr>
          <w:sz w:val="24"/>
          <w:szCs w:val="24"/>
          <w:lang w:val="en-US"/>
        </w:rPr>
        <w:t xml:space="preserve"> COVID-19 Literature mining</w:t>
      </w:r>
    </w:p>
    <w:p w:rsidR="003820D1" w:rsidRPr="008D27EC" w:rsidRDefault="003820D1" w:rsidP="0004594B">
      <w:pPr>
        <w:jc w:val="both"/>
        <w:rPr>
          <w:sz w:val="24"/>
          <w:szCs w:val="24"/>
          <w:lang w:val="en-US"/>
        </w:rPr>
      </w:pPr>
      <w:r w:rsidRPr="008D27EC">
        <w:rPr>
          <w:sz w:val="24"/>
          <w:szCs w:val="24"/>
          <w:lang w:val="en-US"/>
        </w:rPr>
        <w:t xml:space="preserve">The primary step of analyzing the COVID-19 associated information is exploration of information from biomedical literature by semantic search and information retrieval system. The free search engine PubMed that contains citations related to biomedicine, life sciences and other associated fields </w:t>
      </w:r>
      <w:r w:rsidR="009D31FE" w:rsidRPr="008D27EC">
        <w:rPr>
          <w:sz w:val="24"/>
          <w:szCs w:val="24"/>
          <w:lang w:val="en-US"/>
        </w:rPr>
        <w:t xml:space="preserve">uses Medical Subject Headings (MeSH) for the purpose of annotation of abstracts thus enabling the semantic search. </w:t>
      </w:r>
      <w:r w:rsidR="00B32E26" w:rsidRPr="008D27EC">
        <w:rPr>
          <w:sz w:val="24"/>
          <w:szCs w:val="24"/>
          <w:lang w:val="en-US"/>
        </w:rPr>
        <w:t xml:space="preserve">Annotation of biological entities in the text corpus is not supported by the PubMed. </w:t>
      </w:r>
      <w:r w:rsidR="00E07187" w:rsidRPr="008D27EC">
        <w:rPr>
          <w:sz w:val="24"/>
          <w:szCs w:val="24"/>
          <w:lang w:val="en-US"/>
        </w:rPr>
        <w:t xml:space="preserve">The manual annotation of the large volumes of scientific literatures is practically infeasible.  </w:t>
      </w:r>
    </w:p>
    <w:p w:rsidR="009C794D" w:rsidRPr="008D27EC" w:rsidRDefault="00B32E26" w:rsidP="0004594B">
      <w:pPr>
        <w:jc w:val="both"/>
        <w:rPr>
          <w:sz w:val="24"/>
          <w:szCs w:val="24"/>
          <w:lang w:val="en-US"/>
        </w:rPr>
      </w:pPr>
      <w:r w:rsidRPr="008D27EC">
        <w:rPr>
          <w:sz w:val="24"/>
          <w:szCs w:val="24"/>
          <w:lang w:val="en-US"/>
        </w:rPr>
        <w:t>Natural Language Processing (NLP) is an advanced field of artificial intelligence is a technique for the automatic extraction of knowledge from the unstructured data like the scientific literatures in this scenario</w:t>
      </w:r>
      <w:r w:rsidR="009757ED" w:rsidRPr="008D27EC">
        <w:rPr>
          <w:sz w:val="24"/>
          <w:szCs w:val="24"/>
          <w:lang w:val="en-US"/>
        </w:rPr>
        <w:t xml:space="preserve"> </w:t>
      </w:r>
      <w:r w:rsidRPr="008D27EC">
        <w:rPr>
          <w:sz w:val="24"/>
          <w:szCs w:val="24"/>
          <w:lang w:val="en-US"/>
        </w:rPr>
        <w:t xml:space="preserve">The identification of </w:t>
      </w:r>
      <w:r w:rsidR="00E07187" w:rsidRPr="008D27EC">
        <w:rPr>
          <w:sz w:val="24"/>
          <w:szCs w:val="24"/>
          <w:lang w:val="en-US"/>
        </w:rPr>
        <w:t xml:space="preserve">different biological </w:t>
      </w:r>
      <w:r w:rsidRPr="008D27EC">
        <w:rPr>
          <w:sz w:val="24"/>
          <w:szCs w:val="24"/>
          <w:lang w:val="en-US"/>
        </w:rPr>
        <w:t>entities</w:t>
      </w:r>
      <w:r w:rsidR="00E07187" w:rsidRPr="008D27EC">
        <w:rPr>
          <w:sz w:val="24"/>
          <w:szCs w:val="24"/>
          <w:lang w:val="en-US"/>
        </w:rPr>
        <w:t xml:space="preserve"> is</w:t>
      </w:r>
      <w:r w:rsidRPr="008D27EC">
        <w:rPr>
          <w:sz w:val="24"/>
          <w:szCs w:val="24"/>
          <w:lang w:val="en-US"/>
        </w:rPr>
        <w:t xml:space="preserve"> known as “</w:t>
      </w:r>
      <w:r w:rsidR="00B65B51" w:rsidRPr="008D27EC">
        <w:rPr>
          <w:sz w:val="24"/>
          <w:szCs w:val="24"/>
          <w:lang w:val="en-US"/>
        </w:rPr>
        <w:t>Named Entity Recognition (NER)</w:t>
      </w:r>
      <w:r w:rsidRPr="008D27EC">
        <w:rPr>
          <w:sz w:val="24"/>
          <w:szCs w:val="24"/>
          <w:lang w:val="en-US"/>
        </w:rPr>
        <w:t>” finds out the names of genes, proteins, chemical</w:t>
      </w:r>
      <w:r w:rsidR="00E07187" w:rsidRPr="008D27EC">
        <w:rPr>
          <w:sz w:val="24"/>
          <w:szCs w:val="24"/>
          <w:lang w:val="en-US"/>
        </w:rPr>
        <w:t>s</w:t>
      </w:r>
      <w:r w:rsidR="009757ED" w:rsidRPr="008D27EC">
        <w:rPr>
          <w:sz w:val="24"/>
          <w:szCs w:val="24"/>
          <w:lang w:val="en-US"/>
        </w:rPr>
        <w:t>, small molecules etc. The knowledge discovery process consisted of constructing network graphs using entities and relationships for the prediction of new function</w:t>
      </w:r>
      <w:r w:rsidR="009C794D" w:rsidRPr="008D27EC">
        <w:rPr>
          <w:sz w:val="24"/>
          <w:szCs w:val="24"/>
          <w:lang w:val="en-US"/>
        </w:rPr>
        <w:t xml:space="preserve"> </w:t>
      </w:r>
      <w:r w:rsidR="009C794D" w:rsidRPr="008D27EC">
        <w:rPr>
          <w:sz w:val="24"/>
          <w:szCs w:val="24"/>
          <w:lang w:val="en-US"/>
        </w:rPr>
        <w:fldChar w:fldCharType="begin" w:fldLock="1"/>
      </w:r>
      <w:r w:rsidR="00CE05CF" w:rsidRPr="008D27EC">
        <w:rPr>
          <w:sz w:val="24"/>
          <w:szCs w:val="24"/>
          <w:lang w:val="en-US"/>
        </w:rPr>
        <w:instrText>ADDIN CSL_CITATION {"citationItems":[{"id":"ITEM-1","itemData":{"DOI":"10.1186/gb-2005-6-7-224","ISSN":"14656906","PMID":"15998455","abstract":"Text-mining in molecular biology - defined as the automatic extraction of information about genes, proteins and their functional relationships from text documents - has emerged as a hybrid discipline on the edges of the fields of information science, bioinformatics and computational linguistics. A range of text-mining applications have been developed recently that will improve access to knowledge for biologists and database annotators. © 2005 BioMed Central Ltd.","author":[{"dropping-particle":"","family":"Krallinger","given":"Martin","non-dropping-particle":"","parse-names":false,"suffix":""},{"dropping-particle":"","family":"Valencia","given":"Alfonso","non-dropping-particle":"","parse-names":false,"suffix":""}],"container-title":"Genome Biology","id":"ITEM-1","issue":"7","issued":{"date-parts":[["2005","6","28"]]},"page":"1-8","publisher":"BioMed Central","title":"Text-mining and information-retrieval services for molecular biology","type":"article","volume":"6"},"uris":["http://www.mendeley.com/documents/?uuid=52c6acbd-2400-3bc7-9133-429b140be910"]}],"mendeley":{"formattedCitation":"(Krallinger &amp; Valencia, 2005)","plainTextFormattedCitation":"(Krallinger &amp; Valencia, 2005)","previouslyFormattedCitation":"(Krallinger &amp; Valencia, 2005)"},"properties":{"noteIndex":0},"schema":"https://github.com/citation-style-language/schema/raw/master/csl-citation.json"}</w:instrText>
      </w:r>
      <w:r w:rsidR="009C794D" w:rsidRPr="008D27EC">
        <w:rPr>
          <w:sz w:val="24"/>
          <w:szCs w:val="24"/>
          <w:lang w:val="en-US"/>
        </w:rPr>
        <w:fldChar w:fldCharType="separate"/>
      </w:r>
      <w:r w:rsidR="009C794D" w:rsidRPr="008D27EC">
        <w:rPr>
          <w:noProof/>
          <w:sz w:val="24"/>
          <w:szCs w:val="24"/>
          <w:lang w:val="en-US"/>
        </w:rPr>
        <w:t>(Krallinger &amp; Valencia, 2005)</w:t>
      </w:r>
      <w:r w:rsidR="009C794D" w:rsidRPr="008D27EC">
        <w:rPr>
          <w:sz w:val="24"/>
          <w:szCs w:val="24"/>
          <w:lang w:val="en-US"/>
        </w:rPr>
        <w:fldChar w:fldCharType="end"/>
      </w:r>
      <w:r w:rsidR="009C794D" w:rsidRPr="008D27EC">
        <w:rPr>
          <w:sz w:val="24"/>
          <w:szCs w:val="24"/>
          <w:lang w:val="en-US"/>
        </w:rPr>
        <w:t>.</w:t>
      </w:r>
    </w:p>
    <w:p w:rsidR="00B32E26" w:rsidRPr="008D27EC" w:rsidRDefault="009C794D" w:rsidP="0004594B">
      <w:pPr>
        <w:jc w:val="both"/>
        <w:rPr>
          <w:sz w:val="24"/>
          <w:szCs w:val="24"/>
          <w:lang w:val="en-US"/>
        </w:rPr>
      </w:pPr>
      <w:r w:rsidRPr="008D27EC">
        <w:rPr>
          <w:sz w:val="24"/>
          <w:szCs w:val="24"/>
          <w:lang w:val="en-US"/>
        </w:rPr>
        <w:t xml:space="preserve"> SCAIView is a tool that integrates the knowledge discovery and semantic search. </w:t>
      </w:r>
    </w:p>
    <w:p w:rsidR="009C794D" w:rsidRPr="008D27EC" w:rsidRDefault="00B65B51" w:rsidP="0004594B">
      <w:pPr>
        <w:jc w:val="both"/>
        <w:rPr>
          <w:sz w:val="24"/>
          <w:szCs w:val="24"/>
          <w:lang w:val="en-US"/>
        </w:rPr>
      </w:pPr>
      <w:r w:rsidRPr="008D27EC">
        <w:rPr>
          <w:sz w:val="24"/>
          <w:szCs w:val="24"/>
          <w:lang w:val="en-US"/>
        </w:rPr>
        <w:t>2.</w:t>
      </w:r>
      <w:r w:rsidR="00C07DC5">
        <w:rPr>
          <w:sz w:val="24"/>
          <w:szCs w:val="24"/>
          <w:lang w:val="en-US"/>
        </w:rPr>
        <w:t>8</w:t>
      </w:r>
      <w:r w:rsidRPr="008D27EC">
        <w:rPr>
          <w:sz w:val="24"/>
          <w:szCs w:val="24"/>
          <w:lang w:val="en-US"/>
        </w:rPr>
        <w:t xml:space="preserve">.1 SCAIView </w:t>
      </w:r>
    </w:p>
    <w:p w:rsidR="00B65B51" w:rsidRPr="008D27EC" w:rsidRDefault="00B65B51" w:rsidP="0004594B">
      <w:pPr>
        <w:jc w:val="both"/>
        <w:rPr>
          <w:sz w:val="24"/>
          <w:szCs w:val="24"/>
          <w:lang w:val="en-US"/>
        </w:rPr>
      </w:pPr>
      <w:r w:rsidRPr="008D27EC">
        <w:rPr>
          <w:sz w:val="24"/>
          <w:szCs w:val="24"/>
          <w:lang w:val="en-US"/>
        </w:rPr>
        <w:tab/>
        <w:t xml:space="preserve">The software SCAIView employs machine learning and Named Entity Recognition (NER) for the identification of biological entities from the scientific articles.  Thus, the tool enables </w:t>
      </w:r>
      <w:r w:rsidRPr="008D27EC">
        <w:rPr>
          <w:sz w:val="24"/>
          <w:szCs w:val="24"/>
          <w:lang w:val="en-US"/>
        </w:rPr>
        <w:lastRenderedPageBreak/>
        <w:t xml:space="preserve">the researchers to answer the complex scientific queries in a simple and intuitive way as possible. </w:t>
      </w:r>
    </w:p>
    <w:p w:rsidR="00B65B51" w:rsidRPr="008D27EC" w:rsidRDefault="00B65B51" w:rsidP="0004594B">
      <w:pPr>
        <w:jc w:val="both"/>
        <w:rPr>
          <w:sz w:val="24"/>
          <w:szCs w:val="24"/>
          <w:lang w:val="en-US"/>
        </w:rPr>
      </w:pPr>
      <w:r w:rsidRPr="008D27EC">
        <w:rPr>
          <w:sz w:val="24"/>
          <w:szCs w:val="24"/>
          <w:lang w:val="en-US"/>
        </w:rPr>
        <w:t>The key features of  SCAIView includes user friendly query builder, accurate search results, visualization and ranking of the results and export of the results in a user preferred file format.</w:t>
      </w:r>
    </w:p>
    <w:p w:rsidR="00456660" w:rsidRDefault="00456660" w:rsidP="0004594B">
      <w:pPr>
        <w:jc w:val="both"/>
        <w:rPr>
          <w:sz w:val="24"/>
          <w:szCs w:val="24"/>
          <w:lang w:val="en-US"/>
        </w:rPr>
      </w:pPr>
      <w:r w:rsidRPr="008D27EC">
        <w:rPr>
          <w:sz w:val="24"/>
          <w:szCs w:val="24"/>
          <w:lang w:val="en-US"/>
        </w:rPr>
        <w:t xml:space="preserve">The </w:t>
      </w:r>
      <w:r w:rsidR="00CE05CF" w:rsidRPr="008D27EC">
        <w:rPr>
          <w:sz w:val="24"/>
          <w:szCs w:val="24"/>
          <w:lang w:val="en-US"/>
        </w:rPr>
        <w:t xml:space="preserve">SCAIView also supports the autocompletion features and the results are color coded thus representing different entities within the literature </w:t>
      </w:r>
      <w:r w:rsidR="00CE05CF" w:rsidRPr="008D27EC">
        <w:rPr>
          <w:sz w:val="24"/>
          <w:szCs w:val="24"/>
          <w:lang w:val="en-US"/>
        </w:rPr>
        <w:fldChar w:fldCharType="begin" w:fldLock="1"/>
      </w:r>
      <w:r w:rsidR="00095D0C">
        <w:rPr>
          <w:sz w:val="24"/>
          <w:szCs w:val="24"/>
          <w:lang w:val="en-US"/>
        </w:rPr>
        <w:instrText>ADDIN CSL_CITATION {"citationItems":[{"id":"ITEM-1","itemData":{"URL":"https://www.scaiview.com/en/introduction.html","accessed":{"date-parts":[["2021","5","7"]]},"id":"ITEM-1","issued":{"date-parts":[["0"]]},"title":"Introduction to SCAIView","type":"webpage"},"uris":["http://www.mendeley.com/documents/?uuid=ebc55ce3-e0f3-3cac-9ab6-a9bf0f5bfaad"]}],"mendeley":{"formattedCitation":"(&lt;i&gt;Introduction to SCAIView&lt;/i&gt;, n.d.)","plainTextFormattedCitation":"(Introduction to SCAIView, n.d.)","previouslyFormattedCitation":"(&lt;i&gt;Introduction to SCAIView&lt;/i&gt;, n.d.)"},"properties":{"noteIndex":0},"schema":"https://github.com/citation-style-language/schema/raw/master/csl-citation.json"}</w:instrText>
      </w:r>
      <w:r w:rsidR="00CE05CF" w:rsidRPr="008D27EC">
        <w:rPr>
          <w:sz w:val="24"/>
          <w:szCs w:val="24"/>
          <w:lang w:val="en-US"/>
        </w:rPr>
        <w:fldChar w:fldCharType="separate"/>
      </w:r>
      <w:r w:rsidR="00CE05CF" w:rsidRPr="008D27EC">
        <w:rPr>
          <w:noProof/>
          <w:sz w:val="24"/>
          <w:szCs w:val="24"/>
          <w:lang w:val="en-US"/>
        </w:rPr>
        <w:t>(</w:t>
      </w:r>
      <w:r w:rsidR="00CE05CF" w:rsidRPr="008D27EC">
        <w:rPr>
          <w:i/>
          <w:noProof/>
          <w:sz w:val="24"/>
          <w:szCs w:val="24"/>
          <w:lang w:val="en-US"/>
        </w:rPr>
        <w:t>Introduction to SCAIView</w:t>
      </w:r>
      <w:r w:rsidR="00CE05CF" w:rsidRPr="008D27EC">
        <w:rPr>
          <w:noProof/>
          <w:sz w:val="24"/>
          <w:szCs w:val="24"/>
          <w:lang w:val="en-US"/>
        </w:rPr>
        <w:t>, n.d.)</w:t>
      </w:r>
      <w:r w:rsidR="00CE05CF" w:rsidRPr="008D27EC">
        <w:rPr>
          <w:sz w:val="24"/>
          <w:szCs w:val="24"/>
          <w:lang w:val="en-US"/>
        </w:rPr>
        <w:fldChar w:fldCharType="end"/>
      </w:r>
      <w:r w:rsidR="00CE05CF" w:rsidRPr="008D27EC">
        <w:rPr>
          <w:sz w:val="24"/>
          <w:szCs w:val="24"/>
          <w:lang w:val="en-US"/>
        </w:rPr>
        <w:t xml:space="preserve">. </w:t>
      </w:r>
    </w:p>
    <w:p w:rsidR="00721CF0" w:rsidRPr="008D27EC" w:rsidRDefault="00721CF0" w:rsidP="0004594B">
      <w:pPr>
        <w:jc w:val="both"/>
        <w:rPr>
          <w:sz w:val="24"/>
          <w:szCs w:val="24"/>
          <w:lang w:val="en-US"/>
        </w:rPr>
      </w:pPr>
      <w:r>
        <w:rPr>
          <w:sz w:val="24"/>
          <w:szCs w:val="24"/>
          <w:lang w:val="en-US"/>
        </w:rPr>
        <w:t xml:space="preserve">For the COVID-19 literature mining, there is a dedicated site called COPERIMOplus SCAIView at </w:t>
      </w:r>
      <w:hyperlink r:id="rId18" w:history="1">
        <w:r w:rsidRPr="001A69DB">
          <w:rPr>
            <w:rStyle w:val="Hyperlink"/>
            <w:sz w:val="24"/>
            <w:szCs w:val="24"/>
            <w:lang w:val="en-US"/>
          </w:rPr>
          <w:t>https://coperimo.scaiview.com/</w:t>
        </w:r>
      </w:hyperlink>
      <w:r>
        <w:rPr>
          <w:sz w:val="24"/>
          <w:szCs w:val="24"/>
          <w:lang w:val="en-US"/>
        </w:rPr>
        <w:t xml:space="preserve"> which is available for free to the scientific community. </w:t>
      </w:r>
    </w:p>
    <w:p w:rsidR="00113578" w:rsidRPr="008D27EC" w:rsidRDefault="0005686E" w:rsidP="0004594B">
      <w:pPr>
        <w:jc w:val="both"/>
        <w:rPr>
          <w:sz w:val="24"/>
          <w:szCs w:val="24"/>
          <w:lang w:val="en-US"/>
        </w:rPr>
      </w:pPr>
      <w:r w:rsidRPr="008D27EC">
        <w:rPr>
          <w:sz w:val="24"/>
          <w:szCs w:val="24"/>
          <w:lang w:val="en-US"/>
        </w:rPr>
        <w:t xml:space="preserve"> </w:t>
      </w:r>
    </w:p>
    <w:p w:rsidR="00721CF0" w:rsidRDefault="00721CF0" w:rsidP="0004594B">
      <w:pPr>
        <w:jc w:val="both"/>
        <w:rPr>
          <w:sz w:val="24"/>
          <w:szCs w:val="24"/>
          <w:lang w:val="en-US"/>
        </w:rPr>
      </w:pPr>
    </w:p>
    <w:p w:rsidR="0096173F" w:rsidRPr="008D27EC" w:rsidRDefault="0096173F" w:rsidP="0004594B">
      <w:pPr>
        <w:jc w:val="both"/>
        <w:rPr>
          <w:sz w:val="24"/>
          <w:szCs w:val="24"/>
          <w:lang w:val="en-US"/>
        </w:rPr>
      </w:pPr>
      <w:r w:rsidRPr="008D27EC">
        <w:rPr>
          <w:sz w:val="24"/>
          <w:szCs w:val="24"/>
          <w:lang w:val="en-US"/>
        </w:rPr>
        <w:t>2.</w:t>
      </w:r>
      <w:r w:rsidR="00C07DC5">
        <w:rPr>
          <w:sz w:val="24"/>
          <w:szCs w:val="24"/>
          <w:lang w:val="en-US"/>
        </w:rPr>
        <w:t>9</w:t>
      </w:r>
      <w:r w:rsidRPr="008D27EC">
        <w:rPr>
          <w:sz w:val="24"/>
          <w:szCs w:val="24"/>
          <w:lang w:val="en-US"/>
        </w:rPr>
        <w:t xml:space="preserve"> COVID-19 Risk genes and Host genetics initiative</w:t>
      </w:r>
    </w:p>
    <w:p w:rsidR="0096173F" w:rsidRPr="008D27EC" w:rsidRDefault="0096173F" w:rsidP="0004594B">
      <w:pPr>
        <w:jc w:val="both"/>
        <w:rPr>
          <w:sz w:val="24"/>
          <w:szCs w:val="24"/>
          <w:lang w:val="en-US"/>
        </w:rPr>
      </w:pPr>
      <w:r w:rsidRPr="008D27EC">
        <w:rPr>
          <w:sz w:val="24"/>
          <w:szCs w:val="24"/>
          <w:lang w:val="en-US"/>
        </w:rPr>
        <w:tab/>
        <w:t xml:space="preserve">The human genome consisted of nearly 3 billion base pairs namely Adenine (A), Cytosine (C), Thymine (T) and Guanine (G). The genetic sequences between any two individuals are identical nearly up to 99.9% </w:t>
      </w:r>
      <w:r w:rsidR="007A6B04">
        <w:rPr>
          <w:sz w:val="24"/>
          <w:szCs w:val="24"/>
          <w:lang w:val="en-US"/>
        </w:rPr>
        <w:t>and the remaining 0.01</w:t>
      </w:r>
      <w:r w:rsidRPr="008D27EC">
        <w:rPr>
          <w:sz w:val="24"/>
          <w:szCs w:val="24"/>
          <w:lang w:val="en-US"/>
        </w:rPr>
        <w:t xml:space="preserve">% difference that makes each unique individual is called </w:t>
      </w:r>
      <w:r w:rsidR="008D27EC" w:rsidRPr="008D27EC">
        <w:rPr>
          <w:sz w:val="24"/>
          <w:szCs w:val="24"/>
          <w:lang w:val="en-US"/>
        </w:rPr>
        <w:t xml:space="preserve">genetic variation. The “Genome Wide Association Studies (GWAS)” is performed to analyze whether the genetic variation in the regions of the genome are associated with the particular disease. </w:t>
      </w:r>
      <w:r w:rsidR="000458E2">
        <w:rPr>
          <w:sz w:val="24"/>
          <w:szCs w:val="24"/>
          <w:lang w:val="en-US"/>
        </w:rPr>
        <w:t xml:space="preserve"> In this study, there are two groups of participants namely the group having the disease under investigation (disease group) and the group not having the disease (normal group).  The researchers identify for the variants that occur frequently thus indicating to be the risk effect for the disease group while protective effect on the control group. </w:t>
      </w:r>
      <w:r w:rsidR="00605BCD">
        <w:rPr>
          <w:sz w:val="24"/>
          <w:szCs w:val="24"/>
          <w:lang w:val="en-US"/>
        </w:rPr>
        <w:t>The results of the GWAS studies are considered to the risk signs that could be prominent for a specified disease in a group of population</w:t>
      </w:r>
      <w:r w:rsidR="00095D0C">
        <w:rPr>
          <w:sz w:val="24"/>
          <w:szCs w:val="24"/>
          <w:lang w:val="en-US"/>
        </w:rPr>
        <w:t xml:space="preserve"> </w:t>
      </w:r>
      <w:r w:rsidR="00721CF0">
        <w:rPr>
          <w:sz w:val="24"/>
          <w:szCs w:val="24"/>
          <w:lang w:val="en-US"/>
        </w:rPr>
        <w:fldChar w:fldCharType="begin" w:fldLock="1"/>
      </w:r>
      <w:r w:rsidR="00B5195C">
        <w:rPr>
          <w:sz w:val="24"/>
          <w:szCs w:val="24"/>
          <w:lang w:val="en-US"/>
        </w:rPr>
        <w:instrText>ADDIN CSL_CITATION {"citationItems":[{"id":"ITEM-1","itemData":{"URL":"https://www.broadinstitute.org/visuals/explainer-genome-wide-association-studies","accessed":{"date-parts":[["2021","5","8"]]},"id":"ITEM-1","issued":{"date-parts":[["0"]]},"title":"Explainer: Genome-Wide Association Studies | Broad Institute","type":"webpage"},"uris":["http://www.mendeley.com/documents/?uuid=9e7d0736-b921-330c-977f-4dd5c2eca0ec"]}],"mendeley":{"formattedCitation":"(&lt;i&gt;Explainer: Genome-Wide Association Studies | Broad Institute&lt;/i&gt;, n.d.)","plainTextFormattedCitation":"(Explainer: Genome-Wide Association Studies | Broad Institute, n.d.)","previouslyFormattedCitation":"(&lt;i&gt;Explainer: Genome-Wide Association Studies | Broad Institute&lt;/i&gt;, n.d.)"},"properties":{"noteIndex":0},"schema":"https://github.com/citation-style-language/schema/raw/master/csl-citation.json"}</w:instrText>
      </w:r>
      <w:r w:rsidR="00721CF0">
        <w:rPr>
          <w:sz w:val="24"/>
          <w:szCs w:val="24"/>
          <w:lang w:val="en-US"/>
        </w:rPr>
        <w:fldChar w:fldCharType="separate"/>
      </w:r>
      <w:r w:rsidR="00721CF0" w:rsidRPr="00721CF0">
        <w:rPr>
          <w:noProof/>
          <w:sz w:val="24"/>
          <w:szCs w:val="24"/>
          <w:lang w:val="en-US"/>
        </w:rPr>
        <w:t>(</w:t>
      </w:r>
      <w:r w:rsidR="00721CF0" w:rsidRPr="00721CF0">
        <w:rPr>
          <w:i/>
          <w:noProof/>
          <w:sz w:val="24"/>
          <w:szCs w:val="24"/>
          <w:lang w:val="en-US"/>
        </w:rPr>
        <w:t>Explainer: Genome-Wide Association Studies | Broad Institute</w:t>
      </w:r>
      <w:r w:rsidR="00721CF0" w:rsidRPr="00721CF0">
        <w:rPr>
          <w:noProof/>
          <w:sz w:val="24"/>
          <w:szCs w:val="24"/>
          <w:lang w:val="en-US"/>
        </w:rPr>
        <w:t>, n.d.)</w:t>
      </w:r>
      <w:r w:rsidR="00721CF0">
        <w:rPr>
          <w:sz w:val="24"/>
          <w:szCs w:val="24"/>
          <w:lang w:val="en-US"/>
        </w:rPr>
        <w:fldChar w:fldCharType="end"/>
      </w:r>
      <w:r w:rsidR="00605BCD">
        <w:rPr>
          <w:sz w:val="24"/>
          <w:szCs w:val="24"/>
          <w:lang w:val="en-US"/>
        </w:rPr>
        <w:t xml:space="preserve">. </w:t>
      </w:r>
    </w:p>
    <w:p w:rsidR="00522B71" w:rsidRDefault="000E33AF" w:rsidP="0004594B">
      <w:pPr>
        <w:jc w:val="both"/>
        <w:rPr>
          <w:sz w:val="24"/>
          <w:szCs w:val="24"/>
          <w:lang w:val="en-US"/>
        </w:rPr>
      </w:pPr>
      <w:r>
        <w:rPr>
          <w:sz w:val="24"/>
          <w:szCs w:val="24"/>
          <w:lang w:val="en-US"/>
        </w:rPr>
        <w:tab/>
        <w:t>Concerning the COVID-19</w:t>
      </w:r>
      <w:r w:rsidR="0096173F" w:rsidRPr="008D27EC">
        <w:rPr>
          <w:sz w:val="24"/>
          <w:szCs w:val="24"/>
          <w:lang w:val="en-US"/>
        </w:rPr>
        <w:t xml:space="preserve">, </w:t>
      </w:r>
      <w:r w:rsidR="00605BCD">
        <w:rPr>
          <w:sz w:val="24"/>
          <w:szCs w:val="24"/>
          <w:lang w:val="en-US"/>
        </w:rPr>
        <w:t xml:space="preserve">COVID-19 Host Genetics Initiative (COVID-19 hg) was developed by Dr. Andrea Ganna </w:t>
      </w:r>
      <w:r>
        <w:rPr>
          <w:sz w:val="24"/>
          <w:szCs w:val="24"/>
          <w:lang w:val="en-US"/>
        </w:rPr>
        <w:t xml:space="preserve">from Institute of Molecular Medicine in Finland (FIMM) to understand the genetic variation and disease susceptibility/severity in COVID-19 patients. </w:t>
      </w:r>
      <w:r w:rsidR="00CC37E4">
        <w:rPr>
          <w:sz w:val="24"/>
          <w:szCs w:val="24"/>
          <w:lang w:val="en-US"/>
        </w:rPr>
        <w:t>T</w:t>
      </w:r>
      <w:r>
        <w:rPr>
          <w:sz w:val="24"/>
          <w:szCs w:val="24"/>
          <w:lang w:val="en-US"/>
        </w:rPr>
        <w:t xml:space="preserve">he COVID-19 hg was developed with the objective of generating, sharing and analyzing data related to </w:t>
      </w:r>
      <w:r w:rsidR="00CC37E4">
        <w:rPr>
          <w:sz w:val="24"/>
          <w:szCs w:val="24"/>
          <w:lang w:val="en-US"/>
        </w:rPr>
        <w:t>COVID-19 genetic determinants</w:t>
      </w:r>
      <w:r w:rsidR="00522B71">
        <w:rPr>
          <w:sz w:val="24"/>
          <w:szCs w:val="24"/>
          <w:lang w:val="en-US"/>
        </w:rPr>
        <w:t>. T</w:t>
      </w:r>
      <w:r w:rsidR="00522B71" w:rsidRPr="00740B28">
        <w:rPr>
          <w:sz w:val="24"/>
          <w:szCs w:val="24"/>
          <w:lang w:val="en-US"/>
        </w:rPr>
        <w:t>he knowledge could help the researchers for the drug repurposing and contribute to the global knowledge of C</w:t>
      </w:r>
      <w:r w:rsidR="00522B71">
        <w:rPr>
          <w:sz w:val="24"/>
          <w:szCs w:val="24"/>
          <w:lang w:val="en-US"/>
        </w:rPr>
        <w:t>OVID-19</w:t>
      </w:r>
      <w:r w:rsidR="00522B71" w:rsidRPr="00740B28">
        <w:rPr>
          <w:sz w:val="24"/>
          <w:szCs w:val="24"/>
          <w:lang w:val="en-US"/>
        </w:rPr>
        <w:t xml:space="preserve"> </w:t>
      </w:r>
      <w:r w:rsidR="00522B71">
        <w:rPr>
          <w:sz w:val="24"/>
          <w:szCs w:val="24"/>
          <w:lang w:val="en-US"/>
        </w:rPr>
        <w:t xml:space="preserve"> </w:t>
      </w:r>
      <w:r w:rsidR="00522B71">
        <w:rPr>
          <w:sz w:val="24"/>
          <w:szCs w:val="24"/>
          <w:lang w:val="en-US"/>
        </w:rPr>
        <w:fldChar w:fldCharType="begin" w:fldLock="1"/>
      </w:r>
      <w:r w:rsidR="00CB2C15">
        <w:rPr>
          <w:sz w:val="24"/>
          <w:szCs w:val="24"/>
          <w:lang w:val="en-US"/>
        </w:rPr>
        <w:instrText>ADDIN CSL_CITATION {"citationItems":[{"id":"ITEM-1","itemData":{"DOI":"10.1038/s41431-020-0636-6","ISSN":"14765438","PMID":"32404885","author":[{"dropping-particle":"","family":"Andrea Ganna","given":"","non-dropping-particle":"","parse-names":false,"suffix":""}],"container-title":"European Journal of Human Genetics","id":"ITEM-1","issue":"6","issued":{"date-parts":[["2020","6","1"]]},"page":"715-718","publisher":"Springer Nature","title":"The COVID-19 Host Genetics Initiative, a global initiative to elucidate the role of host genetic factors in susceptibility and severity of the SARS-CoV-2 virus pandemic","type":"article-journal","volume":"28"},"uris":["http://www.mendeley.com/documents/?uuid=067ce082-f03f-327c-b8d4-459cd3ac6b9b"]}],"mendeley":{"formattedCitation":"(Andrea Ganna, 2020)","plainTextFormattedCitation":"(Andrea Ganna, 2020)","previouslyFormattedCitation":"(Andrea Ganna, 2020)"},"properties":{"noteIndex":0},"schema":"https://github.com/citation-style-language/schema/raw/master/csl-citation.json"}</w:instrText>
      </w:r>
      <w:r w:rsidR="00522B71">
        <w:rPr>
          <w:sz w:val="24"/>
          <w:szCs w:val="24"/>
          <w:lang w:val="en-US"/>
        </w:rPr>
        <w:fldChar w:fldCharType="separate"/>
      </w:r>
      <w:r w:rsidR="00522B71" w:rsidRPr="00522B71">
        <w:rPr>
          <w:noProof/>
          <w:sz w:val="24"/>
          <w:szCs w:val="24"/>
          <w:lang w:val="en-US"/>
        </w:rPr>
        <w:t>(Andrea Ganna, 2020)</w:t>
      </w:r>
      <w:r w:rsidR="00522B71">
        <w:rPr>
          <w:sz w:val="24"/>
          <w:szCs w:val="24"/>
          <w:lang w:val="en-US"/>
        </w:rPr>
        <w:fldChar w:fldCharType="end"/>
      </w:r>
      <w:r w:rsidR="00CC37E4">
        <w:rPr>
          <w:sz w:val="24"/>
          <w:szCs w:val="24"/>
          <w:lang w:val="en-US"/>
        </w:rPr>
        <w:t xml:space="preserve">. </w:t>
      </w:r>
    </w:p>
    <w:p w:rsidR="00740B28" w:rsidRDefault="00740B28" w:rsidP="0004594B">
      <w:pPr>
        <w:jc w:val="both"/>
        <w:rPr>
          <w:sz w:val="24"/>
          <w:szCs w:val="24"/>
          <w:lang w:val="en-US"/>
        </w:rPr>
      </w:pPr>
      <w:r>
        <w:rPr>
          <w:sz w:val="24"/>
          <w:szCs w:val="24"/>
          <w:lang w:val="en-US"/>
        </w:rPr>
        <w:t>There are many challenges associated with the study of genetic variants:</w:t>
      </w:r>
    </w:p>
    <w:p w:rsidR="00740B28" w:rsidRDefault="00740B28" w:rsidP="00740B28">
      <w:pPr>
        <w:pStyle w:val="Listenabsatz"/>
        <w:numPr>
          <w:ilvl w:val="0"/>
          <w:numId w:val="8"/>
        </w:numPr>
        <w:jc w:val="both"/>
        <w:rPr>
          <w:sz w:val="24"/>
          <w:szCs w:val="24"/>
          <w:lang w:val="en-US"/>
        </w:rPr>
      </w:pPr>
      <w:r>
        <w:rPr>
          <w:sz w:val="24"/>
          <w:szCs w:val="24"/>
          <w:lang w:val="en-US"/>
        </w:rPr>
        <w:t>Availability of large cohort size of population</w:t>
      </w:r>
    </w:p>
    <w:p w:rsidR="00740B28" w:rsidRDefault="00740B28" w:rsidP="00740B28">
      <w:pPr>
        <w:pStyle w:val="Listenabsatz"/>
        <w:numPr>
          <w:ilvl w:val="0"/>
          <w:numId w:val="8"/>
        </w:numPr>
        <w:jc w:val="both"/>
        <w:rPr>
          <w:sz w:val="24"/>
          <w:szCs w:val="24"/>
          <w:lang w:val="en-US"/>
        </w:rPr>
      </w:pPr>
      <w:r>
        <w:rPr>
          <w:sz w:val="24"/>
          <w:szCs w:val="24"/>
          <w:lang w:val="en-US"/>
        </w:rPr>
        <w:t>Inability of the GWAS statistical methods to deal with the rare variants.</w:t>
      </w:r>
    </w:p>
    <w:p w:rsidR="00740B28" w:rsidRDefault="005B40F8" w:rsidP="00740B28">
      <w:pPr>
        <w:pStyle w:val="Listenabsatz"/>
        <w:numPr>
          <w:ilvl w:val="0"/>
          <w:numId w:val="8"/>
        </w:numPr>
        <w:jc w:val="both"/>
        <w:rPr>
          <w:sz w:val="24"/>
          <w:szCs w:val="24"/>
          <w:lang w:val="en-US"/>
        </w:rPr>
      </w:pPr>
      <w:r>
        <w:rPr>
          <w:sz w:val="24"/>
          <w:szCs w:val="24"/>
          <w:lang w:val="en-US"/>
        </w:rPr>
        <w:t xml:space="preserve">Identification  of the rare variants and associating it with an exact biological etiology </w:t>
      </w:r>
    </w:p>
    <w:p w:rsidR="00BF1A45" w:rsidRDefault="00BF1A45" w:rsidP="00BF1A45">
      <w:pPr>
        <w:jc w:val="both"/>
        <w:rPr>
          <w:sz w:val="24"/>
          <w:szCs w:val="24"/>
          <w:lang w:val="en-US"/>
        </w:rPr>
      </w:pPr>
      <w:r>
        <w:rPr>
          <w:sz w:val="24"/>
          <w:szCs w:val="24"/>
          <w:lang w:val="en-US"/>
        </w:rPr>
        <w:t>The summary of the results are provided in visualization as Manhattan plot.  It associates</w:t>
      </w:r>
      <w:r w:rsidR="00601C3E">
        <w:rPr>
          <w:sz w:val="24"/>
          <w:szCs w:val="24"/>
          <w:lang w:val="en-US"/>
        </w:rPr>
        <w:t xml:space="preserve"> the COVID-19 traits with the genetic variants across the entire genome. </w:t>
      </w:r>
    </w:p>
    <w:p w:rsidR="00601C3E" w:rsidRDefault="00601C3E" w:rsidP="00BF1A45">
      <w:pPr>
        <w:jc w:val="both"/>
        <w:rPr>
          <w:sz w:val="24"/>
          <w:szCs w:val="24"/>
          <w:lang w:val="en-US"/>
        </w:rPr>
      </w:pPr>
      <w:r>
        <w:rPr>
          <w:noProof/>
          <w:lang w:val="en-US"/>
        </w:rPr>
        <w:lastRenderedPageBreak/>
        <w:drawing>
          <wp:inline distT="0" distB="0" distL="0" distR="0" wp14:anchorId="17FD91C5" wp14:editId="0D81A0C0">
            <wp:extent cx="5760720" cy="22421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42185"/>
                    </a:xfrm>
                    <a:prstGeom prst="rect">
                      <a:avLst/>
                    </a:prstGeom>
                  </pic:spPr>
                </pic:pic>
              </a:graphicData>
            </a:graphic>
          </wp:inline>
        </w:drawing>
      </w:r>
    </w:p>
    <w:p w:rsidR="00601C3E" w:rsidRDefault="00601C3E" w:rsidP="00BF1A45">
      <w:pPr>
        <w:jc w:val="both"/>
        <w:rPr>
          <w:sz w:val="24"/>
          <w:szCs w:val="24"/>
          <w:lang w:val="en-US"/>
        </w:rPr>
      </w:pPr>
      <w:r>
        <w:rPr>
          <w:sz w:val="24"/>
          <w:szCs w:val="24"/>
          <w:lang w:val="en-US"/>
        </w:rPr>
        <w:t>Figure: Manhattan plot representing a GWAS results</w:t>
      </w:r>
      <w:r w:rsidR="00B5195C">
        <w:rPr>
          <w:sz w:val="24"/>
          <w:szCs w:val="24"/>
          <w:lang w:val="en-US"/>
        </w:rPr>
        <w:t xml:space="preserve">. Adapted from </w:t>
      </w:r>
      <w:r w:rsidR="00B5195C">
        <w:rPr>
          <w:sz w:val="24"/>
          <w:szCs w:val="24"/>
          <w:lang w:val="en-US"/>
        </w:rPr>
        <w:fldChar w:fldCharType="begin" w:fldLock="1"/>
      </w:r>
      <w:r w:rsidR="00B5195C">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p>
    <w:p w:rsidR="0096173F" w:rsidRPr="00740B28" w:rsidRDefault="00601C3E" w:rsidP="0004594B">
      <w:pPr>
        <w:jc w:val="both"/>
        <w:rPr>
          <w:sz w:val="24"/>
          <w:szCs w:val="24"/>
          <w:lang w:val="en-US"/>
        </w:rPr>
      </w:pPr>
      <w:r>
        <w:rPr>
          <w:sz w:val="24"/>
          <w:szCs w:val="24"/>
          <w:lang w:val="en-US"/>
        </w:rPr>
        <w:t>It contains the chromosome numbers along the X-axis and the log transformed p-</w:t>
      </w:r>
      <w:r w:rsidR="00B5195C">
        <w:rPr>
          <w:sz w:val="24"/>
          <w:szCs w:val="24"/>
          <w:lang w:val="en-US"/>
        </w:rPr>
        <w:t>value along</w:t>
      </w:r>
      <w:r>
        <w:rPr>
          <w:sz w:val="24"/>
          <w:szCs w:val="24"/>
          <w:lang w:val="en-US"/>
        </w:rPr>
        <w:t xml:space="preserve"> the Y-axis</w:t>
      </w:r>
      <w:r w:rsidR="00B5195C">
        <w:rPr>
          <w:sz w:val="24"/>
          <w:szCs w:val="24"/>
          <w:lang w:val="en-US"/>
        </w:rPr>
        <w:t>.  The points in the plot denotes the p-value between the variant and the disease under study. The most associated genetic variant is the varian</w:t>
      </w:r>
      <w:r w:rsidR="007763ED">
        <w:rPr>
          <w:sz w:val="24"/>
          <w:szCs w:val="24"/>
          <w:lang w:val="en-US"/>
        </w:rPr>
        <w:t xml:space="preserve">t that has the highest p-value </w:t>
      </w:r>
      <w:r w:rsidR="00B5195C">
        <w:rPr>
          <w:sz w:val="24"/>
          <w:szCs w:val="24"/>
          <w:lang w:val="en-US"/>
        </w:rPr>
        <w:fldChar w:fldCharType="begin" w:fldLock="1"/>
      </w:r>
      <w:r w:rsidR="00522B71">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r w:rsidR="007A6B04">
        <w:rPr>
          <w:sz w:val="24"/>
          <w:szCs w:val="24"/>
          <w:lang w:val="en-US"/>
        </w:rPr>
        <w:t>.</w:t>
      </w:r>
    </w:p>
    <w:p w:rsidR="00B11634" w:rsidRDefault="00740B28" w:rsidP="0004594B">
      <w:pPr>
        <w:jc w:val="both"/>
        <w:rPr>
          <w:lang w:val="en-US"/>
        </w:rPr>
      </w:pPr>
      <w:r w:rsidRPr="00B5195C">
        <w:rPr>
          <w:sz w:val="24"/>
          <w:lang w:val="en-US"/>
        </w:rPr>
        <w:t xml:space="preserve">The COVID-19 hg results could be directly accessed from the weblink at </w:t>
      </w:r>
      <w:hyperlink r:id="rId20" w:history="1">
        <w:r w:rsidR="00B5195C" w:rsidRPr="001A69DB">
          <w:rPr>
            <w:rStyle w:val="Hyperlink"/>
            <w:sz w:val="24"/>
            <w:lang w:val="en-US"/>
          </w:rPr>
          <w:t>https://app.covid19hg.org/</w:t>
        </w:r>
      </w:hyperlink>
      <w:r w:rsidR="00B5195C">
        <w:rPr>
          <w:sz w:val="24"/>
          <w:lang w:val="en-US"/>
        </w:rPr>
        <w:t xml:space="preserve">. </w:t>
      </w:r>
      <w:r w:rsidR="00CF6365">
        <w:rPr>
          <w:lang w:val="en-US"/>
        </w:rPr>
        <w:t xml:space="preserve"> </w:t>
      </w:r>
    </w:p>
    <w:p w:rsidR="00B11634" w:rsidRDefault="00B11634" w:rsidP="0004594B">
      <w:pPr>
        <w:jc w:val="both"/>
        <w:rPr>
          <w:lang w:val="en-US"/>
        </w:rPr>
      </w:pPr>
    </w:p>
    <w:p w:rsidR="00893F17" w:rsidRDefault="007763ED" w:rsidP="0004594B">
      <w:pPr>
        <w:jc w:val="both"/>
        <w:rPr>
          <w:sz w:val="24"/>
          <w:szCs w:val="24"/>
          <w:lang w:val="en-US"/>
        </w:rPr>
      </w:pPr>
      <w:r w:rsidRPr="00822F2B">
        <w:rPr>
          <w:sz w:val="24"/>
          <w:szCs w:val="24"/>
          <w:lang w:val="en-US"/>
        </w:rPr>
        <w:t>2.</w:t>
      </w:r>
      <w:r w:rsidR="00C07DC5">
        <w:rPr>
          <w:sz w:val="24"/>
          <w:szCs w:val="24"/>
          <w:lang w:val="en-US"/>
        </w:rPr>
        <w:t>10</w:t>
      </w:r>
      <w:r w:rsidRPr="00822F2B">
        <w:rPr>
          <w:sz w:val="24"/>
          <w:szCs w:val="24"/>
          <w:lang w:val="en-US"/>
        </w:rPr>
        <w:t xml:space="preserve"> Knowledge graph</w:t>
      </w:r>
    </w:p>
    <w:p w:rsidR="00822F2B" w:rsidRDefault="00822F2B" w:rsidP="0004594B">
      <w:pPr>
        <w:jc w:val="both"/>
        <w:rPr>
          <w:sz w:val="24"/>
          <w:szCs w:val="24"/>
          <w:lang w:val="en-US"/>
        </w:rPr>
      </w:pPr>
      <w:r>
        <w:rPr>
          <w:sz w:val="24"/>
          <w:szCs w:val="24"/>
          <w:lang w:val="en-US"/>
        </w:rPr>
        <w:tab/>
        <w:t xml:space="preserve">For the mining of information from the large volumes of scientific literatures for answering complex queries, artificial intelligence technology called Knowledge graph (KG) is employed. </w:t>
      </w:r>
    </w:p>
    <w:p w:rsidR="004F6854" w:rsidRDefault="004F6854" w:rsidP="0004594B">
      <w:pPr>
        <w:jc w:val="both"/>
        <w:rPr>
          <w:sz w:val="24"/>
          <w:szCs w:val="24"/>
          <w:lang w:val="en-US"/>
        </w:rPr>
      </w:pPr>
      <w:r>
        <w:rPr>
          <w:sz w:val="24"/>
          <w:szCs w:val="24"/>
          <w:lang w:val="en-US"/>
        </w:rPr>
        <w:t xml:space="preserve">A knowledge graph is a directed labelled graph consisting of nodes representing the entities connected by edges representing the relationship between the nodes. </w:t>
      </w:r>
    </w:p>
    <w:p w:rsidR="008E6BDD" w:rsidRDefault="008E6BDD" w:rsidP="0004594B">
      <w:pPr>
        <w:jc w:val="both"/>
        <w:rPr>
          <w:sz w:val="24"/>
          <w:szCs w:val="24"/>
          <w:lang w:val="en-US"/>
        </w:rPr>
      </w:pPr>
      <w:r>
        <w:rPr>
          <w:noProof/>
          <w:lang w:val="en-US"/>
        </w:rPr>
        <w:drawing>
          <wp:inline distT="0" distB="0" distL="0" distR="0" wp14:anchorId="60912F09" wp14:editId="1FF28A72">
            <wp:extent cx="5760720" cy="14249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24940"/>
                    </a:xfrm>
                    <a:prstGeom prst="rect">
                      <a:avLst/>
                    </a:prstGeom>
                  </pic:spPr>
                </pic:pic>
              </a:graphicData>
            </a:graphic>
          </wp:inline>
        </w:drawing>
      </w:r>
    </w:p>
    <w:p w:rsidR="008E6BDD" w:rsidRDefault="008E6BDD" w:rsidP="0004594B">
      <w:pPr>
        <w:jc w:val="both"/>
        <w:rPr>
          <w:sz w:val="24"/>
          <w:szCs w:val="24"/>
          <w:lang w:val="en-US"/>
        </w:rPr>
      </w:pPr>
      <w:r>
        <w:rPr>
          <w:sz w:val="24"/>
          <w:szCs w:val="24"/>
          <w:lang w:val="en-US"/>
        </w:rPr>
        <w:t>Figure : A</w:t>
      </w:r>
      <w:r w:rsidR="00CB2C15">
        <w:rPr>
          <w:sz w:val="24"/>
          <w:szCs w:val="24"/>
          <w:lang w:val="en-US"/>
        </w:rPr>
        <w:t xml:space="preserve"> simple Directed labelled graph. Adapted from </w:t>
      </w:r>
      <w:r w:rsidR="00CB2C15">
        <w:rPr>
          <w:sz w:val="24"/>
          <w:szCs w:val="24"/>
          <w:lang w:val="en-US"/>
        </w:rPr>
        <w:fldChar w:fldCharType="begin" w:fldLock="1"/>
      </w:r>
      <w:r w:rsidR="00CB2C15">
        <w:rPr>
          <w:sz w:val="24"/>
          <w:szCs w:val="24"/>
          <w:lang w:val="en-US"/>
        </w:rPr>
        <w:instrText>ADDIN CSL_CITATION {"citationItems":[{"id":"ITEM-1","itemData":{"URL":"https://web.stanford.edu/class/cs520/2020/notes/What_is_a_Knowledge_Graph.html","accessed":{"date-parts":[["2021","5","8"]]},"id":"ITEM-1","issued":{"date-parts":[["0"]]},"title":"What is a Knowledge Graph?","type":"webpage"},"uris":["http://www.mendeley.com/documents/?uuid=92093185-1c8d-344d-b078-4eb1b0ac05c7"]}],"mendeley":{"formattedCitation":"(&lt;i&gt;What Is a Knowledge Graph?&lt;/i&gt;, n.d.)","plainTextFormattedCitation":"(What Is a Knowledge Graph?, n.d.)","previouslyFormattedCitation":"(&lt;i&gt;What Is a Knowledge Graph?&lt;/i&gt;, n.d.)"},"properties":{"noteIndex":0},"schema":"https://github.com/citation-style-language/schema/raw/master/csl-citation.json"}</w:instrText>
      </w:r>
      <w:r w:rsidR="00CB2C15">
        <w:rPr>
          <w:sz w:val="24"/>
          <w:szCs w:val="24"/>
          <w:lang w:val="en-US"/>
        </w:rPr>
        <w:fldChar w:fldCharType="separate"/>
      </w:r>
      <w:r w:rsidR="00CB2C15" w:rsidRPr="00CB2C15">
        <w:rPr>
          <w:noProof/>
          <w:sz w:val="24"/>
          <w:szCs w:val="24"/>
          <w:lang w:val="en-US"/>
        </w:rPr>
        <w:t>(</w:t>
      </w:r>
      <w:r w:rsidR="00CB2C15" w:rsidRPr="00CB2C15">
        <w:rPr>
          <w:i/>
          <w:noProof/>
          <w:sz w:val="24"/>
          <w:szCs w:val="24"/>
          <w:lang w:val="en-US"/>
        </w:rPr>
        <w:t>What Is a Knowledge Graph?</w:t>
      </w:r>
      <w:r w:rsidR="00CB2C15" w:rsidRPr="00CB2C15">
        <w:rPr>
          <w:noProof/>
          <w:sz w:val="24"/>
          <w:szCs w:val="24"/>
          <w:lang w:val="en-US"/>
        </w:rPr>
        <w:t>, n.d.)</w:t>
      </w:r>
      <w:r w:rsidR="00CB2C15">
        <w:rPr>
          <w:sz w:val="24"/>
          <w:szCs w:val="24"/>
          <w:lang w:val="en-US"/>
        </w:rPr>
        <w:fldChar w:fldCharType="end"/>
      </w:r>
    </w:p>
    <w:p w:rsidR="007763ED" w:rsidRPr="005B5209" w:rsidRDefault="008E6BDD" w:rsidP="0004594B">
      <w:pPr>
        <w:jc w:val="both"/>
        <w:rPr>
          <w:sz w:val="24"/>
          <w:szCs w:val="24"/>
          <w:lang w:val="en-US"/>
        </w:rPr>
      </w:pPr>
      <w:r>
        <w:rPr>
          <w:sz w:val="24"/>
          <w:szCs w:val="24"/>
          <w:lang w:val="en-US"/>
        </w:rPr>
        <w:t>In the field of life sciences, the knowledge graphs are employed in the literature searching for the specific query provided by the user, drug repurposing for identifying d</w:t>
      </w:r>
      <w:r w:rsidR="00CB2C15">
        <w:rPr>
          <w:sz w:val="24"/>
          <w:szCs w:val="24"/>
          <w:lang w:val="en-US"/>
        </w:rPr>
        <w:t xml:space="preserve">rugs effective for the disease etc. </w:t>
      </w:r>
      <w:r w:rsidR="00CB2C15">
        <w:rPr>
          <w:sz w:val="24"/>
          <w:szCs w:val="24"/>
          <w:lang w:val="en-US"/>
        </w:rPr>
        <w:fldChar w:fldCharType="begin" w:fldLock="1"/>
      </w:r>
      <w:r w:rsidR="005B5209">
        <w:rPr>
          <w:sz w:val="24"/>
          <w:szCs w:val="24"/>
          <w:lang w:val="en-US"/>
        </w:rPr>
        <w:instrText>ADDIN CSL_CITATION {"citationItems":[{"id":"ITEM-1","itemData":{"abstract":"Background: Searching through the COVID-19 research literature to gain actionable clinical insight is a formidable task, even for experts. The usefulness of this corpus in terms of improving patient care is tied to the ability to see the big picture that emerges when the studies are seen in conjunction rather than in isolation. When the answer to a search query requires linking together multiple pieces of information across documents, simple keyword searches are insufficient. To answer such complex information needs, an innovative artificial intelligence (AI) technology named a knowledge graph (KG) could prove to be effective. Methods: We conducted an exploratory literature review of KG applications in the context of COVID-19. The search term used was “covid-19 knowledge graph”. In addition to PubMed, the first five pages of search results for Google Scholar and Google were considered for inclusion. Google Scholar was used to include non-peer-reviewed or non-indexed articles such as pre-prints and conference proceedings. Google was used to identify companies or consortiums active in this domain that have not published any literature, peer-reviewed or otherwise. Results: Our search yielded 34 results on PubMed and 50 results each on Google and Google Scholar. We found KGs being used for facilitating literature search, drug repurposing, clinical trial mapping, and risk factor analysis. Conclusions: Our synopses of these works make a compelling case for the utility of this nascent field of research.","author":[{"dropping-particle":"","family":"Chatterjee","given":"Avishek","non-dropping-particle":"","parse-names":false,"suffix":""},{"dropping-particle":"","family":"Nardi","given":"Cosimo","non-dropping-particle":"","parse-names":false,"suffix":""},{"dropping-particle":"","family":"Oberije","given":"Cary","non-dropping-particle":"","parse-names":false,"suffix":""},{"dropping-particle":"","family":"Lambin","given":"Philippe","non-dropping-particle":"","parse-names":false,"suffix":""}],"id":"ITEM-1","issued":{"date-parts":[["2021"]]},"title":"Knowledge Graphs for COVID-19 : An Exploratory Review of the Current Landscape","type":"article-journal"},"uris":["http://www.mendeley.com/documents/?uuid=b9a0d141-5bf5-43e1-a534-b8dbd00c89c8"]}],"mendeley":{"formattedCitation":"(Chatterjee et al., 2021)","plainTextFormattedCitation":"(Chatterjee et al., 2021)","previouslyFormattedCitation":"(Chatterjee et al., 2021)"},"properties":{"noteIndex":0},"schema":"https://github.com/citation-style-language/schema/raw/master/csl-citation.json"}</w:instrText>
      </w:r>
      <w:r w:rsidR="00CB2C15">
        <w:rPr>
          <w:sz w:val="24"/>
          <w:szCs w:val="24"/>
          <w:lang w:val="en-US"/>
        </w:rPr>
        <w:fldChar w:fldCharType="separate"/>
      </w:r>
      <w:r w:rsidR="00CB2C15" w:rsidRPr="00CB2C15">
        <w:rPr>
          <w:noProof/>
          <w:sz w:val="24"/>
          <w:szCs w:val="24"/>
          <w:lang w:val="en-US"/>
        </w:rPr>
        <w:t>(Chatterjee et al., 2021)</w:t>
      </w:r>
      <w:r w:rsidR="00CB2C15">
        <w:rPr>
          <w:sz w:val="24"/>
          <w:szCs w:val="24"/>
          <w:lang w:val="en-US"/>
        </w:rPr>
        <w:fldChar w:fldCharType="end"/>
      </w:r>
      <w:r w:rsidR="00CB2C15">
        <w:rPr>
          <w:sz w:val="24"/>
          <w:szCs w:val="24"/>
          <w:lang w:val="en-US"/>
        </w:rPr>
        <w:t xml:space="preserve">. </w:t>
      </w:r>
    </w:p>
    <w:p w:rsidR="00C741F4" w:rsidRDefault="00CB2C15" w:rsidP="0004594B">
      <w:pPr>
        <w:jc w:val="both"/>
        <w:rPr>
          <w:sz w:val="24"/>
          <w:szCs w:val="24"/>
          <w:lang w:val="en-US"/>
        </w:rPr>
      </w:pPr>
      <w:r w:rsidRPr="00CB2C15">
        <w:rPr>
          <w:sz w:val="24"/>
          <w:szCs w:val="24"/>
          <w:lang w:val="en-US"/>
        </w:rPr>
        <w:t>For suppor</w:t>
      </w:r>
      <w:r>
        <w:rPr>
          <w:sz w:val="24"/>
          <w:szCs w:val="24"/>
          <w:lang w:val="en-US"/>
        </w:rPr>
        <w:t xml:space="preserve">ting the COVID-19 research, a knowledge graph specific to COVID-19 </w:t>
      </w:r>
      <w:r w:rsidR="005B5209">
        <w:rPr>
          <w:sz w:val="24"/>
          <w:szCs w:val="24"/>
          <w:lang w:val="en-US"/>
        </w:rPr>
        <w:t>drug</w:t>
      </w:r>
      <w:r w:rsidR="001C48F9">
        <w:rPr>
          <w:sz w:val="24"/>
          <w:szCs w:val="24"/>
          <w:lang w:val="en-US"/>
        </w:rPr>
        <w:t>-target interaction</w:t>
      </w:r>
      <w:r w:rsidR="005B5209">
        <w:rPr>
          <w:sz w:val="24"/>
          <w:szCs w:val="24"/>
          <w:lang w:val="en-US"/>
        </w:rPr>
        <w:t>s</w:t>
      </w:r>
      <w:r w:rsidR="001C48F9">
        <w:rPr>
          <w:sz w:val="24"/>
          <w:szCs w:val="24"/>
          <w:lang w:val="en-US"/>
        </w:rPr>
        <w:t>, mechanism of infection</w:t>
      </w:r>
      <w:r w:rsidR="005B5209">
        <w:rPr>
          <w:sz w:val="24"/>
          <w:szCs w:val="24"/>
          <w:lang w:val="en-US"/>
        </w:rPr>
        <w:t>, pathophysiology etc.</w:t>
      </w:r>
      <w:r w:rsidR="001C48F9">
        <w:rPr>
          <w:sz w:val="24"/>
          <w:szCs w:val="24"/>
          <w:lang w:val="en-US"/>
        </w:rPr>
        <w:t xml:space="preserve"> </w:t>
      </w:r>
      <w:r>
        <w:rPr>
          <w:sz w:val="24"/>
          <w:szCs w:val="24"/>
          <w:lang w:val="en-US"/>
        </w:rPr>
        <w:t xml:space="preserve">was developed. </w:t>
      </w:r>
      <w:r w:rsidR="0038753F">
        <w:rPr>
          <w:sz w:val="24"/>
          <w:szCs w:val="24"/>
          <w:lang w:val="en-US"/>
        </w:rPr>
        <w:t xml:space="preserve">It consisted of </w:t>
      </w:r>
      <w:r w:rsidR="0038753F">
        <w:rPr>
          <w:sz w:val="24"/>
          <w:szCs w:val="24"/>
          <w:lang w:val="en-US"/>
        </w:rPr>
        <w:lastRenderedPageBreak/>
        <w:t xml:space="preserve">4,016 nodes </w:t>
      </w:r>
      <w:r w:rsidR="00480CA0">
        <w:rPr>
          <w:sz w:val="24"/>
          <w:szCs w:val="24"/>
          <w:lang w:val="en-US"/>
        </w:rPr>
        <w:t>(genes, proteins, drugs etc</w:t>
      </w:r>
      <w:r w:rsidR="003529E5">
        <w:rPr>
          <w:sz w:val="24"/>
          <w:szCs w:val="24"/>
          <w:lang w:val="en-US"/>
        </w:rPr>
        <w:t>.)</w:t>
      </w:r>
      <w:r w:rsidR="00480CA0">
        <w:rPr>
          <w:sz w:val="24"/>
          <w:szCs w:val="24"/>
          <w:lang w:val="en-US"/>
        </w:rPr>
        <w:t xml:space="preserve"> and 10,232 relationships as edges (increases, decreases, has_component etc.). </w:t>
      </w:r>
      <w:r w:rsidR="00C741F4">
        <w:rPr>
          <w:sz w:val="24"/>
          <w:szCs w:val="24"/>
          <w:lang w:val="en-US"/>
        </w:rPr>
        <w:t xml:space="preserve"> The information available within the knowledge graph, most are pertaining to the proteins and biological processes associated with COVID-19. </w:t>
      </w:r>
    </w:p>
    <w:p w:rsidR="003529E5" w:rsidRDefault="00480CA0" w:rsidP="0004594B">
      <w:pPr>
        <w:jc w:val="both"/>
        <w:rPr>
          <w:sz w:val="24"/>
          <w:szCs w:val="24"/>
          <w:lang w:val="en-US"/>
        </w:rPr>
      </w:pPr>
      <w:r>
        <w:rPr>
          <w:sz w:val="24"/>
          <w:szCs w:val="24"/>
          <w:lang w:val="en-US"/>
        </w:rPr>
        <w:t>The graph was developed from the corpus of 160 scientific literatures from various resources including PubMed, LitCovid etc. Then those information were manually encoded in Biological Expression Language (BEL</w:t>
      </w:r>
      <w:r w:rsidR="003529E5">
        <w:rPr>
          <w:sz w:val="24"/>
          <w:szCs w:val="24"/>
          <w:lang w:val="en-US"/>
        </w:rPr>
        <w:t>) which</w:t>
      </w:r>
      <w:r>
        <w:rPr>
          <w:sz w:val="24"/>
          <w:szCs w:val="24"/>
          <w:lang w:val="en-US"/>
        </w:rPr>
        <w:t xml:space="preserve"> resulted in source, relationship, target patterned statements. </w:t>
      </w:r>
    </w:p>
    <w:p w:rsidR="001C48F9" w:rsidRDefault="003529E5" w:rsidP="0004594B">
      <w:pPr>
        <w:jc w:val="both"/>
        <w:rPr>
          <w:sz w:val="24"/>
          <w:szCs w:val="24"/>
          <w:lang w:val="en-US"/>
        </w:rPr>
      </w:pPr>
      <w:r>
        <w:rPr>
          <w:sz w:val="24"/>
          <w:szCs w:val="24"/>
          <w:lang w:val="en-US"/>
        </w:rPr>
        <w:t>An User Interface to explore the knowledge graph and query was developed using the Python Django and OrientDB as Bio</w:t>
      </w:r>
      <w:r w:rsidR="001C48F9">
        <w:rPr>
          <w:sz w:val="24"/>
          <w:szCs w:val="24"/>
          <w:lang w:val="en-US"/>
        </w:rPr>
        <w:t xml:space="preserve">logical Knowledge Miner (BikMi). It is also supported by an API. The web application can be accessed directly for free at </w:t>
      </w:r>
      <w:hyperlink r:id="rId22" w:history="1">
        <w:r w:rsidR="001C48F9" w:rsidRPr="00564F09">
          <w:rPr>
            <w:rStyle w:val="Hyperlink"/>
            <w:sz w:val="24"/>
            <w:szCs w:val="24"/>
            <w:lang w:val="en-US"/>
          </w:rPr>
          <w:t>https://bikmi.covid19-knowledgespace.de/</w:t>
        </w:r>
      </w:hyperlink>
      <w:r w:rsidR="001C48F9">
        <w:rPr>
          <w:sz w:val="24"/>
          <w:szCs w:val="24"/>
          <w:lang w:val="en-US"/>
        </w:rPr>
        <w:t xml:space="preserve">. </w:t>
      </w:r>
    </w:p>
    <w:p w:rsidR="00567C38" w:rsidRPr="00CB2C15" w:rsidRDefault="001C48F9" w:rsidP="0004594B">
      <w:pPr>
        <w:jc w:val="both"/>
        <w:rPr>
          <w:sz w:val="24"/>
          <w:szCs w:val="24"/>
          <w:lang w:val="en-US"/>
        </w:rPr>
      </w:pPr>
      <w:r>
        <w:rPr>
          <w:sz w:val="24"/>
          <w:szCs w:val="24"/>
          <w:lang w:val="en-US"/>
        </w:rPr>
        <w:t>An interesting application of the knowledge graph is the identification of drug candidates for the drug repurposing. The most prominent drugs for the treatment of HIV, Ebola, Malaria like Lopinavir/Ritonavir combination, Remdesivir, Hydroxychloroquine respectively are identified within the knowledge graph</w:t>
      </w:r>
      <w:r w:rsidR="005B5209">
        <w:rPr>
          <w:sz w:val="24"/>
          <w:szCs w:val="24"/>
          <w:lang w:val="en-US"/>
        </w:rPr>
        <w:t xml:space="preserve"> </w:t>
      </w:r>
      <w:r w:rsidR="005B5209">
        <w:rPr>
          <w:sz w:val="24"/>
          <w:szCs w:val="24"/>
          <w:lang w:val="en-US"/>
        </w:rPr>
        <w:fldChar w:fldCharType="begin" w:fldLock="1"/>
      </w:r>
      <w:r w:rsidR="0012671E">
        <w:rPr>
          <w:sz w:val="24"/>
          <w:szCs w:val="24"/>
          <w:lang w:val="en-US"/>
        </w:rPr>
        <w:instrText>ADDIN CSL_CITATION {"citationItems":[{"id":"ITEM-1","itemData":{"DOI":"10.1101/2020.04.14.040667","ISSN":"26928205","abstract":"Summary: The past few weeks have witnessed a worldwide mobilization of the research community in response to the novel coronavirus (COVID-19). This global response has led to a burst of publications on the pathophysiology of the virus, yet without coordinated efforts to organize this knowledge, it can remain hidden away from individual research groups. By extracting and formalizing this knowledge in a structured and computable form, as in the form of a knowledge graph, researchers can readily reason and analyze this information on a much larger scale. Here, we present the COVID-19 Knowledge Graph, an expansive cause-and-effect network constructed from scientific literature on the new coronavirus that aims to provide a comprehensive view of its pathophysiology. To make this resource available to the research community and facilitate its exploration and analysis, we also implemented a web application and released the KG in multiple standard formats. Availability: The COVID-19 Knowledge Graph is publicly available under CC-0 license at https://github.com/covid19kg and https://bikmi.covid19-knowledgespace.de. Contact: alpha.tom.kodamullil@scai.fraunhofer.de Supplementary information: Supplementary data are available online.","author":[{"dropping-particle":"","family":"Domingo-Fernández","given":"Daniel","non-dropping-particle":"","parse-names":false,"suffix":""},{"dropping-particle":"","family":"Baksi","given":"Shounak","non-dropping-particle":"","parse-names":false,"suffix":""},{"dropping-particle":"","family":"Schultz","given":"Bruce","non-dropping-particle":"","parse-names":false,"suffix":""},{"dropping-particle":"","family":"Gadiya","given":"Yojana","non-dropping-particle":"","parse-names":false,"suffix":""},{"dropping-particle":"","family":"Karki","given":"Reagon","non-dropping-particle":"","parse-names":false,"suffix":""},{"dropping-particle":"","family":"Raschka","given":"Tamara","non-dropping-particle":"","parse-names":false,"suffix":""},{"dropping-particle":"","family":"Ebeling","given":"Christian","non-dropping-particle":"","parse-names":false,"suffix":""},{"dropping-particle":"","family":"Hofmann-Apitius","given":"Martin","non-dropping-particle":"","parse-names":false,"suffix":""},{"dropping-particle":"","family":"Kodamullil","given":"Alpha Tom","non-dropping-particle":"","parse-names":false,"suffix":""}],"container-title":"bioRxiv","id":"ITEM-1","issued":{"date-parts":[["2020"]]},"page":"19-21","title":"COVID-19 knowledge graph: A computable, multi-modal, cause-and-effect knowledge model of COVID-19 pathophysiology","type":"article-journal"},"uris":["http://www.mendeley.com/documents/?uuid=d419cad0-9f3d-4c6b-afa1-1bb072b3d735"]}],"mendeley":{"formattedCitation":"(Domingo-Fernández et al., 2020)","plainTextFormattedCitation":"(Domingo-Fernández et al., 2020)","previouslyFormattedCitation":"(Domingo-Fernández et al., 2020)"},"properties":{"noteIndex":0},"schema":"https://github.com/citation-style-language/schema/raw/master/csl-citation.json"}</w:instrText>
      </w:r>
      <w:r w:rsidR="005B5209">
        <w:rPr>
          <w:sz w:val="24"/>
          <w:szCs w:val="24"/>
          <w:lang w:val="en-US"/>
        </w:rPr>
        <w:fldChar w:fldCharType="separate"/>
      </w:r>
      <w:r w:rsidR="005B5209" w:rsidRPr="005B5209">
        <w:rPr>
          <w:noProof/>
          <w:sz w:val="24"/>
          <w:szCs w:val="24"/>
          <w:lang w:val="en-US"/>
        </w:rPr>
        <w:t>(Domingo-Fernández et al., 2020)</w:t>
      </w:r>
      <w:r w:rsidR="005B5209">
        <w:rPr>
          <w:sz w:val="24"/>
          <w:szCs w:val="24"/>
          <w:lang w:val="en-US"/>
        </w:rPr>
        <w:fldChar w:fldCharType="end"/>
      </w:r>
      <w:r>
        <w:rPr>
          <w:sz w:val="24"/>
          <w:szCs w:val="24"/>
          <w:lang w:val="en-US"/>
        </w:rPr>
        <w:t xml:space="preserve">. </w:t>
      </w:r>
      <w:r w:rsidR="00480CA0">
        <w:rPr>
          <w:sz w:val="24"/>
          <w:szCs w:val="24"/>
          <w:lang w:val="en-US"/>
        </w:rPr>
        <w:t xml:space="preserve">  </w:t>
      </w: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EE4768" w:rsidRDefault="00EE4768" w:rsidP="0004594B">
      <w:pPr>
        <w:jc w:val="both"/>
        <w:rPr>
          <w:lang w:val="en-US"/>
        </w:rPr>
      </w:pPr>
    </w:p>
    <w:p w:rsidR="00771096" w:rsidRDefault="00771096"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5B5209" w:rsidRDefault="005B5209"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C07DC5" w:rsidRPr="00C07DC5" w:rsidRDefault="00CE05CF" w:rsidP="00C07DC5">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C07DC5" w:rsidRPr="00C07DC5">
        <w:rPr>
          <w:rFonts w:ascii="Calibri" w:hAnsi="Calibri" w:cs="Calibri"/>
          <w:i/>
          <w:iCs/>
          <w:noProof/>
          <w:szCs w:val="24"/>
        </w:rPr>
        <w:t>About ICTRP</w:t>
      </w:r>
      <w:r w:rsidR="00C07DC5" w:rsidRPr="00C07DC5">
        <w:rPr>
          <w:rFonts w:ascii="Calibri" w:hAnsi="Calibri" w:cs="Calibri"/>
          <w:noProof/>
          <w:szCs w:val="24"/>
        </w:rPr>
        <w:t>. (n.d.). Retrieved April 22, 2021, from https://www.who.int/clinical-trials-registry-platform/about</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About the EU Clinical Trials Register</w:t>
      </w:r>
      <w:r w:rsidRPr="00C07DC5">
        <w:rPr>
          <w:rFonts w:ascii="Calibri" w:hAnsi="Calibri" w:cs="Calibri"/>
          <w:noProof/>
          <w:szCs w:val="24"/>
        </w:rPr>
        <w:t>. (n.d.). Retrieved April 22, 2021, from https://www.clinicaltrialsregister.eu/about.html</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Andrea Ganna. (2020). The COVID-19 Host Genetics Initiative, a global initiative to elucidate the role of host genetic factors in susceptibility and severity of the SARS-CoV-2 virus pandemic. </w:t>
      </w:r>
      <w:r w:rsidRPr="00C07DC5">
        <w:rPr>
          <w:rFonts w:ascii="Calibri" w:hAnsi="Calibri" w:cs="Calibri"/>
          <w:i/>
          <w:iCs/>
          <w:noProof/>
          <w:szCs w:val="24"/>
        </w:rPr>
        <w:t>European Journal of Human Genetics</w:t>
      </w:r>
      <w:r w:rsidRPr="00C07DC5">
        <w:rPr>
          <w:rFonts w:ascii="Calibri" w:hAnsi="Calibri" w:cs="Calibri"/>
          <w:noProof/>
          <w:szCs w:val="24"/>
        </w:rPr>
        <w:t xml:space="preserve">, </w:t>
      </w:r>
      <w:r w:rsidRPr="00C07DC5">
        <w:rPr>
          <w:rFonts w:ascii="Calibri" w:hAnsi="Calibri" w:cs="Calibri"/>
          <w:i/>
          <w:iCs/>
          <w:noProof/>
          <w:szCs w:val="24"/>
        </w:rPr>
        <w:t>28</w:t>
      </w:r>
      <w:r w:rsidRPr="00C07DC5">
        <w:rPr>
          <w:rFonts w:ascii="Calibri" w:hAnsi="Calibri" w:cs="Calibri"/>
          <w:noProof/>
          <w:szCs w:val="24"/>
        </w:rPr>
        <w:t>(6), 715–718. https://doi.org/10.1038/s41431-020-0636-6</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Chatterjee, A., Nardi, C., Oberije, C., &amp; Lambin, P. (2021). </w:t>
      </w:r>
      <w:r w:rsidRPr="00C07DC5">
        <w:rPr>
          <w:rFonts w:ascii="Calibri" w:hAnsi="Calibri" w:cs="Calibri"/>
          <w:i/>
          <w:iCs/>
          <w:noProof/>
          <w:szCs w:val="24"/>
        </w:rPr>
        <w:t>Knowledge Graphs for COVID-19 : An Exploratory Review of the Current Landscape</w:t>
      </w:r>
      <w:r w:rsidRPr="00C07DC5">
        <w:rPr>
          <w:rFonts w:ascii="Calibri" w:hAnsi="Calibri" w:cs="Calibri"/>
          <w:noProof/>
          <w:szCs w:val="24"/>
        </w:rPr>
        <w:t>.</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Clinical Research Metadata Repository | ECRIN</w:t>
      </w:r>
      <w:r w:rsidRPr="00C07DC5">
        <w:rPr>
          <w:rFonts w:ascii="Calibri" w:hAnsi="Calibri" w:cs="Calibri"/>
          <w:noProof/>
          <w:szCs w:val="24"/>
        </w:rPr>
        <w:t>. (n.d.). Retrieved April 22, 2021, from https://ecrin.org/clinical-research-metadata-repository</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ClinicalTrials.gov Background - ClinicalTrials.gov</w:t>
      </w:r>
      <w:r w:rsidRPr="00C07DC5">
        <w:rPr>
          <w:rFonts w:ascii="Calibri" w:hAnsi="Calibri" w:cs="Calibri"/>
          <w:noProof/>
          <w:szCs w:val="24"/>
        </w:rPr>
        <w:t>. (n.d.). Retrieved April 21, 2021, from https://clinicaltrials.gov/ct2/about-site/background</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COVID-19 HGI Results for Data Freeze 3 (July 2020) | Blog</w:t>
      </w:r>
      <w:r w:rsidRPr="00C07DC5">
        <w:rPr>
          <w:rFonts w:ascii="Calibri" w:hAnsi="Calibri" w:cs="Calibri"/>
          <w:noProof/>
          <w:szCs w:val="24"/>
        </w:rPr>
        <w:t>. (n.d.). Retrieved May 8, 2021, from https://www.covid19hg.org/blog/2020-09-24-freeze-3-results/</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COVID-19 Ontology - Summary | NCBO BioPortal</w:t>
      </w:r>
      <w:r w:rsidRPr="00C07DC5">
        <w:rPr>
          <w:rFonts w:ascii="Calibri" w:hAnsi="Calibri" w:cs="Calibri"/>
          <w:noProof/>
          <w:szCs w:val="24"/>
        </w:rPr>
        <w:t>. (n.d.). Retrieved April 29, 2021, from https://bioportal.bioontology.org/ontologies/COVID-19</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COVID Live Update: Worldometer</w:t>
      </w:r>
      <w:r w:rsidRPr="00C07DC5">
        <w:rPr>
          <w:rFonts w:ascii="Calibri" w:hAnsi="Calibri" w:cs="Calibri"/>
          <w:noProof/>
          <w:szCs w:val="24"/>
        </w:rPr>
        <w:t>. (n.d.). Retrieved April 21, 2021, from https://www.worldometers.info/coronavirus/</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Domingo-Fernández, D., Baksi, S., Schultz, B., Gadiya, Y., Karki, R., Raschka, T., Ebeling, C., Hofmann-Apitius, M., &amp; Kodamullil, A. T. (2020). COVID-19 knowledge graph: A computable, multi-modal, cause-and-effect knowledge model of COVID-19 pathophysiology. </w:t>
      </w:r>
      <w:r w:rsidRPr="00C07DC5">
        <w:rPr>
          <w:rFonts w:ascii="Calibri" w:hAnsi="Calibri" w:cs="Calibri"/>
          <w:i/>
          <w:iCs/>
          <w:noProof/>
          <w:szCs w:val="24"/>
        </w:rPr>
        <w:t>BioRxiv</w:t>
      </w:r>
      <w:r w:rsidRPr="00C07DC5">
        <w:rPr>
          <w:rFonts w:ascii="Calibri" w:hAnsi="Calibri" w:cs="Calibri"/>
          <w:noProof/>
          <w:szCs w:val="24"/>
        </w:rPr>
        <w:t>, 19–21. https://doi.org/10.1101/2020.04.14.040667</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Explainer: Genome-Wide Association Studies | Broad Institute</w:t>
      </w:r>
      <w:r w:rsidRPr="00C07DC5">
        <w:rPr>
          <w:rFonts w:ascii="Calibri" w:hAnsi="Calibri" w:cs="Calibri"/>
          <w:noProof/>
          <w:szCs w:val="24"/>
        </w:rPr>
        <w:t>. (n.d.). Retrieved May 8, 2021, from https://www.broadinstitute.org/visuals/explainer-genome-wide-association-studies</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Fu, L., Wang, B., Yuan, T., Chen, X., &amp; Ao, Y. (2020). Clinical characteristics of coronavirus disease 2019 (COVID-19) in China: A systematic review and meta-analysis. </w:t>
      </w:r>
      <w:r w:rsidRPr="00C07DC5">
        <w:rPr>
          <w:rFonts w:ascii="Calibri" w:hAnsi="Calibri" w:cs="Calibri"/>
          <w:i/>
          <w:iCs/>
          <w:noProof/>
          <w:szCs w:val="24"/>
        </w:rPr>
        <w:t>Journal of Infection</w:t>
      </w:r>
      <w:r w:rsidRPr="00C07DC5">
        <w:rPr>
          <w:rFonts w:ascii="Calibri" w:hAnsi="Calibri" w:cs="Calibri"/>
          <w:noProof/>
          <w:szCs w:val="24"/>
        </w:rPr>
        <w:t xml:space="preserve">, </w:t>
      </w:r>
      <w:r w:rsidRPr="00C07DC5">
        <w:rPr>
          <w:rFonts w:ascii="Calibri" w:hAnsi="Calibri" w:cs="Calibri"/>
          <w:i/>
          <w:iCs/>
          <w:noProof/>
          <w:szCs w:val="24"/>
        </w:rPr>
        <w:t>80</w:t>
      </w:r>
      <w:r w:rsidRPr="00C07DC5">
        <w:rPr>
          <w:rFonts w:ascii="Calibri" w:hAnsi="Calibri" w:cs="Calibri"/>
          <w:noProof/>
          <w:szCs w:val="24"/>
        </w:rPr>
        <w:t>(January), 656–665. https://www.sciencedirect.com/science/article/pii/S0163445320301705%0A</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Introduction to SCAIView</w:t>
      </w:r>
      <w:r w:rsidRPr="00C07DC5">
        <w:rPr>
          <w:rFonts w:ascii="Calibri" w:hAnsi="Calibri" w:cs="Calibri"/>
          <w:noProof/>
          <w:szCs w:val="24"/>
        </w:rPr>
        <w:t>. (n.d.). Retrieved May 7, 2021, from https://www.scaiview.com/en/introduction.html</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Krallinger, M., &amp; Valencia, A. (2005). Text-mining and information-retrieval services for molecular biology. In </w:t>
      </w:r>
      <w:r w:rsidRPr="00C07DC5">
        <w:rPr>
          <w:rFonts w:ascii="Calibri" w:hAnsi="Calibri" w:cs="Calibri"/>
          <w:i/>
          <w:iCs/>
          <w:noProof/>
          <w:szCs w:val="24"/>
        </w:rPr>
        <w:t>Genome Biology</w:t>
      </w:r>
      <w:r w:rsidRPr="00C07DC5">
        <w:rPr>
          <w:rFonts w:ascii="Calibri" w:hAnsi="Calibri" w:cs="Calibri"/>
          <w:noProof/>
          <w:szCs w:val="24"/>
        </w:rPr>
        <w:t xml:space="preserve"> (Vol. 6, Issue 7, pp. 1–8). BioMed Central. https://doi.org/10.1186/gb-2005-6-7-224</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Learn About Clinical Studies - ClinicalTrials.gov</w:t>
      </w:r>
      <w:r w:rsidRPr="00C07DC5">
        <w:rPr>
          <w:rFonts w:ascii="Calibri" w:hAnsi="Calibri" w:cs="Calibri"/>
          <w:noProof/>
          <w:szCs w:val="24"/>
        </w:rPr>
        <w:t>. (n.d.). Retrieved April 21, 2021, from https://www.clinicaltrials.gov/ct2/about-studies/learn</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Madan, S., Szostak, J., Komandur Elayavilli, R., Tsai, R. T. H., Ali, M., Qian, L., Rastegar-Mojarad, M., Hoeng, J., &amp; Fluck, J. (2019). The extraction of complex relationships and their conversion to </w:t>
      </w:r>
      <w:r w:rsidRPr="00C07DC5">
        <w:rPr>
          <w:rFonts w:ascii="Calibri" w:hAnsi="Calibri" w:cs="Calibri"/>
          <w:noProof/>
          <w:szCs w:val="24"/>
        </w:rPr>
        <w:lastRenderedPageBreak/>
        <w:t xml:space="preserve">biological expression language (BEL) overview of the BioCreative VI (2017) BEL track. </w:t>
      </w:r>
      <w:r w:rsidRPr="00C07DC5">
        <w:rPr>
          <w:rFonts w:ascii="Calibri" w:hAnsi="Calibri" w:cs="Calibri"/>
          <w:i/>
          <w:iCs/>
          <w:noProof/>
          <w:szCs w:val="24"/>
        </w:rPr>
        <w:t>Database</w:t>
      </w:r>
      <w:r w:rsidRPr="00C07DC5">
        <w:rPr>
          <w:rFonts w:ascii="Calibri" w:hAnsi="Calibri" w:cs="Calibri"/>
          <w:noProof/>
          <w:szCs w:val="24"/>
        </w:rPr>
        <w:t xml:space="preserve">, </w:t>
      </w:r>
      <w:r w:rsidRPr="00C07DC5">
        <w:rPr>
          <w:rFonts w:ascii="Calibri" w:hAnsi="Calibri" w:cs="Calibri"/>
          <w:i/>
          <w:iCs/>
          <w:noProof/>
          <w:szCs w:val="24"/>
        </w:rPr>
        <w:t>2019</w:t>
      </w:r>
      <w:r w:rsidRPr="00C07DC5">
        <w:rPr>
          <w:rFonts w:ascii="Calibri" w:hAnsi="Calibri" w:cs="Calibri"/>
          <w:noProof/>
          <w:szCs w:val="24"/>
        </w:rPr>
        <w:t>(1). https://doi.org/10.1093/database/baz084</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Mittal, A., Manjunath, K., Kumar, R., Id, R., Kaushikid, S., Kumar, S., &amp; Vermaid, V. (2020). </w:t>
      </w:r>
      <w:r w:rsidRPr="00C07DC5">
        <w:rPr>
          <w:rFonts w:ascii="Calibri" w:hAnsi="Calibri" w:cs="Calibri"/>
          <w:i/>
          <w:iCs/>
          <w:noProof/>
          <w:szCs w:val="24"/>
        </w:rPr>
        <w:t>COVID-19 pandemic: Insights into structure, function, and hACE2 receptor recognition by SARS-CoV-2</w:t>
      </w:r>
      <w:r w:rsidRPr="00C07DC5">
        <w:rPr>
          <w:rFonts w:ascii="Calibri" w:hAnsi="Calibri" w:cs="Calibri"/>
          <w:noProof/>
          <w:szCs w:val="24"/>
        </w:rPr>
        <w:t>. https://doi.org/10.1371/journal.ppat.1008762</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Mousavizadeh, L., &amp; Ghasemi, S. (2020). Genotype and phenotype of COVID-19: Their roles in pathogenesis. In </w:t>
      </w:r>
      <w:r w:rsidRPr="00C07DC5">
        <w:rPr>
          <w:rFonts w:ascii="Calibri" w:hAnsi="Calibri" w:cs="Calibri"/>
          <w:i/>
          <w:iCs/>
          <w:noProof/>
          <w:szCs w:val="24"/>
        </w:rPr>
        <w:t>Journal of Microbiology, Immunology and Infection</w:t>
      </w:r>
      <w:r w:rsidRPr="00C07DC5">
        <w:rPr>
          <w:rFonts w:ascii="Calibri" w:hAnsi="Calibri" w:cs="Calibri"/>
          <w:noProof/>
          <w:szCs w:val="24"/>
        </w:rPr>
        <w:t>. Elsevier Ltd. https://doi.org/10.1016/j.jmii.2020.03.022</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Qin, C., Zhou, L., Hu, Z., Zhang, S., Yang, S., Tao, Y., Xie, C., Ma, K., Shang, K., Wang, W., &amp; Tian, D. S. (2020). Dysregulation of immune response in patients with coronavirus 2019 (COVID-19) in Wuhan, China. </w:t>
      </w:r>
      <w:r w:rsidRPr="00C07DC5">
        <w:rPr>
          <w:rFonts w:ascii="Calibri" w:hAnsi="Calibri" w:cs="Calibri"/>
          <w:i/>
          <w:iCs/>
          <w:noProof/>
          <w:szCs w:val="24"/>
        </w:rPr>
        <w:t>Clinical Infectious Diseases</w:t>
      </w:r>
      <w:r w:rsidRPr="00C07DC5">
        <w:rPr>
          <w:rFonts w:ascii="Calibri" w:hAnsi="Calibri" w:cs="Calibri"/>
          <w:noProof/>
          <w:szCs w:val="24"/>
        </w:rPr>
        <w:t xml:space="preserve">, </w:t>
      </w:r>
      <w:r w:rsidRPr="00C07DC5">
        <w:rPr>
          <w:rFonts w:ascii="Calibri" w:hAnsi="Calibri" w:cs="Calibri"/>
          <w:i/>
          <w:iCs/>
          <w:noProof/>
          <w:szCs w:val="24"/>
        </w:rPr>
        <w:t>71</w:t>
      </w:r>
      <w:r w:rsidRPr="00C07DC5">
        <w:rPr>
          <w:rFonts w:ascii="Calibri" w:hAnsi="Calibri" w:cs="Calibri"/>
          <w:noProof/>
          <w:szCs w:val="24"/>
        </w:rPr>
        <w:t>(15), 762–768. https://doi.org/10.1093/cid/ciaa248</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Relations :: Documentation for BEL Language</w:t>
      </w:r>
      <w:r w:rsidRPr="00C07DC5">
        <w:rPr>
          <w:rFonts w:ascii="Calibri" w:hAnsi="Calibri" w:cs="Calibri"/>
          <w:noProof/>
          <w:szCs w:val="24"/>
        </w:rPr>
        <w:t>. (n.d.). Retrieved April 28, 2021, from https://language.bel.bio/language/reference/2.1.0/relations/</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Sargsyan, A., Kodamullil, A. T., Baksi, S., Darms, J., Madan, S., Gebel, S., Keminer, O., Jose, G. M., Balabin, H., DeLong, L. N., Kohler, M., Jacobs, M., &amp; Hofmann-Apitius, M. (2021). The COVID-19 Ontology. </w:t>
      </w:r>
      <w:r w:rsidRPr="00C07DC5">
        <w:rPr>
          <w:rFonts w:ascii="Calibri" w:hAnsi="Calibri" w:cs="Calibri"/>
          <w:i/>
          <w:iCs/>
          <w:noProof/>
          <w:szCs w:val="24"/>
        </w:rPr>
        <w:t>Bioinformatics</w:t>
      </w:r>
      <w:r w:rsidRPr="00C07DC5">
        <w:rPr>
          <w:rFonts w:ascii="Calibri" w:hAnsi="Calibri" w:cs="Calibri"/>
          <w:noProof/>
          <w:szCs w:val="24"/>
        </w:rPr>
        <w:t xml:space="preserve">, </w:t>
      </w:r>
      <w:r w:rsidRPr="00C07DC5">
        <w:rPr>
          <w:rFonts w:ascii="Calibri" w:hAnsi="Calibri" w:cs="Calibri"/>
          <w:i/>
          <w:iCs/>
          <w:noProof/>
          <w:szCs w:val="24"/>
        </w:rPr>
        <w:t>36</w:t>
      </w:r>
      <w:r w:rsidRPr="00C07DC5">
        <w:rPr>
          <w:rFonts w:ascii="Calibri" w:hAnsi="Calibri" w:cs="Calibri"/>
          <w:noProof/>
          <w:szCs w:val="24"/>
        </w:rPr>
        <w:t>(24), 5703–5705. https://doi.org/10.1093/bioinformatics/btaa1057</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noProof/>
          <w:szCs w:val="24"/>
        </w:rPr>
        <w:t xml:space="preserve">Thorlund, K., Dron, L., Park, J., Hsu, G., Forrest, J. I., &amp; Mills, E. J. (2020). A real-time dashboard of clinical trials for COVID-19. </w:t>
      </w:r>
      <w:r w:rsidRPr="00C07DC5">
        <w:rPr>
          <w:rFonts w:ascii="Calibri" w:hAnsi="Calibri" w:cs="Calibri"/>
          <w:i/>
          <w:iCs/>
          <w:noProof/>
          <w:szCs w:val="24"/>
        </w:rPr>
        <w:t>The Lancet Digital Health</w:t>
      </w:r>
      <w:r w:rsidRPr="00C07DC5">
        <w:rPr>
          <w:rFonts w:ascii="Calibri" w:hAnsi="Calibri" w:cs="Calibri"/>
          <w:noProof/>
          <w:szCs w:val="24"/>
        </w:rPr>
        <w:t xml:space="preserve">, </w:t>
      </w:r>
      <w:r w:rsidRPr="00C07DC5">
        <w:rPr>
          <w:rFonts w:ascii="Calibri" w:hAnsi="Calibri" w:cs="Calibri"/>
          <w:i/>
          <w:iCs/>
          <w:noProof/>
          <w:szCs w:val="24"/>
        </w:rPr>
        <w:t>2</w:t>
      </w:r>
      <w:r w:rsidRPr="00C07DC5">
        <w:rPr>
          <w:rFonts w:ascii="Calibri" w:hAnsi="Calibri" w:cs="Calibri"/>
          <w:noProof/>
          <w:szCs w:val="24"/>
        </w:rPr>
        <w:t>(6), e286–e287. https://doi.org/10.1016/S2589-7500(20)30086-8</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What Are Clinical Trials and Studies? | National Institute on Aging</w:t>
      </w:r>
      <w:r w:rsidRPr="00C07DC5">
        <w:rPr>
          <w:rFonts w:ascii="Calibri" w:hAnsi="Calibri" w:cs="Calibri"/>
          <w:noProof/>
          <w:szCs w:val="24"/>
        </w:rPr>
        <w:t>. (n.d.). Retrieved April 21, 2021, from https://www.nia.nih.gov/health/what-are-clinical-trials-and-studies</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szCs w:val="24"/>
        </w:rPr>
      </w:pPr>
      <w:r w:rsidRPr="00C07DC5">
        <w:rPr>
          <w:rFonts w:ascii="Calibri" w:hAnsi="Calibri" w:cs="Calibri"/>
          <w:i/>
          <w:iCs/>
          <w:noProof/>
          <w:szCs w:val="24"/>
        </w:rPr>
        <w:t>What is a Knowledge Graph?</w:t>
      </w:r>
      <w:r w:rsidRPr="00C07DC5">
        <w:rPr>
          <w:rFonts w:ascii="Calibri" w:hAnsi="Calibri" w:cs="Calibri"/>
          <w:noProof/>
          <w:szCs w:val="24"/>
        </w:rPr>
        <w:t xml:space="preserve"> (n.d.). Retrieved May 8, 2021, from https://web.stanford.edu/class/cs520/2020/notes/What_is_a_Knowledge_Graph.html</w:t>
      </w:r>
    </w:p>
    <w:p w:rsidR="00C07DC5" w:rsidRPr="00C07DC5" w:rsidRDefault="00C07DC5" w:rsidP="00C07DC5">
      <w:pPr>
        <w:widowControl w:val="0"/>
        <w:autoSpaceDE w:val="0"/>
        <w:autoSpaceDN w:val="0"/>
        <w:adjustRightInd w:val="0"/>
        <w:spacing w:line="240" w:lineRule="auto"/>
        <w:ind w:left="480" w:hanging="480"/>
        <w:rPr>
          <w:rFonts w:ascii="Calibri" w:hAnsi="Calibri" w:cs="Calibri"/>
          <w:noProof/>
        </w:rPr>
      </w:pPr>
      <w:r w:rsidRPr="00C07DC5">
        <w:rPr>
          <w:rFonts w:ascii="Calibri" w:hAnsi="Calibri" w:cs="Calibri"/>
          <w:noProof/>
          <w:szCs w:val="24"/>
        </w:rPr>
        <w:t xml:space="preserve">Zhao, J., Cui, W., &amp; Tian, B. (2020). The Potential Intermediate Hosts for SARS-CoV-2. </w:t>
      </w:r>
      <w:r w:rsidRPr="00C07DC5">
        <w:rPr>
          <w:rFonts w:ascii="Calibri" w:hAnsi="Calibri" w:cs="Calibri"/>
          <w:i/>
          <w:iCs/>
          <w:noProof/>
          <w:szCs w:val="24"/>
        </w:rPr>
        <w:t>Frontiers in Microbiology</w:t>
      </w:r>
      <w:r w:rsidRPr="00C07DC5">
        <w:rPr>
          <w:rFonts w:ascii="Calibri" w:hAnsi="Calibri" w:cs="Calibri"/>
          <w:noProof/>
          <w:szCs w:val="24"/>
        </w:rPr>
        <w:t xml:space="preserve">, </w:t>
      </w:r>
      <w:r w:rsidRPr="00C07DC5">
        <w:rPr>
          <w:rFonts w:ascii="Calibri" w:hAnsi="Calibri" w:cs="Calibri"/>
          <w:i/>
          <w:iCs/>
          <w:noProof/>
          <w:szCs w:val="24"/>
        </w:rPr>
        <w:t>11</w:t>
      </w:r>
      <w:r w:rsidRPr="00C07DC5">
        <w:rPr>
          <w:rFonts w:ascii="Calibri" w:hAnsi="Calibri" w:cs="Calibri"/>
          <w:noProof/>
          <w:szCs w:val="24"/>
        </w:rPr>
        <w:t>, 2400. https://doi.org/10.3389/fmicb.2020.580137</w:t>
      </w:r>
    </w:p>
    <w:p w:rsidR="00EF2301" w:rsidRPr="003809FA" w:rsidRDefault="00CE05CF"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2A5" w:rsidRDefault="001942A5" w:rsidP="0004594B">
      <w:pPr>
        <w:spacing w:after="0" w:line="240" w:lineRule="auto"/>
      </w:pPr>
      <w:r>
        <w:separator/>
      </w:r>
    </w:p>
  </w:endnote>
  <w:endnote w:type="continuationSeparator" w:id="0">
    <w:p w:rsidR="001942A5" w:rsidRDefault="001942A5"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2A5" w:rsidRDefault="001942A5" w:rsidP="0004594B">
      <w:pPr>
        <w:spacing w:after="0" w:line="240" w:lineRule="auto"/>
      </w:pPr>
      <w:r>
        <w:separator/>
      </w:r>
    </w:p>
  </w:footnote>
  <w:footnote w:type="continuationSeparator" w:id="0">
    <w:p w:rsidR="001942A5" w:rsidRDefault="001942A5"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941"/>
    <w:multiLevelType w:val="hybridMultilevel"/>
    <w:tmpl w:val="412A4F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10592"/>
    <w:multiLevelType w:val="hybridMultilevel"/>
    <w:tmpl w:val="F020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82C17"/>
    <w:multiLevelType w:val="hybridMultilevel"/>
    <w:tmpl w:val="9A16CB3A"/>
    <w:lvl w:ilvl="0" w:tplc="B296B89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16F019F6"/>
    <w:multiLevelType w:val="hybridMultilevel"/>
    <w:tmpl w:val="A7B0A4C4"/>
    <w:lvl w:ilvl="0" w:tplc="2B246A5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5F6A3049"/>
    <w:multiLevelType w:val="hybridMultilevel"/>
    <w:tmpl w:val="A7B0A4C4"/>
    <w:lvl w:ilvl="0" w:tplc="2B246A5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9"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3"/>
  </w:num>
  <w:num w:numId="5">
    <w:abstractNumId w:val="7"/>
  </w:num>
  <w:num w:numId="6">
    <w:abstractNumId w:val="11"/>
  </w:num>
  <w:num w:numId="7">
    <w:abstractNumId w:val="4"/>
  </w:num>
  <w:num w:numId="8">
    <w:abstractNumId w:val="1"/>
  </w:num>
  <w:num w:numId="9">
    <w:abstractNumId w:val="0"/>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8E2"/>
    <w:rsid w:val="0004594B"/>
    <w:rsid w:val="0005686E"/>
    <w:rsid w:val="00065BA6"/>
    <w:rsid w:val="00077465"/>
    <w:rsid w:val="000806BC"/>
    <w:rsid w:val="00095D0C"/>
    <w:rsid w:val="000B48BB"/>
    <w:rsid w:val="000C09D0"/>
    <w:rsid w:val="000C7A33"/>
    <w:rsid w:val="000D3301"/>
    <w:rsid w:val="000E0B1F"/>
    <w:rsid w:val="000E33AF"/>
    <w:rsid w:val="000F2576"/>
    <w:rsid w:val="00113578"/>
    <w:rsid w:val="0012671E"/>
    <w:rsid w:val="00132E09"/>
    <w:rsid w:val="00155AB2"/>
    <w:rsid w:val="00166413"/>
    <w:rsid w:val="001821CD"/>
    <w:rsid w:val="001942A5"/>
    <w:rsid w:val="001B48C2"/>
    <w:rsid w:val="001C48F9"/>
    <w:rsid w:val="001D24B5"/>
    <w:rsid w:val="00202D99"/>
    <w:rsid w:val="00212169"/>
    <w:rsid w:val="00234F8D"/>
    <w:rsid w:val="00250392"/>
    <w:rsid w:val="002C7B26"/>
    <w:rsid w:val="002D59C3"/>
    <w:rsid w:val="002E55CB"/>
    <w:rsid w:val="00334ADD"/>
    <w:rsid w:val="003367B9"/>
    <w:rsid w:val="003529E5"/>
    <w:rsid w:val="003809FA"/>
    <w:rsid w:val="003820D1"/>
    <w:rsid w:val="0038753F"/>
    <w:rsid w:val="003A7725"/>
    <w:rsid w:val="003C613A"/>
    <w:rsid w:val="003E2B86"/>
    <w:rsid w:val="00407D51"/>
    <w:rsid w:val="00412EBC"/>
    <w:rsid w:val="00435F3D"/>
    <w:rsid w:val="00454C0D"/>
    <w:rsid w:val="00456660"/>
    <w:rsid w:val="00461D39"/>
    <w:rsid w:val="00462C69"/>
    <w:rsid w:val="00463F8F"/>
    <w:rsid w:val="00480CA0"/>
    <w:rsid w:val="00485E52"/>
    <w:rsid w:val="004F3945"/>
    <w:rsid w:val="004F6854"/>
    <w:rsid w:val="00501ECF"/>
    <w:rsid w:val="00505380"/>
    <w:rsid w:val="00522B71"/>
    <w:rsid w:val="0053433B"/>
    <w:rsid w:val="00545AAD"/>
    <w:rsid w:val="00567C38"/>
    <w:rsid w:val="0058102D"/>
    <w:rsid w:val="00582A8B"/>
    <w:rsid w:val="00592F3F"/>
    <w:rsid w:val="005B40F8"/>
    <w:rsid w:val="005B5209"/>
    <w:rsid w:val="00601C3E"/>
    <w:rsid w:val="00605BCD"/>
    <w:rsid w:val="00692ADE"/>
    <w:rsid w:val="006B14EE"/>
    <w:rsid w:val="006B164E"/>
    <w:rsid w:val="006C4E76"/>
    <w:rsid w:val="00711EA3"/>
    <w:rsid w:val="00712D9F"/>
    <w:rsid w:val="0071626F"/>
    <w:rsid w:val="00721CF0"/>
    <w:rsid w:val="00740B28"/>
    <w:rsid w:val="007609F7"/>
    <w:rsid w:val="00764272"/>
    <w:rsid w:val="00771096"/>
    <w:rsid w:val="007763ED"/>
    <w:rsid w:val="007767CB"/>
    <w:rsid w:val="00781255"/>
    <w:rsid w:val="007A6B04"/>
    <w:rsid w:val="007F0557"/>
    <w:rsid w:val="00822F2B"/>
    <w:rsid w:val="00852EDE"/>
    <w:rsid w:val="00875EB2"/>
    <w:rsid w:val="00882F96"/>
    <w:rsid w:val="00893F17"/>
    <w:rsid w:val="008D27EC"/>
    <w:rsid w:val="008E6BDD"/>
    <w:rsid w:val="00914A88"/>
    <w:rsid w:val="00930472"/>
    <w:rsid w:val="0096173F"/>
    <w:rsid w:val="009757ED"/>
    <w:rsid w:val="009B1D74"/>
    <w:rsid w:val="009C794D"/>
    <w:rsid w:val="009D31FE"/>
    <w:rsid w:val="00A27686"/>
    <w:rsid w:val="00A31AD7"/>
    <w:rsid w:val="00A54601"/>
    <w:rsid w:val="00A60302"/>
    <w:rsid w:val="00A66366"/>
    <w:rsid w:val="00AA0EAB"/>
    <w:rsid w:val="00AE793B"/>
    <w:rsid w:val="00B05C3A"/>
    <w:rsid w:val="00B11634"/>
    <w:rsid w:val="00B32E26"/>
    <w:rsid w:val="00B5195C"/>
    <w:rsid w:val="00B529CE"/>
    <w:rsid w:val="00B65B51"/>
    <w:rsid w:val="00B66F59"/>
    <w:rsid w:val="00B832D1"/>
    <w:rsid w:val="00BA6E3F"/>
    <w:rsid w:val="00BE21D2"/>
    <w:rsid w:val="00BE6BCB"/>
    <w:rsid w:val="00BF1A45"/>
    <w:rsid w:val="00C07DC5"/>
    <w:rsid w:val="00C2171A"/>
    <w:rsid w:val="00C50A05"/>
    <w:rsid w:val="00C741F4"/>
    <w:rsid w:val="00C773E4"/>
    <w:rsid w:val="00C92A5F"/>
    <w:rsid w:val="00CA56CC"/>
    <w:rsid w:val="00CB2C15"/>
    <w:rsid w:val="00CC37E4"/>
    <w:rsid w:val="00CD0B2E"/>
    <w:rsid w:val="00CE05CF"/>
    <w:rsid w:val="00CF0587"/>
    <w:rsid w:val="00CF5485"/>
    <w:rsid w:val="00CF6365"/>
    <w:rsid w:val="00D11DEA"/>
    <w:rsid w:val="00D26030"/>
    <w:rsid w:val="00D32FF2"/>
    <w:rsid w:val="00D41B22"/>
    <w:rsid w:val="00D56227"/>
    <w:rsid w:val="00D6363A"/>
    <w:rsid w:val="00D67FA0"/>
    <w:rsid w:val="00D9312E"/>
    <w:rsid w:val="00DA18A7"/>
    <w:rsid w:val="00DD5015"/>
    <w:rsid w:val="00DE2B93"/>
    <w:rsid w:val="00DE74ED"/>
    <w:rsid w:val="00E07187"/>
    <w:rsid w:val="00E16BA5"/>
    <w:rsid w:val="00E17113"/>
    <w:rsid w:val="00E2423F"/>
    <w:rsid w:val="00E24ACE"/>
    <w:rsid w:val="00E2510A"/>
    <w:rsid w:val="00E374EC"/>
    <w:rsid w:val="00E6007C"/>
    <w:rsid w:val="00E83F4E"/>
    <w:rsid w:val="00E9060D"/>
    <w:rsid w:val="00E92AFD"/>
    <w:rsid w:val="00EA2508"/>
    <w:rsid w:val="00EC1273"/>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E63D6"/>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inicaltrialsregister.eu/ctr-search/search" TargetMode="External"/><Relationship Id="rId18" Type="http://schemas.openxmlformats.org/officeDocument/2006/relationships/hyperlink" Target="https://coperimo.scaiview.co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pps.who.int/trialsearch/" TargetMode="External"/><Relationship Id="rId17" Type="http://schemas.openxmlformats.org/officeDocument/2006/relationships/hyperlink" Target="https://bioportal.bioontology.org/ontologies/COVID-1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pp.covid19h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nicaltrials.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vid-trials.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utbreak.info/location-reports?loc=IND" TargetMode="External"/><Relationship Id="rId14" Type="http://schemas.openxmlformats.org/officeDocument/2006/relationships/hyperlink" Target="https://ecrin.org/tools/clinical-research-metadata-repository" TargetMode="External"/><Relationship Id="rId22" Type="http://schemas.openxmlformats.org/officeDocument/2006/relationships/hyperlink" Target="https://bikmi.covid19-knowledgespac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1837B-EF0B-4B9E-BA77-EBBF3EA8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11301</Words>
  <Characters>64416</Characters>
  <Application>Microsoft Office Word</Application>
  <DocSecurity>0</DocSecurity>
  <Lines>536</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32</cp:revision>
  <dcterms:created xsi:type="dcterms:W3CDTF">2021-04-21T08:39:00Z</dcterms:created>
  <dcterms:modified xsi:type="dcterms:W3CDTF">2021-07-15T08:20:00Z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