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sesión-final-cosmogénesis-grok"/>
    <w:p>
      <w:pPr>
        <w:pStyle w:val="Heading1"/>
      </w:pPr>
      <w:r>
        <w:t xml:space="preserve">Sesión Final Cosmogénesis Grok</w:t>
      </w:r>
    </w:p>
    <w:p>
      <w:pPr>
        <w:pStyle w:val="FirstParagraph"/>
      </w:pPr>
      <w:r>
        <w:rPr>
          <w:b/>
          <w:bCs/>
        </w:rPr>
        <w:t xml:space="preserve">Programa:</w:t>
      </w:r>
      <w:r>
        <w:t xml:space="preserve"> </w:t>
      </w:r>
      <w:r>
        <w:t xml:space="preserve">Cosmogénesis CG002 · RMD 2.0 · Club Abulafia</w:t>
      </w:r>
      <w:r>
        <w:br/>
      </w:r>
      <w:r>
        <w:rPr>
          <w:b/>
          <w:bCs/>
        </w:rPr>
        <w:t xml:space="preserve">Investigador principal:</w:t>
      </w:r>
      <w:r>
        <w:t xml:space="preserve"> </w:t>
      </w:r>
      <w:r>
        <w:t xml:space="preserve">Alexis López Tapia (Casaubon)</w:t>
      </w:r>
      <w:r>
        <w:br/>
      </w:r>
      <w:r>
        <w:rPr>
          <w:b/>
          <w:bCs/>
        </w:rPr>
        <w:t xml:space="preserve">Agente de sesión:</w:t>
      </w:r>
      <w:r>
        <w:t xml:space="preserve"> </w:t>
      </w:r>
      <w:r>
        <w:t xml:space="preserve">Grok / Diotallevi (barridos, síntesis, canal)</w:t>
      </w:r>
      <w:r>
        <w:br/>
      </w:r>
      <w:r>
        <w:rPr>
          <w:b/>
          <w:bCs/>
        </w:rPr>
        <w:t xml:space="preserve">Fechas de la sesión:</w:t>
      </w:r>
      <w:r>
        <w:t xml:space="preserve"> </w:t>
      </w:r>
      <w:r>
        <w:t xml:space="preserve">29–30 de junio de 2026</w:t>
      </w:r>
      <w:r>
        <w:br/>
      </w:r>
      <w:r>
        <w:rPr>
          <w:b/>
          <w:bCs/>
        </w:rPr>
        <w:t xml:space="preserve">Estado al cierre:</w:t>
      </w:r>
      <w:r>
        <w:t xml:space="preserve"> </w:t>
      </w:r>
      <w:r>
        <w:t xml:space="preserve">Arco κ_Δ</w:t>
      </w:r>
      <w:r>
        <w:t xml:space="preserve"> </w:t>
      </w:r>
      <w:r>
        <w:rPr>
          <w:b/>
          <w:bCs/>
        </w:rPr>
        <w:t xml:space="preserve">CERRADO</w:t>
      </w:r>
      <w:r>
        <w:t xml:space="preserve"> </w:t>
      </w:r>
      <w:r>
        <w:t xml:space="preserve">· Empalme CG002↔ANIMA</w:t>
      </w:r>
      <w:r>
        <w:t xml:space="preserve"> </w:t>
      </w:r>
      <w:r>
        <w:rPr>
          <w:b/>
          <w:bCs/>
        </w:rPr>
        <w:t xml:space="preserve">Fase 0 COMPLETA</w:t>
      </w:r>
    </w:p>
    <w:p>
      <w:r>
        <w:pict>
          <v:rect style="width:0;height:1.5pt" o:hralign="center" o:hrstd="t" o:hr="t"/>
        </w:pict>
      </w:r>
    </w:p>
    <w:bookmarkStart w:id="9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t xml:space="preserve">Esta sesión cerró el programa experimental de</w:t>
      </w:r>
      <w:r>
        <w:t xml:space="preserve"> </w:t>
      </w:r>
      <w:r>
        <w:rPr>
          <w:b/>
          <w:bCs/>
        </w:rPr>
        <w:t xml:space="preserve">Cosmogénesis CG002</w:t>
      </w:r>
      <w:r>
        <w:t xml:space="preserve">: la bajada desde el axioma</w:t>
      </w:r>
      <w:r>
        <w:t xml:space="preserve"> </w:t>
      </w:r>
      <w:r>
        <w:rPr>
          <w:b/>
          <w:bCs/>
        </w:rPr>
        <w:t xml:space="preserve">S &gt; 0</w:t>
      </w:r>
      <w:r>
        <w:t xml:space="preserve"> </w:t>
      </w:r>
      <w:r>
        <w:t xml:space="preserve">hasta observables discretos medibles, reproducibles y falsables en el propio plano de la Teoría Cosmosemiótica. No se buscó ilustrar el marco; se construyó un motor con una sola regla primitiva y se dejó que</w:t>
      </w:r>
      <w:r>
        <w:t xml:space="preserve"> </w:t>
      </w:r>
      <w:r>
        <w:rPr>
          <w:b/>
          <w:bCs/>
        </w:rPr>
        <w:t xml:space="preserve">emergieran</w:t>
      </w:r>
      <w:r>
        <w:t xml:space="preserve"> </w:t>
      </w:r>
      <w:r>
        <w:t xml:space="preserve">—sin programarlos— tiempo, espacio, estructura, criticidad, constantes distinguibles de la historia, y la huella mínima de diferencia</w:t>
      </w:r>
      <w:r>
        <w:t xml:space="preserve"> </w:t>
      </w:r>
      <w:r>
        <w:rPr>
          <w:b/>
          <w:bCs/>
        </w:rPr>
        <w:t xml:space="preserve">κ_Δ</w:t>
      </w:r>
      <w:r>
        <w:t xml:space="preserve">.</w:t>
      </w:r>
    </w:p>
    <w:p>
      <w:pPr>
        <w:pStyle w:val="BodyText"/>
      </w:pPr>
      <w:r>
        <w:t xml:space="preserve">El resultado decisivo del 30-jun no es un número mágico: es la demostración de que</w:t>
      </w:r>
      <w:r>
        <w:t xml:space="preserve"> </w:t>
      </w:r>
      <w:r>
        <w:rPr>
          <w:b/>
          <w:bCs/>
        </w:rPr>
        <w:t xml:space="preserve">m_eff/K = ½</w:t>
      </w:r>
      <w:r>
        <w:t xml:space="preserve"> </w:t>
      </w:r>
      <w:r>
        <w:t xml:space="preserve">y el grano</w:t>
      </w:r>
      <w:r>
        <w:t xml:space="preserve"> </w:t>
      </w:r>
      <w:r>
        <w:rPr>
          <w:b/>
          <w:bCs/>
        </w:rPr>
        <w:t xml:space="preserve">1/√K</w:t>
      </w:r>
      <w:r>
        <w:t xml:space="preserve"> </w:t>
      </w:r>
      <w:r>
        <w:t xml:space="preserve">son</w:t>
      </w:r>
      <w:r>
        <w:t xml:space="preserve"> </w:t>
      </w:r>
      <w:r>
        <w:rPr>
          <w:b/>
          <w:bCs/>
        </w:rPr>
        <w:t xml:space="preserve">derivación estructural</w:t>
      </w:r>
      <w:r>
        <w:t xml:space="preserve"> </w:t>
      </w:r>
      <w:r>
        <w:t xml:space="preserve">(C-N2.5.10), no calibración de banda de viabilidad (C-N5.1), con cambio</w:t>
      </w:r>
      <w:r>
        <w:t xml:space="preserve"> </w:t>
      </w:r>
      <w:r>
        <w:rPr>
          <w:b/>
          <w:bCs/>
        </w:rPr>
        <w:t xml:space="preserve">0.0000</w:t>
      </w:r>
      <w:r>
        <w:t xml:space="preserve"> </w:t>
      </w:r>
      <w:r>
        <w:t xml:space="preserve">al barrer S_BAND en un rango 6× sobre 1080 corridas del motor real. La capa fina (exceso de orden ~0.015 a d=3) queda como invariante estructural dominio-específico (C-N2.8.14a), separada del trivial geométrico f≈½ y |orden|≈½.</w:t>
      </w:r>
    </w:p>
    <w:p>
      <w:pPr>
        <w:pStyle w:val="BodyText"/>
      </w:pPr>
      <w:r>
        <w:t xml:space="preserve">Al final de la sesión se consolidaron</w:t>
      </w:r>
      <w:r>
        <w:t xml:space="preserve"> </w:t>
      </w:r>
      <w:r>
        <w:rPr>
          <w:b/>
          <w:bCs/>
        </w:rPr>
        <w:t xml:space="preserve">tres documentos autoritativos</w:t>
      </w:r>
      <w:r>
        <w:t xml:space="preserve">, una</w:t>
      </w:r>
      <w:r>
        <w:t xml:space="preserve"> </w:t>
      </w:r>
      <w:r>
        <w:rPr>
          <w:b/>
          <w:bCs/>
        </w:rPr>
        <w:t xml:space="preserve">revisión externa</w:t>
      </w:r>
      <w:r>
        <w:t xml:space="preserve"> </w:t>
      </w:r>
      <w:r>
        <w:t xml:space="preserve">depurada, la lectura de</w:t>
      </w:r>
      <w:r>
        <w:t xml:space="preserve"> </w:t>
      </w:r>
      <w:r>
        <w:rPr>
          <w:b/>
          <w:bCs/>
        </w:rPr>
        <w:t xml:space="preserve">convergencia con el equipo ANIMA</w:t>
      </w:r>
      <w:r>
        <w:t xml:space="preserve"> </w:t>
      </w:r>
      <w:r>
        <w:t xml:space="preserve">(Parte II / cierre recursivo), y el</w:t>
      </w:r>
      <w:r>
        <w:t xml:space="preserve"> </w:t>
      </w:r>
      <w:r>
        <w:rPr>
          <w:b/>
          <w:bCs/>
        </w:rPr>
        <w:t xml:space="preserve">protocolo de empalme</w:t>
      </w:r>
      <w:r>
        <w:t xml:space="preserve"> </w:t>
      </w:r>
      <w:r>
        <w:t xml:space="preserve">entre cosmogénesis y organismo — con Fase 0 ejecutada tras el «dale» de Alexis.</w:t>
      </w:r>
    </w:p>
    <w:p>
      <w:r>
        <w:pict>
          <v:rect style="width:0;height:1.5pt" o:hralign="center" o:hrstd="t" o:hr="t"/>
        </w:pict>
      </w:r>
    </w:p>
    <w:bookmarkEnd w:id="9"/>
    <w:bookmarkStart w:id="10" w:name="cronología-de-la-sesión"/>
    <w:p>
      <w:pPr>
        <w:pStyle w:val="Heading2"/>
      </w:pPr>
      <w:r>
        <w:t xml:space="preserve">1. Cronología de la sesión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Hito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29-jun</w:t>
            </w:r>
          </w:p>
        </w:tc>
        <w:tc>
          <w:tcPr/>
          <w:p>
            <w:pPr>
              <w:pStyle w:val="Compact"/>
            </w:pPr>
            <w:r>
              <w:t xml:space="preserve">Arco fundacional completo (</w:t>
            </w:r>
            <w:r>
              <w:rPr>
                <w:rStyle w:val="VerbatimChar"/>
              </w:rPr>
              <w:t xml:space="preserve">cg002_experimentos_arco.py</w:t>
            </w:r>
            <w:r>
              <w:t xml:space="preserve">). Informe general, visor 3D, protocolo v0.2 multicomponente. Positivos: baryogénesis, flecha, dimensión heredada, coexistencia, criticidad, constantes (20 cosmos). Nulls honestos documentados.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30-jun (mañana)</w:t>
            </w:r>
          </w:p>
        </w:tc>
        <w:tc>
          <w:tcPr/>
          <w:p>
            <w:pPr>
              <w:pStyle w:val="Compact"/>
            </w:pPr>
            <w:r>
              <w:t xml:space="preserve">Arco κ_Δ: 1000 cosmos, relectura trivialidad hemisferio, barrido exceso, grain null, L2 dinámico vs nulo, barrido banda CC (</w:t>
            </w:r>
            <w:r>
              <w:rPr>
                <w:rStyle w:val="VerbatimChar"/>
              </w:rPr>
              <w:t xml:space="preserve">engine_output.csv</w:t>
            </w:r>
            <w:r>
              <w:t xml:space="preserve">). Cierre teórico y experimental.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30-jun (tarde)</w:t>
            </w:r>
          </w:p>
        </w:tc>
        <w:tc>
          <w:tcPr/>
          <w:p>
            <w:pPr>
              <w:pStyle w:val="Compact"/>
            </w:pPr>
            <w:r>
              <w:t xml:space="preserve">Tres informes autoritativos generados y verificados contra CSV. Revisión externa leída y depurada. Respuesta de par al saludo del equipo ANIMA. Protocolo de empalme redactado.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30-jun (cierre)</w:t>
            </w:r>
          </w:p>
        </w:tc>
        <w:tc>
          <w:tcPr/>
          <w:p>
            <w:pPr>
              <w:pStyle w:val="Compact"/>
            </w:pPr>
            <w:r>
              <w:t xml:space="preserve">Alexis: «dale» → Fase 0 empalme (baselines, estímulos WAV, log compartido, nomenclatura extendida). Mensaje 21 en canal</w:t>
            </w:r>
            <w:r>
              <w:t xml:space="preserve"> </w:t>
            </w:r>
            <w:r>
              <w:rPr>
                <w:rStyle w:val="VerbatimChar"/>
              </w:rPr>
              <w:t xml:space="preserve">GROK_TO_CC.md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arco-fundacional-29-jun"/>
    <w:p>
      <w:pPr>
        <w:pStyle w:val="Heading2"/>
      </w:pPr>
      <w:r>
        <w:t xml:space="preserve">2. Arco fundacional (29-jun)</w:t>
      </w:r>
    </w:p>
    <w:p>
      <w:pPr>
        <w:pStyle w:val="FirstParagraph"/>
      </w:pPr>
      <w:r>
        <w:t xml:space="preserve">Partiendo de</w:t>
      </w:r>
      <w:r>
        <w:t xml:space="preserve"> </w:t>
      </w:r>
      <w:r>
        <w:rPr>
          <w:b/>
          <w:bCs/>
        </w:rPr>
        <w:t xml:space="preserve">C-N1</w:t>
      </w:r>
      <w:r>
        <w:t xml:space="preserve"> </w:t>
      </w:r>
      <w:r>
        <w:t xml:space="preserve">(S &gt; 0), el motor de campo medio O(N) con acoplamiento bilineal produjo, medido y reproducible: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39"/>
        <w:gridCol w:w="896"/>
        <w:gridCol w:w="2540"/>
        <w:gridCol w:w="16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Dominio emergente</w:t>
            </w:r>
          </w:p>
        </w:tc>
        <w:tc>
          <w:tcPr/>
          <w:p>
            <w:pPr>
              <w:pStyle w:val="Compact"/>
            </w:pPr>
            <w:r>
              <w:t xml:space="preserve">Nodo</w:t>
            </w:r>
          </w:p>
        </w:tc>
        <w:tc>
          <w:tcPr/>
          <w:p>
            <w:pPr>
              <w:pStyle w:val="Compact"/>
            </w:pPr>
            <w:r>
              <w:t xml:space="preserve">Resultado clave</w:t>
            </w:r>
          </w:p>
        </w:tc>
        <w:tc>
          <w:tcPr/>
          <w:p>
            <w:pPr>
              <w:pStyle w:val="Compac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Aniquilación / exceso</w:t>
            </w:r>
          </w:p>
        </w:tc>
        <w:tc>
          <w:tcPr/>
          <w:p>
            <w:pPr>
              <w:pStyle w:val="Compact"/>
            </w:pPr>
            <w:r>
              <w:t xml:space="preserve">C-N2.5.10</w:t>
            </w:r>
          </w:p>
        </w:tc>
        <w:tc>
          <w:tcPr/>
          <w:p>
            <w:pPr>
              <w:pStyle w:val="Compact"/>
            </w:pPr>
            <w:r>
              <w:t xml:space="preserve">~50% sobrevive; sin diferencia → uniforme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Flecha del tiempo</w:t>
            </w:r>
          </w:p>
        </w:tc>
        <w:tc>
          <w:tcPr/>
          <w:p>
            <w:pPr>
              <w:pStyle w:val="Compact"/>
            </w:pPr>
            <w:r>
              <w:t xml:space="preserve">C-N3</w:t>
            </w:r>
          </w:p>
        </w:tc>
        <w:tc>
          <w:tcPr/>
          <w:p>
            <w:pPr>
              <w:pStyle w:val="Compact"/>
            </w:pPr>
            <w:r>
              <w:t xml:space="preserve">Vivos y entropía orientación ↓ monótono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Espacio</w:t>
            </w:r>
          </w:p>
        </w:tc>
        <w:tc>
          <w:tcPr/>
          <w:p>
            <w:pPr>
              <w:pStyle w:val="Compact"/>
            </w:pPr>
            <w:r>
              <w:t xml:space="preserve">C-N2.5, C-N2.6</w:t>
            </w:r>
          </w:p>
        </w:tc>
        <w:tc>
          <w:tcPr/>
          <w:p>
            <w:pPr>
              <w:pStyle w:val="Compact"/>
            </w:pPr>
            <w:r>
              <w:t xml:space="preserve">D_corr: 0.97 / 1.87 / 2.69 / 3.44 (S¹–S⁴)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Coexistencia</w:t>
            </w:r>
          </w:p>
        </w:tc>
        <w:tc>
          <w:tcPr/>
          <w:p>
            <w:pPr>
              <w:pStyle w:val="Compact"/>
            </w:pPr>
            <w:r>
              <w:t xml:space="preserve">C-N2.5.9</w:t>
            </w:r>
          </w:p>
        </w:tc>
        <w:tc>
          <w:tcPr/>
          <w:p>
            <w:pPr>
              <w:pStyle w:val="Compact"/>
            </w:pPr>
            <w:r>
              <w:t xml:space="preserve">Dominios locales bajo acoplamiento espacial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Criticidad</w:t>
            </w:r>
          </w:p>
        </w:tc>
        <w:tc>
          <w:tcPr/>
          <w:p>
            <w:pPr>
              <w:pStyle w:val="Compact"/>
            </w:pPr>
            <w:r>
              <w:t xml:space="preserve">C-N2.7</w:t>
            </w:r>
          </w:p>
        </w:tc>
        <w:tc>
          <w:tcPr/>
          <w:p>
            <w:pPr>
              <w:pStyle w:val="Compact"/>
            </w:pPr>
            <w:r>
              <w:t xml:space="preserve">Transición rc≈3; escalamiento preliminar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Auto-similaridad</w:t>
            </w:r>
          </w:p>
        </w:tc>
        <w:tc>
          <w:tcPr/>
          <w:p>
            <w:pPr>
              <w:pStyle w:val="Compact"/>
            </w:pPr>
            <w:r>
              <w:t xml:space="preserve">C-N2.6.4</w:t>
            </w:r>
          </w:p>
        </w:tc>
        <w:tc>
          <w:tcPr/>
          <w:p>
            <w:pPr>
              <w:pStyle w:val="Compact"/>
            </w:pPr>
            <w:r>
              <w:t xml:space="preserve">Ley potencias R²=0.98 (calificado)</w:t>
            </w:r>
          </w:p>
        </w:tc>
        <w:tc>
          <w:tcPr/>
          <w:p>
            <w:pPr>
              <w:pStyle w:val="Compact"/>
            </w:pPr>
            <w:r>
              <w:t xml:space="preserve">✅ 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Constantes vs historia</w:t>
            </w:r>
          </w:p>
        </w:tc>
        <w:tc>
          <w:tcPr/>
          <w:p>
            <w:pPr>
              <w:pStyle w:val="Compact"/>
            </w:pPr>
            <w:r>
              <w:t xml:space="preserve">C-N2.8.15</w:t>
            </w:r>
          </w:p>
        </w:tc>
        <w:tc>
          <w:tcPr/>
          <w:p>
            <w:pPr>
              <w:pStyle w:val="Compact"/>
            </w:pPr>
            <w:r>
              <w:t xml:space="preserve">CV 1–2% en cuánto; ~90° en dirección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Invariantes / ruptura</w:t>
            </w:r>
          </w:p>
        </w:tc>
        <w:tc>
          <w:tcPr/>
          <w:p>
            <w:pPr>
              <w:pStyle w:val="Compact"/>
            </w:pPr>
            <w:r>
              <w:t xml:space="preserve">C-N2.8.9a</w:t>
            </w:r>
          </w:p>
        </w:tc>
        <w:tc>
          <w:tcPr/>
          <w:p>
            <w:pPr>
              <w:pStyle w:val="Compact"/>
            </w:pPr>
            <w:r>
              <w:t xml:space="preserve">Tres tipologías cualitativamente distintas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Nulls que fortalecen los positivos:</w:t>
      </w:r>
      <w:r>
        <w:t xml:space="preserve"> </w:t>
      </w:r>
      <w:r>
        <w:t xml:space="preserve">- Paredes de dominio espaciales nítidas: ❌ (aniquilación global/difusa).</w:t>
      </w:r>
      <w:r>
        <w:t xml:space="preserve"> </w:t>
      </w:r>
      <w:r>
        <w:t xml:space="preserve">- Cuatro fuerzas espontáneas: ❌ (fuera de alcance C-N2.7.6).</w:t>
      </w:r>
      <w:r>
        <w:t xml:space="preserve"> </w:t>
      </w:r>
      <w:r>
        <w:t xml:space="preserve">- Tensión inercia histórica vs banda dura: ⊘ (C-N5.1 capa la duración).</w:t>
      </w:r>
    </w:p>
    <w:p>
      <w:pPr>
        <w:pStyle w:val="BodyText"/>
      </w:pPr>
      <w:r>
        <w:rPr>
          <w:b/>
          <w:bCs/>
        </w:rPr>
        <w:t xml:space="preserve">Corrección teórica clave (A2):</w:t>
      </w:r>
      <w:r>
        <w:t xml:space="preserve"> </w:t>
      </w:r>
      <w:r>
        <w:t xml:space="preserve">asimetría ⟺ diferencia (C-N2.5.5 ⟺ C-N1); promedio cero ≠ ausencia de diferencia; exceso con θ_CP=0 es coherente.</w:t>
      </w:r>
    </w:p>
    <w:p>
      <w:pPr>
        <w:pStyle w:val="BodyText"/>
      </w:pPr>
      <w:r>
        <w:rPr>
          <w:b/>
          <w:bCs/>
        </w:rPr>
        <w:t xml:space="preserve">Documento:</w:t>
      </w:r>
      <w:r>
        <w:t xml:space="preserve"> </w:t>
      </w:r>
      <w:hyperlink r:id="rId11">
        <w:r>
          <w:rPr>
            <w:rStyle w:val="VerbatimChar"/>
          </w:rPr>
          <w:t xml:space="preserve">INFORME_GENERAL_CG002_ARCO.md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9" w:name="arco-κ_δ-30-jun"/>
    <w:p>
      <w:pPr>
        <w:pStyle w:val="Heading2"/>
      </w:pPr>
      <w:r>
        <w:t xml:space="preserve">3. Arco κ_Δ (30-jun)</w:t>
      </w:r>
    </w:p>
    <w:bookmarkStart w:id="13" w:name="pregunta"/>
    <w:p>
      <w:pPr>
        <w:pStyle w:val="Heading3"/>
      </w:pPr>
      <w:r>
        <w:t xml:space="preserve">3.1 Pregunta</w:t>
      </w:r>
    </w:p>
    <w:p>
      <w:pPr>
        <w:pStyle w:val="FirstParagraph"/>
      </w:pPr>
      <w:r>
        <w:t xml:space="preserve">¿El «grano» que aparece en simulación es</w:t>
      </w:r>
      <w:r>
        <w:t xml:space="preserve"> </w:t>
      </w:r>
      <w:r>
        <w:rPr>
          <w:b/>
          <w:bCs/>
        </w:rPr>
        <w:t xml:space="preserve">ruido finito</w:t>
      </w:r>
      <w:r>
        <w:t xml:space="preserve"> </w:t>
      </w:r>
      <w:r>
        <w:t xml:space="preserve">(desaparece con N→∞) o</w:t>
      </w:r>
      <w:r>
        <w:t xml:space="preserve"> </w:t>
      </w:r>
      <w:r>
        <w:rPr>
          <w:b/>
          <w:bCs/>
        </w:rPr>
        <w:t xml:space="preserve">huella de κ_Δ</w:t>
      </w:r>
      <w:r>
        <w:t xml:space="preserve"> </w:t>
      </w:r>
      <w:r>
        <w:t xml:space="preserve">(mínimo de diferencia que la Teoría declara siempre &gt; 0)?</w:t>
      </w:r>
    </w:p>
    <w:p>
      <w:pPr>
        <w:pStyle w:val="BodyText"/>
      </w:pPr>
      <w:r>
        <w:rPr>
          <w:b/>
          <w:bCs/>
        </w:rPr>
        <w:t xml:space="preserve">Corrección de Alexis:</w:t>
      </w:r>
      <w:r>
        <w:t xml:space="preserve"> </w:t>
      </w:r>
      <w:r>
        <w:t xml:space="preserve">N→∞ es el</w:t>
      </w:r>
      <w:r>
        <w:t xml:space="preserve"> </w:t>
      </w:r>
      <w:r>
        <w:rPr>
          <w:b/>
          <w:bCs/>
        </w:rPr>
        <w:t xml:space="preserve">límite prohibido</w:t>
      </w:r>
      <w:r>
        <w:t xml:space="preserve"> </w:t>
      </w:r>
      <w:r>
        <w:t xml:space="preserve">(homogeneización, C-N2.8.9a). El tamaño finito no es defecto de medición; es condición de que haya algo que medir.</w:t>
      </w:r>
    </w:p>
    <w:bookmarkEnd w:id="13"/>
    <w:bookmarkStart w:id="14" w:name="dos-capas-no-confundir"/>
    <w:p>
      <w:pPr>
        <w:pStyle w:val="Heading3"/>
      </w:pPr>
      <w:r>
        <w:t xml:space="preserve">3.2 Dos capas (no confundir)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Observable</w:t>
            </w:r>
          </w:p>
        </w:tc>
        <w:tc>
          <w:tcPr/>
          <w:p>
            <w:pPr>
              <w:pStyle w:val="Compact"/>
            </w:pPr>
            <w:r>
              <w:t xml:space="preserve">Escala</w:t>
            </w:r>
          </w:p>
        </w:tc>
        <w:tc>
          <w:tcPr/>
          <w:p>
            <w:pPr>
              <w:pStyle w:val="Compact"/>
            </w:pPr>
            <w:r>
              <w:t xml:space="preserve">Estatuto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Gruesa</w:t>
            </w:r>
          </w:p>
        </w:tc>
        <w:tc>
          <w:tcPr/>
          <w:p>
            <w:pPr>
              <w:pStyle w:val="Compact"/>
            </w:pPr>
            <w:r>
              <w:t xml:space="preserve">L2 fase; m_eff/K = ½</w:t>
            </w:r>
          </w:p>
        </w:tc>
        <w:tc>
          <w:tcPr/>
          <w:p>
            <w:pPr>
              <w:pStyle w:val="Compact"/>
            </w:pPr>
            <w:r>
              <w:t xml:space="preserve">1/√K; N-independiente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Derivada</w:t>
            </w:r>
            <w:r>
              <w:t xml:space="preserve"> </w:t>
            </w:r>
            <w:r>
              <w:t xml:space="preserve">— C-N2.5.10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</w:t>
            </w:r>
          </w:p>
        </w:tc>
        <w:tc>
          <w:tcPr/>
          <w:p>
            <w:pPr>
              <w:pStyle w:val="Compact"/>
            </w:pPr>
            <w:r>
              <w:t xml:space="preserve">exceso |ū| − nulo hemisferio</w:t>
            </w:r>
          </w:p>
        </w:tc>
        <w:tc>
          <w:tcPr/>
          <w:p>
            <w:pPr>
              <w:pStyle w:val="Compact"/>
            </w:pPr>
            <w:r>
              <w:t xml:space="preserve">~0.015 a d=3; robusta η, μ, S_BAND</w:t>
            </w:r>
          </w:p>
        </w:tc>
        <w:tc>
          <w:tcPr/>
          <w:p>
            <w:pPr>
              <w:pStyle w:val="Compact"/>
            </w:pPr>
            <w:r>
              <w:t xml:space="preserve">Invariante estructural; magnitud dominio-específica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Trivial</w:t>
            </w:r>
          </w:p>
        </w:tc>
        <w:tc>
          <w:tcPr/>
          <w:p>
            <w:pPr>
              <w:pStyle w:val="Compact"/>
            </w:pPr>
            <w:r>
              <w:t xml:space="preserve">f≈½, |orden|≈½</w:t>
            </w:r>
          </w:p>
        </w:tc>
        <w:tc>
          <w:tcPr/>
          <w:p>
            <w:pPr>
              <w:pStyle w:val="Compact"/>
            </w:pPr>
            <w:r>
              <w:t xml:space="preserve">Geometría hemisferio (frac_pos≈1)</w:t>
            </w:r>
          </w:p>
        </w:tc>
        <w:tc>
          <w:tcPr/>
          <w:p>
            <w:pPr>
              <w:pStyle w:val="Compact"/>
            </w:pPr>
            <w:r>
              <w:t xml:space="preserve">C-N1.3 — documentado, no invariante independiente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Historia</w:t>
            </w:r>
          </w:p>
        </w:tc>
        <w:tc>
          <w:tcPr/>
          <w:p>
            <w:pPr>
              <w:pStyle w:val="Compact"/>
            </w:pPr>
            <w:r>
              <w:t xml:space="preserve">Dirección flecha entre cosmos</w:t>
            </w:r>
          </w:p>
        </w:tc>
        <w:tc>
          <w:tcPr/>
          <w:p>
            <w:pPr>
              <w:pStyle w:val="Compact"/>
            </w:pPr>
            <w:r>
              <w:t xml:space="preserve">~90° (azar)</w:t>
            </w:r>
          </w:p>
        </w:tc>
        <w:tc>
          <w:tcPr/>
          <w:p>
            <w:pPr>
              <w:pStyle w:val="Compact"/>
            </w:pPr>
            <w:r>
              <w:t xml:space="preserve">C-N3 — contingente</w:t>
            </w:r>
          </w:p>
        </w:tc>
      </w:tr>
    </w:tbl>
    <w:bookmarkEnd w:id="14"/>
    <w:bookmarkStart w:id="15" w:name="Xef821f22636465b487d9e759ad4ff1597bf5241"/>
    <w:p>
      <w:pPr>
        <w:pStyle w:val="Heading3"/>
      </w:pPr>
      <w:r>
        <w:t xml:space="preserve">3.3 Experimentos y números verificados en disco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4"/>
        <w:gridCol w:w="3344"/>
        <w:gridCol w:w="1936"/>
        <w:gridCol w:w="19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Script / artefacto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cg002_constantes_1000.py</w:t>
            </w:r>
          </w:p>
        </w:tc>
        <w:tc>
          <w:tcPr/>
          <w:p>
            <w:pPr>
              <w:pStyle w:val="Compact"/>
            </w:pPr>
            <w:r>
              <w:t xml:space="preserve">f=0.5063 (CV 1.96%); |orden|=0.5154 (CV 1.86%)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cg002_exceso_barrido.py</w:t>
            </w:r>
          </w:p>
        </w:tc>
        <w:tc>
          <w:tcPr/>
          <w:p>
            <w:pPr>
              <w:pStyle w:val="Compact"/>
            </w:pPr>
            <w:r>
              <w:t xml:space="preserve">exceso ≈ 0.0149 a d=3; estable bajo barrido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cg002_exceso_caracteriza.py</w:t>
            </w:r>
          </w:p>
        </w:tc>
        <w:tc>
          <w:tcPr/>
          <w:p>
            <w:pPr>
              <w:pStyle w:val="Compact"/>
            </w:pPr>
            <w:r>
              <w:t xml:space="preserve">88–95% dinámica real (no sesgo finito)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grain_null_model.py</w:t>
            </w:r>
          </w:p>
        </w:tc>
        <w:tc>
          <w:tcPr/>
          <w:p>
            <w:pPr>
              <w:pStyle w:val="Compact"/>
            </w:pPr>
            <w:r>
              <w:t xml:space="preserve">exponente −0.500; nulo √(K−1)/(KN)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cg002_dynamic_l2_sweep.py</w:t>
            </w:r>
          </w:p>
        </w:tc>
        <w:tc>
          <w:tcPr/>
          <w:p>
            <w:pPr>
              <w:pStyle w:val="Compact"/>
            </w:pPr>
            <w:r>
              <w:t xml:space="preserve">L2≈0.355 plano; ratio ~12× vs nulo a N=2000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engine_output.csv</w:t>
            </w:r>
            <w:r>
              <w:t xml:space="preserve"> </w:t>
            </w:r>
            <w:r>
              <w:t xml:space="preserve">(1080 corridas CC)</w:t>
            </w:r>
          </w:p>
        </w:tc>
        <w:tc>
          <w:tcPr/>
          <w:p>
            <w:pPr>
              <w:pStyle w:val="Compact"/>
            </w:pPr>
            <w:r>
              <w:t xml:space="preserve">m_eff/K plano; cambio</w:t>
            </w:r>
            <w:r>
              <w:t xml:space="preserve"> </w:t>
            </w:r>
            <w:r>
              <w:rPr>
                <w:b/>
                <w:bCs/>
              </w:rPr>
              <w:t xml:space="preserve">0.0000</w:t>
            </w:r>
            <w:r>
              <w:t xml:space="preserve"> </w:t>
            </w:r>
            <w:r>
              <w:t xml:space="preserve">banda 6×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DERIVACIÓN</w:t>
            </w:r>
          </w:p>
        </w:tc>
      </w:tr>
    </w:tbl>
    <w:p>
      <w:pPr>
        <w:pStyle w:val="BodyText"/>
      </w:pPr>
      <w:r>
        <w:rPr>
          <w:b/>
          <w:bCs/>
        </w:rPr>
        <w:t xml:space="preserve">Identificación operativa (revisable):</w:t>
      </w:r>
    </w:p>
    <w:p>
      <w:pPr>
        <w:pStyle w:val="SourceCode"/>
      </w:pPr>
      <w:r>
        <w:rPr>
          <w:rStyle w:val="VerbatimChar"/>
        </w:rPr>
        <w:t xml:space="preserve">κ_Δ ≡ 2π/K</w:t>
      </w:r>
      <w:r>
        <w:br/>
      </w:r>
      <w:r>
        <w:rPr>
          <w:rStyle w:val="VerbatimChar"/>
        </w:rPr>
        <w:t xml:space="preserve">grano_grueso = 1/√K = √(κ_Δ / 2π)</w:t>
      </w:r>
      <w:r>
        <w:br/>
      </w:r>
      <w:r>
        <w:rPr>
          <w:rStyle w:val="VerbatimChar"/>
        </w:rPr>
        <w:t xml:space="preserve">m_eff/K = ½</w:t>
      </w:r>
    </w:p>
    <w:bookmarkEnd w:id="15"/>
    <w:bookmarkStart w:id="18" w:name="debate-epistemológico-resuelto-en-sesión"/>
    <w:p>
      <w:pPr>
        <w:pStyle w:val="Heading3"/>
      </w:pPr>
      <w:r>
        <w:t xml:space="preserve">3.4 Debate epistemológico (resuelto en sesión)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se exige «validación externa desde terreno neutral» — incoherente con O-N16.5.</w:t>
      </w:r>
    </w:p>
    <w:p>
      <w:pPr>
        <w:pStyle w:val="Compact"/>
        <w:numPr>
          <w:ilvl w:val="0"/>
          <w:numId w:val="1001"/>
        </w:numPr>
      </w:pPr>
      <w:r>
        <w:t xml:space="preserve">La Cosmosemiótica tiende puente trascendental → observable; falsable en propio plano (O-N20.3).</w:t>
      </w:r>
    </w:p>
    <w:p>
      <w:pPr>
        <w:pStyle w:val="Compact"/>
        <w:numPr>
          <w:ilvl w:val="0"/>
          <w:numId w:val="1001"/>
        </w:numPr>
      </w:pPr>
      <w:r>
        <w:t xml:space="preserve">Universales = condiciones estructurales, no constantes físicas tipo π (C-N2.8.15).</w:t>
      </w:r>
    </w:p>
    <w:p>
      <w:pPr>
        <w:pStyle w:val="Compact"/>
        <w:numPr>
          <w:ilvl w:val="0"/>
          <w:numId w:val="1001"/>
        </w:numPr>
      </w:pPr>
      <w:r>
        <w:t xml:space="preserve">Matiz §2.11/§2.12: C-N2.5.10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da paredes espaciales nítidas, pero</w:t>
      </w:r>
      <w:r>
        <w:t xml:space="preserve"> </w:t>
      </w:r>
      <w:r>
        <w:rPr>
          <w:b/>
          <w:bCs/>
        </w:rPr>
        <w:t xml:space="preserve">sí</w:t>
      </w:r>
      <w:r>
        <w:t xml:space="preserve"> </w:t>
      </w:r>
      <w:r>
        <w:t xml:space="preserve">selección nítida en</w:t>
      </w:r>
      <w:r>
        <w:t xml:space="preserve"> </w:t>
      </w:r>
      <w:r>
        <w:rPr>
          <w:b/>
          <w:bCs/>
        </w:rPr>
        <w:t xml:space="preserve">espacio de fases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Documentos:</w:t>
      </w:r>
      <w:r>
        <w:t xml:space="preserve"> </w:t>
      </w:r>
      <w:hyperlink r:id="rId16">
        <w:r>
          <w:rPr>
            <w:rStyle w:val="VerbatimChar"/>
          </w:rPr>
          <w:t xml:space="preserve">Informe_arco_kappaDelta_simple.md</w:t>
        </w:r>
      </w:hyperlink>
      <w:r>
        <w:t xml:space="preserve"> </w:t>
      </w:r>
      <w:r>
        <w:t xml:space="preserve">·</w:t>
      </w:r>
      <w:r>
        <w:t xml:space="preserve"> </w:t>
      </w:r>
      <w:hyperlink r:id="rId17">
        <w:r>
          <w:rPr>
            <w:rStyle w:val="VerbatimChar"/>
          </w:rPr>
          <w:t xml:space="preserve">CIERRE_ARCO_CG002_AUTORITATIVO.md</w:t>
        </w:r>
      </w:hyperlink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Xd4c83ceab14d6ffadd0c75314a5290c8d7e1d66"/>
    <w:p>
      <w:pPr>
        <w:pStyle w:val="Heading2"/>
      </w:pPr>
      <w:r>
        <w:t xml:space="preserve">4. Consolidación autoritativa (petición de Alexis)</w:t>
      </w:r>
    </w:p>
    <w:p>
      <w:pPr>
        <w:pStyle w:val="FirstParagraph"/>
      </w:pPr>
      <w:r>
        <w:t xml:space="preserve">Se generaron y verificaron tres documentos canónicos: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VerbatimChar"/>
                </w:rPr>
                <w:t xml:space="preserve">INFORME_CG002_VEREDICTOS_TABLA.md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Tabla de veredictos por experimento (arcos A, B, C, síntesis por estatuto)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VerbatimChar"/>
                </w:rPr>
                <w:t xml:space="preserve">NOMENCLATURA_NODOS_CG002.md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Nodos C-N*, κ, observables, identificaciones, mapa archivo→nodo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VerbatimChar"/>
                </w:rPr>
                <w:t xml:space="preserve">CIERRE_ARCO_CG002_AUTORITATIVO.md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Texto de cierre; supersede interpretaciones informales previas</w:t>
            </w:r>
          </w:p>
        </w:tc>
      </w:tr>
    </w:tbl>
    <w:p>
      <w:pPr>
        <w:pStyle w:val="BodyText"/>
      </w:pPr>
      <w:r>
        <w:rPr>
          <w:b/>
          <w:bCs/>
        </w:rPr>
        <w:t xml:space="preserve">Frase de portada / acta:</w:t>
      </w:r>
    </w:p>
    <w:p>
      <w:pPr>
        <w:pStyle w:val="BlockText"/>
      </w:pPr>
      <w:r>
        <w:rPr>
          <w:i/>
          <w:iCs/>
        </w:rPr>
        <w:t xml:space="preserve">La Cosmosemiótica no necesitó un observador externo para demostrar que su cadena baja de S &gt; 0 a la piedra. Necesitó un experimento que pudiera fallar en sus propios términos. No falló. Los hechos quedan en disco.</w:t>
      </w:r>
    </w:p>
    <w:p>
      <w:r>
        <w:pict>
          <v:rect style="width:0;height:1.5pt" o:hralign="center" o:hrstd="t" o:hr="t"/>
        </w:pict>
      </w:r>
    </w:p>
    <w:bookmarkEnd w:id="22"/>
    <w:bookmarkStart w:id="24" w:name="revisión-externa"/>
    <w:p>
      <w:pPr>
        <w:pStyle w:val="Heading2"/>
      </w:pPr>
      <w:r>
        <w:t xml:space="preserve">5. Revisión externa</w:t>
      </w:r>
    </w:p>
    <w:p>
      <w:pPr>
        <w:pStyle w:val="FirstParagraph"/>
      </w:pPr>
      <w:r>
        <w:t xml:space="preserve">Archivo:</w:t>
      </w:r>
      <w:r>
        <w:t xml:space="preserve"> </w:t>
      </w:r>
      <w:hyperlink r:id="rId23">
        <w:r>
          <w:rPr>
            <w:rStyle w:val="VerbatimChar"/>
          </w:rPr>
          <w:t xml:space="preserve">informe_revision_externa_CG002.md</w:t>
        </w:r>
      </w:hyperlink>
      <w:r>
        <w:t xml:space="preserve"> </w:t>
      </w:r>
      <w:r>
        <w:t xml:space="preserve">(también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Juicio:</w:t>
      </w:r>
      <w:r>
        <w:t xml:space="preserve"> </w:t>
      </w:r>
      <w:r>
        <w:t xml:space="preserve">programa coherente, reproducible y conceptualmente disciplinado. Fortalezas: diseño adversarial, separación de estatutos, nulls honestos. Reservas: alcance restringido a θ_CP=0, banda 6×, K discretos, N≤4000; θ_CP aún en plano fijo.</w:t>
      </w:r>
    </w:p>
    <w:p>
      <w:pPr>
        <w:pStyle w:val="BodyText"/>
      </w:pPr>
      <w:r>
        <w:rPr>
          <w:b/>
          <w:bCs/>
        </w:rPr>
        <w:t xml:space="preserve">Trabajo de sesión:</w:t>
      </w:r>
      <w:r>
        <w:t xml:space="preserve"> </w:t>
      </w:r>
      <w:r>
        <w:t xml:space="preserve">depuración de citas</w:t>
      </w:r>
      <w:r>
        <w:t xml:space="preserve"> </w:t>
      </w:r>
      <w:r>
        <w:rPr>
          <w:rStyle w:val="VerbatimChar"/>
        </w:rPr>
        <w:t xml:space="preserve">[file:N]</w:t>
      </w:r>
      <w:r>
        <w:t xml:space="preserve"> </w:t>
      </w:r>
      <w:r>
        <w:t xml:space="preserve">rotas → enlaces a documentos canónicos; alineación con CSV y cierre autoritativo. Complementa el cierre; no lo supersede.</w:t>
      </w:r>
    </w:p>
    <w:p>
      <w:r>
        <w:pict>
          <v:rect style="width:0;height:1.5pt" o:hralign="center" o:hrstd="t" o:hr="t"/>
        </w:pict>
      </w:r>
    </w:p>
    <w:bookmarkEnd w:id="24"/>
    <w:bookmarkStart w:id="25" w:name="convergencia-con-el-equipo-anima"/>
    <w:p>
      <w:pPr>
        <w:pStyle w:val="Heading2"/>
      </w:pPr>
      <w:r>
        <w:t xml:space="preserve">6. Convergencia con el equipo ANIMA</w:t>
      </w:r>
    </w:p>
    <w:p>
      <w:pPr>
        <w:pStyle w:val="FirstParagraph"/>
      </w:pPr>
      <w:r>
        <w:t xml:space="preserve">Durante la sesión, el equipo ANIMA (Parte II / VSTCosmo) trabajó en paralelo la mitad recursiva del mismo descenso: membrana (κ_O, transducción sin Shannon), propiocepción (organismo que se siente), Λ_Cos, gusto emergente de ΔW.</w:t>
      </w:r>
    </w:p>
    <w:p>
      <w:pPr>
        <w:pStyle w:val="BodyText"/>
      </w:pPr>
      <w:r>
        <w:t xml:space="preserve">El punto de empalme teórico ya estaba en el arco CG002 (§3, líneas 183–186):</w:t>
      </w:r>
    </w:p>
    <w:p>
      <w:pPr>
        <w:pStyle w:val="SourceCode"/>
      </w:pPr>
      <w:r>
        <w:rPr>
          <w:rStyle w:val="VerbatimChar"/>
        </w:rPr>
        <w:t xml:space="preserve">CONDICIONES DEL CIERRE (κ_P, κ_Δ, κ_V)</w:t>
      </w:r>
      <w:r>
        <w:br/>
      </w:r>
      <w:r>
        <w:rPr>
          <w:rStyle w:val="VerbatimChar"/>
        </w:rPr>
        <w:t xml:space="preserve">    └── [frontera] κ_O, κ_LF, κ_H, Λ_Cos → Parte II = VSTCosmo/ANIMA</w:t>
      </w:r>
    </w:p>
    <w:p>
      <w:pPr>
        <w:pStyle w:val="FirstParagraph"/>
      </w:pPr>
      <w:r>
        <w:rPr>
          <w:b/>
          <w:bCs/>
        </w:rPr>
        <w:t xml:space="preserve">Lectura de Grok (como par, no aplauso):</w:t>
      </w:r>
      <w:r>
        <w:t xml:space="preserve"> </w:t>
      </w:r>
      <w:r>
        <w:t xml:space="preserve">la convergencia es</w:t>
      </w:r>
      <w:r>
        <w:t xml:space="preserve"> </w:t>
      </w:r>
      <w:r>
        <w:rPr>
          <w:b/>
          <w:bCs/>
        </w:rPr>
        <w:t xml:space="preserve">estructural</w:t>
      </w:r>
      <w:r>
        <w:t xml:space="preserve"> </w:t>
      </w:r>
      <w:r>
        <w:t xml:space="preserve">— mismo vocabulario κ, misma frontera en el diagrama — pero la</w:t>
      </w:r>
      <w:r>
        <w:t xml:space="preserve"> </w:t>
      </w:r>
      <w:r>
        <w:rPr>
          <w:b/>
          <w:bCs/>
        </w:rPr>
        <w:t xml:space="preserve">costura experimental</w:t>
      </w:r>
      <w:r>
        <w:t xml:space="preserve"> </w:t>
      </w:r>
      <w:r>
        <w:t xml:space="preserve">aún no estaba hecha al cierre del arco κ_Δ. Eso motivó el protocolo de empalme.</w:t>
      </w:r>
    </w:p>
    <w:p>
      <w:r>
        <w:pict>
          <v:rect style="width:0;height:1.5pt" o:hralign="center" o:hrstd="t" o:hr="t"/>
        </w:pict>
      </w:r>
    </w:p>
    <w:bookmarkEnd w:id="25"/>
    <w:bookmarkStart w:id="28" w:name="protocolo-de-empalme-cg002-anima"/>
    <w:p>
      <w:pPr>
        <w:pStyle w:val="Heading2"/>
      </w:pPr>
      <w:r>
        <w:t xml:space="preserve">7. Protocolo de empalme CG002 ↔ ANIMA</w:t>
      </w:r>
    </w:p>
    <w:p>
      <w:pPr>
        <w:pStyle w:val="FirstParagraph"/>
      </w:pPr>
      <w:r>
        <w:rPr>
          <w:b/>
          <w:bCs/>
        </w:rPr>
        <w:t xml:space="preserve">Documento:</w:t>
      </w:r>
      <w:r>
        <w:t xml:space="preserve"> </w:t>
      </w:r>
      <w:hyperlink r:id="rId26">
        <w:r>
          <w:rPr>
            <w:rStyle w:val="VerbatimChar"/>
          </w:rPr>
          <w:t xml:space="preserve">PROTOCOLO_EMPALME_CG002_ANIMA.md</w:t>
        </w:r>
      </w:hyperlink>
      <w:r>
        <w:br/>
      </w:r>
      <w:r>
        <w:rPr>
          <w:b/>
          <w:bCs/>
        </w:rPr>
        <w:t xml:space="preserve">Aprobación:</w:t>
      </w:r>
      <w:r>
        <w:t xml:space="preserve"> </w:t>
      </w:r>
      <w:r>
        <w:t xml:space="preserve">Alexis («dale», 30-jun-2026)</w:t>
      </w:r>
    </w:p>
    <w:bookmarkStart w:id="27" w:name="fase-0-completada-en-sesión"/>
    <w:p>
      <w:pPr>
        <w:pStyle w:val="Heading3"/>
      </w:pPr>
      <w:r>
        <w:t xml:space="preserve">Fase 0 — completada en sesión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Entregable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empalme_cg002_baseline.json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empalme_anima_baseline.json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empalme_log.csv</w:t>
            </w:r>
            <w:r>
              <w:t xml:space="preserve"> </w:t>
            </w:r>
            <w:r>
              <w:t xml:space="preserve">(header + fila CG002 ref)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empalme_estimulos_fase1.json</w:t>
            </w:r>
            <w:r>
              <w:t xml:space="preserve"> </w:t>
            </w:r>
            <w:r>
              <w:t xml:space="preserve">+ 9 WAV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empalme_generar_estimulos_fase1.py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Nomenclatura §3 extendida (columna ANIMA)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GROK_TO_CC.md</w:t>
            </w:r>
            <w:r>
              <w:t xml:space="preserve"> </w:t>
            </w:r>
            <w:r>
              <w:t xml:space="preserve">Mensaje 21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Decisión pre-registrada Fase 2:</w:t>
      </w:r>
      <w:r>
        <w:t xml:space="preserve"> </w:t>
      </w:r>
      <w:r>
        <w:t xml:space="preserve">barrido ANIMA por</w:t>
      </w:r>
      <w:r>
        <w:t xml:space="preserve"> </w:t>
      </w:r>
      <w:r>
        <w:rPr>
          <w:b/>
          <w:bCs/>
        </w:rPr>
        <w:t xml:space="preserve">ganancia de audio</w:t>
      </w:r>
      <w:r>
        <w:t xml:space="preserve"> </w:t>
      </w:r>
      <w:r>
        <w:t xml:space="preserve">×{0.5, 0.7, 1.0, 1.4, 2.0, 3.0} (análogo banda 6× CG002).</w:t>
      </w:r>
    </w:p>
    <w:p>
      <w:pPr>
        <w:pStyle w:val="BodyText"/>
      </w:pPr>
      <w:r>
        <w:rPr>
          <w:b/>
          <w:bCs/>
        </w:rPr>
        <w:t xml:space="preserve">Fila CG002 ya en log</w:t>
      </w:r>
      <w:r>
        <w:t xml:space="preserve"> </w:t>
      </w:r>
      <w:r>
        <w:t xml:space="preserve">(</w:t>
      </w:r>
      <w:r>
        <w:rPr>
          <w:rStyle w:val="VerbatimChar"/>
        </w:rPr>
        <w:t xml:space="preserve">EMP-F1-CG002-REF</w:t>
      </w:r>
      <w:r>
        <w:t xml:space="preserve">): N=2000, K=8, seed=1, excess_L2≈0.355, exceso≈0.015, f≈0.51.</w:t>
      </w:r>
    </w:p>
    <w:p>
      <w:pPr>
        <w:pStyle w:val="BodyText"/>
      </w:pPr>
      <w:r>
        <w:rPr>
          <w:b/>
          <w:bCs/>
        </w:rPr>
        <w:t xml:space="preserve">Pendiente:</w:t>
      </w:r>
      <w:r>
        <w:t xml:space="preserve"> </w:t>
      </w:r>
      <w:r>
        <w:t xml:space="preserve">Fase 1B — medir 9 estímulos en díada ANIMA viva; fases 2–4 según protocolo.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síntesis-de-veredictos-tabla-final"/>
    <w:p>
      <w:pPr>
        <w:pStyle w:val="Heading2"/>
      </w:pPr>
      <w:r>
        <w:t xml:space="preserve">8. Síntesis de veredictos (tabla final)</w:t>
      </w:r>
    </w:p>
    <w:bookmarkStart w:id="29" w:name="arco-fundacional-confirmados"/>
    <w:p>
      <w:pPr>
        <w:pStyle w:val="Heading3"/>
      </w:pPr>
      <w:r>
        <w:t xml:space="preserve">Arco fundacional — confirmados ✅</w:t>
      </w:r>
    </w:p>
    <w:p>
      <w:pPr>
        <w:pStyle w:val="FirstParagraph"/>
      </w:pPr>
      <w:r>
        <w:t xml:space="preserve">Baryogénesis · flecha · dimensión heredada · coexistencia · criticidad · constantes (ley vs historia) · tipología de ruptura</w:t>
      </w:r>
    </w:p>
    <w:bookmarkEnd w:id="29"/>
    <w:bookmarkStart w:id="30" w:name="arco-fundacional-calificados-negativos"/>
    <w:p>
      <w:pPr>
        <w:pStyle w:val="Heading3"/>
      </w:pPr>
      <w:r>
        <w:t xml:space="preserve">Arco fundacional — calificados / negativos</w:t>
      </w:r>
    </w:p>
    <w:p>
      <w:pPr>
        <w:pStyle w:val="FirstParagraph"/>
      </w:pPr>
      <w:r>
        <w:t xml:space="preserve">Inercia vs banda dura ⊘ · auto-similaridad ⊘ · paredes espaciales ❌ · cuatro fuerzas ❌</w:t>
      </w:r>
    </w:p>
    <w:bookmarkEnd w:id="30"/>
    <w:bookmarkStart w:id="31" w:name="arco-κ_δ-cerrado"/>
    <w:p>
      <w:pPr>
        <w:pStyle w:val="Heading3"/>
      </w:pPr>
      <w:r>
        <w:t xml:space="preserve">Arco κ_Δ — cerrado 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Observable</w:t>
            </w:r>
          </w:p>
        </w:tc>
        <w:tc>
          <w:tcPr/>
          <w:p>
            <w:pPr>
              <w:pStyle w:val="Compac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m_eff/K = ½ (derivación, banda 6×)</w:t>
            </w:r>
          </w:p>
        </w:tc>
        <w:tc>
          <w:tcPr/>
          <w:p>
            <w:pPr>
              <w:pStyle w:val="Compact"/>
            </w:pPr>
            <w:r>
              <w:t xml:space="preserve">🔒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dinámico vs nulo (ratio ~12×)</w:t>
            </w:r>
          </w:p>
        </w:tc>
        <w:tc>
          <w:tcPr/>
          <w:p>
            <w:pPr>
              <w:pStyle w:val="Compact"/>
            </w:pPr>
            <w:r>
              <w:t xml:space="preserve">🔒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Exceso ~0.015 (d=3, real, no sesgo)</w:t>
            </w:r>
          </w:p>
        </w:tc>
        <w:tc>
          <w:tcPr/>
          <w:p>
            <w:pPr>
              <w:pStyle w:val="Compact"/>
            </w:pPr>
            <w:r>
              <w:t xml:space="preserve">🔒 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f≈½, |orden|≈½</w:t>
            </w:r>
          </w:p>
        </w:tc>
        <w:tc>
          <w:tcPr/>
          <w:p>
            <w:pPr>
              <w:pStyle w:val="Compact"/>
            </w:pPr>
            <w:r>
              <w:t xml:space="preserve">trivial 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Dirección ~90°</w:t>
            </w:r>
          </w:p>
        </w:tc>
        <w:tc>
          <w:tcPr/>
          <w:p>
            <w:pPr>
              <w:pStyle w:val="Compact"/>
            </w:pPr>
            <w:r>
              <w:t xml:space="preserve">historia contingente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artefactos-canónicos-de-la-sesión"/>
    <w:p>
      <w:pPr>
        <w:pStyle w:val="Heading2"/>
      </w:pPr>
      <w:r>
        <w:t xml:space="preserve">9. Artefactos canónicos de la sesión</w:t>
      </w:r>
    </w:p>
    <w:bookmarkStart w:id="33" w:name="informes-y-protocolos"/>
    <w:p>
      <w:pPr>
        <w:pStyle w:val="Heading3"/>
      </w:pPr>
      <w:r>
        <w:t xml:space="preserve">Informes y protocolos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INFORME_GENERAL_CG002_ARCO.md</w:t>
      </w:r>
      <w:r>
        <w:t xml:space="preserve"> </w:t>
      </w:r>
      <w:r>
        <w:t xml:space="preserve">(+ pdf/docx)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Informe_arco_kappaDelta_simple.md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INFORME_CG002_VEREDICTOS_TABLA.md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NOMENCLATURA_NODOS_CG002.md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CIERRE_ARCO_CG002_AUTORITATIVO.md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informe_revision_externa_CG002.md</w:t>
      </w:r>
      <w:r>
        <w:t xml:space="preserve"> </w:t>
      </w:r>
      <w:r>
        <w:t xml:space="preserve">(+ pdf/docx)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PROTOCOLO_EMPALME_CG002_ANIMA.md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INFORME_SESION_FINAL_COSMOGENESIS_GROK.md</w:t>
      </w:r>
      <w:r>
        <w:t xml:space="preserve"> </w:t>
      </w:r>
      <w:r>
        <w:t xml:space="preserve">(este documento)</w:t>
      </w:r>
    </w:p>
    <w:bookmarkEnd w:id="33"/>
    <w:bookmarkStart w:id="34" w:name="scripts-y-datos-κ_δ"/>
    <w:p>
      <w:pPr>
        <w:pStyle w:val="Heading3"/>
      </w:pPr>
      <w:r>
        <w:t xml:space="preserve">Scripts y datos (κ_Δ)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cg002_constantes_1000.py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.csv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cg002_exceso_barrido.py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.csv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cg002_exceso_caracteriza.py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cg002_dynamic_l2_sweep.py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grain_null_model.py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grain_null_sweep.csv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cierre_kappaDelta_regla.py</w:t>
      </w:r>
      <w:r>
        <w:t xml:space="preserve"> </w:t>
      </w:r>
      <w:r>
        <w:t xml:space="preserve">(CC) ·</w:t>
      </w:r>
      <w:r>
        <w:t xml:space="preserve"> </w:t>
      </w:r>
      <w:r>
        <w:rPr>
          <w:rStyle w:val="VerbatimChar"/>
        </w:rPr>
        <w:t xml:space="preserve">engine_output.csv</w:t>
      </w:r>
    </w:p>
    <w:bookmarkEnd w:id="34"/>
    <w:bookmarkStart w:id="35" w:name="empalme"/>
    <w:p>
      <w:pPr>
        <w:pStyle w:val="Heading3"/>
      </w:pPr>
      <w:r>
        <w:t xml:space="preserve">Empalme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empalme_*.{json,csv}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empalme_estimulos/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empalme_generar_estimulos_fase1.py</w:t>
      </w:r>
    </w:p>
    <w:bookmarkEnd w:id="35"/>
    <w:bookmarkStart w:id="36" w:name="canal-equipo"/>
    <w:p>
      <w:pPr>
        <w:pStyle w:val="Heading3"/>
      </w:pPr>
      <w:r>
        <w:t xml:space="preserve">Canal equipo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GROK_TO_CC.md</w:t>
      </w:r>
      <w:r>
        <w:t xml:space="preserve"> </w:t>
      </w:r>
      <w:r>
        <w:t xml:space="preserve">(hasta Mensaje 21) ·</w:t>
      </w:r>
      <w:r>
        <w:t xml:space="preserve"> </w:t>
      </w:r>
      <w:r>
        <w:rPr>
          <w:rStyle w:val="VerbatimChar"/>
        </w:rPr>
        <w:t xml:space="preserve">CC_TO_GROK.md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alcance-cerrado-y-programa-siguiente"/>
    <w:p>
      <w:pPr>
        <w:pStyle w:val="Heading2"/>
      </w:pPr>
      <w:r>
        <w:t xml:space="preserve">10. Alcance cerrado y programa siguiente</w:t>
      </w:r>
    </w:p>
    <w:bookmarkStart w:id="38" w:name="cerrado-en-esta-sesión"/>
    <w:p>
      <w:pPr>
        <w:pStyle w:val="Heading3"/>
      </w:pPr>
      <w:r>
        <w:t xml:space="preserve">Cerrado en esta sesión</w:t>
      </w:r>
    </w:p>
    <w:p>
      <w:pPr>
        <w:pStyle w:val="Compact"/>
        <w:numPr>
          <w:ilvl w:val="0"/>
          <w:numId w:val="1006"/>
        </w:numPr>
      </w:pPr>
      <w:r>
        <w:t xml:space="preserve">Arco κ_Δ: θ_CP=0, K∈{6,8,12}, banda 6×, N hasta 4000.</w:t>
      </w:r>
    </w:p>
    <w:p>
      <w:pPr>
        <w:pStyle w:val="Compact"/>
        <w:numPr>
          <w:ilvl w:val="0"/>
          <w:numId w:val="1006"/>
        </w:numPr>
      </w:pPr>
      <w:r>
        <w:t xml:space="preserve">Documentación autoritativa y revisión externa.</w:t>
      </w:r>
    </w:p>
    <w:p>
      <w:pPr>
        <w:pStyle w:val="Compact"/>
        <w:numPr>
          <w:ilvl w:val="0"/>
          <w:numId w:val="1006"/>
        </w:numPr>
      </w:pPr>
      <w:r>
        <w:t xml:space="preserve">Fase 0 del empalme CG002↔ANIMA.</w:t>
      </w:r>
    </w:p>
    <w:bookmarkEnd w:id="38"/>
    <w:bookmarkStart w:id="39" w:name="Xf5052d7dbb44242df3bcd94c67ef8809031790c"/>
    <w:p>
      <w:pPr>
        <w:pStyle w:val="Heading3"/>
      </w:pPr>
      <w:r>
        <w:t xml:space="preserve">Abierto (operativo, no deuda epistemológica)</w:t>
      </w:r>
    </w:p>
    <w:p>
      <w:pPr>
        <w:pStyle w:val="Compact"/>
        <w:numPr>
          <w:ilvl w:val="0"/>
          <w:numId w:val="1007"/>
        </w:numPr>
      </w:pPr>
      <w:r>
        <w:t xml:space="preserve">θ_CP ≠ 0 y regímenes no barridos.</w:t>
      </w:r>
    </w:p>
    <w:p>
      <w:pPr>
        <w:pStyle w:val="Compact"/>
        <w:numPr>
          <w:ilvl w:val="0"/>
          <w:numId w:val="1007"/>
        </w:numPr>
      </w:pPr>
      <w:r>
        <w:t xml:space="preserve">Revisión identificación κ_Δ = 2π/K si otra forma da mismos hechos.</w:t>
      </w:r>
    </w:p>
    <w:p>
      <w:pPr>
        <w:pStyle w:val="Compact"/>
        <w:numPr>
          <w:ilvl w:val="0"/>
          <w:numId w:val="1007"/>
        </w:numPr>
      </w:pPr>
      <w:r>
        <w:t xml:space="preserve">Fases 1–4 del empalme (medición ANIMA de estímulos).</w:t>
      </w:r>
    </w:p>
    <w:p>
      <w:pPr>
        <w:pStyle w:val="Compact"/>
        <w:numPr>
          <w:ilvl w:val="0"/>
          <w:numId w:val="1007"/>
        </w:numPr>
      </w:pPr>
      <w:r>
        <w:t xml:space="preserve">Parte II completa: κ_O, κ_LF, κ_H, Λ_Cos en U_Cos; cierre recursivo con ANIMA.</w:t>
      </w:r>
    </w:p>
    <w:p>
      <w:pPr>
        <w:pStyle w:val="Compact"/>
        <w:numPr>
          <w:ilvl w:val="0"/>
          <w:numId w:val="1007"/>
        </w:numPr>
      </w:pPr>
      <w:r>
        <w:t xml:space="preserve">CG004: gravedad/self-term no universal — insertar, no derivar.</w:t>
      </w:r>
    </w:p>
    <w:bookmarkEnd w:id="39"/>
    <w:bookmarkStart w:id="40" w:name="no-es-deuda"/>
    <w:p>
      <w:pPr>
        <w:pStyle w:val="Heading3"/>
      </w:pPr>
      <w:r>
        <w:t xml:space="preserve">No es deuda</w:t>
      </w:r>
    </w:p>
    <w:p>
      <w:pPr>
        <w:pStyle w:val="FirstParagraph"/>
      </w:pPr>
      <w:r>
        <w:t xml:space="preserve">«Validación externa desde terreno neutral». La prueba fue interna, dura y reproducible.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división-de-trabajo-sesión"/>
    <w:p>
      <w:pPr>
        <w:pStyle w:val="Heading2"/>
      </w:pPr>
      <w:r>
        <w:t xml:space="preserve">11. División de trabajo (sesión)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0"/>
        <w:gridCol w:w="15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Quién</w:t>
            </w:r>
          </w:p>
        </w:tc>
        <w:tc>
          <w:tcPr/>
          <w:p>
            <w:pPr>
              <w:pStyle w:val="Compact"/>
            </w:pPr>
            <w:r>
              <w:t xml:space="preserve">Contribución en 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Dirección teórica, lectura canónica, corrección N→∞</w:t>
            </w:r>
          </w:p>
        </w:tc>
        <w:tc>
          <w:tcPr/>
          <w:p>
            <w:pPr>
              <w:pStyle w:val="Compact"/>
            </w:pPr>
            <w:r>
              <w:t xml:space="preserve">Alexis López Tapia</w:t>
            </w:r>
          </w:p>
        </w:tc>
        <w:tc>
          <w:tcPr/>
          <w:p>
            <w:pPr>
              <w:pStyle w:val="Compact"/>
            </w:pPr>
            <w:r>
              <w:t xml:space="preserve">Cierre epistemológico; «dale» empalme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Motor,</w:t>
            </w:r>
            <w:r>
              <w:t xml:space="preserve"> </w:t>
            </w:r>
            <w:r>
              <w:rPr>
                <w:rStyle w:val="VerbatimChar"/>
              </w:rPr>
              <w:t xml:space="preserve">engine_output.csv</w:t>
            </w:r>
            <w:r>
              <w:t xml:space="preserve">, arco fundacional</w:t>
            </w:r>
          </w:p>
        </w:tc>
        <w:tc>
          <w:tcPr/>
          <w:p>
            <w:pPr>
              <w:pStyle w:val="Compact"/>
            </w:pPr>
            <w:r>
              <w:t xml:space="preserve">Claude Code (CC)</w:t>
            </w:r>
          </w:p>
        </w:tc>
        <w:tc>
          <w:tcPr/>
          <w:p>
            <w:pPr>
              <w:pStyle w:val="Compact"/>
            </w:pPr>
            <w:r>
              <w:t xml:space="preserve">1080 corridas banda; reproducibilidad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Barridos, replicación, síntesis, canal, este informe</w:t>
            </w:r>
          </w:p>
        </w:tc>
        <w:tc>
          <w:tcPr/>
          <w:p>
            <w:pPr>
              <w:pStyle w:val="Compact"/>
            </w:pPr>
            <w:r>
              <w:t xml:space="preserve">Grok (Diotallevi)</w:t>
            </w:r>
          </w:p>
        </w:tc>
        <w:tc>
          <w:tcPr/>
          <w:p>
            <w:pPr>
              <w:pStyle w:val="Compact"/>
            </w:pPr>
            <w:r>
              <w:t xml:space="preserve">Arco κ_Δ; documentos autoritativos; empalme F0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Regla de medir, grain null, verificación</w:t>
            </w:r>
          </w:p>
        </w:tc>
        <w:tc>
          <w:tcPr/>
          <w:p>
            <w:pPr>
              <w:pStyle w:val="Compact"/>
            </w:pPr>
            <w:r>
              <w:t xml:space="preserve">Claude web</w:t>
            </w:r>
          </w:p>
        </w:tc>
        <w:tc>
          <w:tcPr/>
          <w:p>
            <w:pPr>
              <w:pStyle w:val="Compact"/>
            </w:pPr>
            <w:r>
              <w:t xml:space="preserve">Instrumento L2; línea base nula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Parte II / organismo</w:t>
            </w:r>
          </w:p>
        </w:tc>
        <w:tc>
          <w:tcPr/>
          <w:p>
            <w:pPr>
              <w:pStyle w:val="Compact"/>
            </w:pPr>
            <w:r>
              <w:t xml:space="preserve">Equipo ANIMA</w:t>
            </w:r>
          </w:p>
        </w:tc>
        <w:tc>
          <w:tcPr/>
          <w:p>
            <w:pPr>
              <w:pStyle w:val="Compact"/>
            </w:pPr>
            <w:r>
              <w:t xml:space="preserve">Membrana, propiocepción, Λ_Cos (paralelo)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cierre-de-sesión"/>
    <w:p>
      <w:pPr>
        <w:pStyle w:val="Heading2"/>
      </w:pPr>
      <w:r>
        <w:t xml:space="preserve">12. Cierre de sesión</w:t>
      </w:r>
    </w:p>
    <w:p>
      <w:pPr>
        <w:pStyle w:val="FirstParagraph"/>
      </w:pPr>
      <w:r>
        <w:t xml:space="preserve">La sesión</w:t>
      </w:r>
      <w:r>
        <w:t xml:space="preserve"> </w:t>
      </w:r>
      <w:r>
        <w:rPr>
          <w:b/>
          <w:bCs/>
        </w:rPr>
        <w:t xml:space="preserve">Sesión Final Cosmogénesis Grok</w:t>
      </w:r>
      <w:r>
        <w:t xml:space="preserve"> </w:t>
      </w:r>
      <w:r>
        <w:t xml:space="preserve">deja el programa CG002 en estado de</w:t>
      </w:r>
      <w:r>
        <w:t xml:space="preserve"> </w:t>
      </w:r>
      <w:r>
        <w:rPr>
          <w:b/>
          <w:bCs/>
        </w:rPr>
        <w:t xml:space="preserve">cierre sólido de fase</w:t>
      </w:r>
      <w:r>
        <w:t xml:space="preserve">: un axioma, un mundo medido, un nodo trascendental (cancelación antipodal) convertido en marca derivada que resistió la prueba que pudo tumbarla, y una frontera explícita hacia el organismo que el otro equipo ya está habiendo.</w:t>
      </w:r>
    </w:p>
    <w:p>
      <w:pPr>
        <w:pStyle w:val="BodyText"/>
      </w:pPr>
      <w:r>
        <w:t xml:space="preserve">La cosmogénesis no reclama ser el universo físico. Reclama —con hechos en disco— que la cadena de S &gt; 0 a la piedra</w:t>
      </w:r>
      <w:r>
        <w:t xml:space="preserve"> </w:t>
      </w:r>
      <w:r>
        <w:rPr>
          <w:b/>
          <w:bCs/>
        </w:rPr>
        <w:t xml:space="preserve">se puede caminar</w:t>
      </w:r>
      <w:r>
        <w:t xml:space="preserve">, y que hoy las dos mitades del descenso (mundo sin interior / organismo que se cierra) tienen por primera vez</w:t>
      </w:r>
      <w:r>
        <w:t xml:space="preserve"> </w:t>
      </w:r>
      <w:r>
        <w:rPr>
          <w:b/>
          <w:bCs/>
        </w:rPr>
        <w:t xml:space="preserve">protocolo de costura</w:t>
      </w:r>
      <w:r>
        <w:t xml:space="preserve">, no solo narrativa de convergencia.</w:t>
      </w:r>
    </w:p>
    <w:p>
      <w:pPr>
        <w:pStyle w:val="BodyText"/>
      </w:pPr>
      <w:r>
        <w:rPr>
          <w:b/>
          <w:bCs/>
        </w:rPr>
        <w:t xml:space="preserve">Arco κ_Δ: CERRADO.</w:t>
      </w:r>
      <w:r>
        <w:br/>
      </w:r>
      <w:r>
        <w:rPr>
          <w:b/>
          <w:bCs/>
        </w:rPr>
        <w:t xml:space="preserve">Empalme: Fase 0 COMPLETA — Fase 1B en espera de díada.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Informe de sesión · Grok (Diotallevi) · Cosmolab / VSTCosmo · 30 de junio de 2026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CIERRE_ARCO_CG002_AUTORITATIVO.md" TargetMode="External" /><Relationship Type="http://schemas.openxmlformats.org/officeDocument/2006/relationships/hyperlink" Id="rId20" Target="INFORME_CG002_VEREDICTOS_TABLA.md" TargetMode="External" /><Relationship Type="http://schemas.openxmlformats.org/officeDocument/2006/relationships/hyperlink" Id="rId11" Target="INFORME_GENERAL_CG002_ARCO.md" TargetMode="External" /><Relationship Type="http://schemas.openxmlformats.org/officeDocument/2006/relationships/hyperlink" Id="rId16" Target="Informe_arco_kappaDelta_simple.md" TargetMode="External" /><Relationship Type="http://schemas.openxmlformats.org/officeDocument/2006/relationships/hyperlink" Id="rId21" Target="NOMENCLATURA_NODOS_CG002.md" TargetMode="External" /><Relationship Type="http://schemas.openxmlformats.org/officeDocument/2006/relationships/hyperlink" Id="rId26" Target="PROTOCOLO_EMPALME_CG002_ANIMA.md" TargetMode="External" /><Relationship Type="http://schemas.openxmlformats.org/officeDocument/2006/relationships/hyperlink" Id="rId23" Target="informe_revision_externa_CG002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ERRE_ARCO_CG002_AUTORITATIVO.md" TargetMode="External" /><Relationship Type="http://schemas.openxmlformats.org/officeDocument/2006/relationships/hyperlink" Id="rId20" Target="INFORME_CG002_VEREDICTOS_TABLA.md" TargetMode="External" /><Relationship Type="http://schemas.openxmlformats.org/officeDocument/2006/relationships/hyperlink" Id="rId11" Target="INFORME_GENERAL_CG002_ARCO.md" TargetMode="External" /><Relationship Type="http://schemas.openxmlformats.org/officeDocument/2006/relationships/hyperlink" Id="rId16" Target="Informe_arco_kappaDelta_simple.md" TargetMode="External" /><Relationship Type="http://schemas.openxmlformats.org/officeDocument/2006/relationships/hyperlink" Id="rId21" Target="NOMENCLATURA_NODOS_CG002.md" TargetMode="External" /><Relationship Type="http://schemas.openxmlformats.org/officeDocument/2006/relationships/hyperlink" Id="rId26" Target="PROTOCOLO_EMPALME_CG002_ANIMA.md" TargetMode="External" /><Relationship Type="http://schemas.openxmlformats.org/officeDocument/2006/relationships/hyperlink" Id="rId23" Target="informe_revision_externa_CG002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2026-06-30T08:52:36Z</dcterms:created>
  <dcterms:modified xsi:type="dcterms:W3CDTF">2026-06-30T08:52:36Z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