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488A" w14:textId="77777777" w:rsidR="00B2451E" w:rsidRPr="00CB4EF8" w:rsidRDefault="00B2451E" w:rsidP="00B2451E">
      <w:pPr>
        <w:pStyle w:val="TtulodeEsquizes"/>
        <w:jc w:val="center"/>
        <w:rPr>
          <w:sz w:val="28"/>
          <w:szCs w:val="28"/>
        </w:rPr>
      </w:pPr>
      <w:r>
        <w:rPr>
          <w:sz w:val="28"/>
          <w:szCs w:val="28"/>
        </w:rPr>
        <w:t xml:space="preserve">RMD 2.0 - </w:t>
      </w:r>
      <w:r w:rsidRPr="005843B6">
        <w:rPr>
          <w:sz w:val="28"/>
          <w:szCs w:val="28"/>
        </w:rPr>
        <w:t>MATRIZ DE INFRAESTRUCTURA CRITICA</w:t>
      </w:r>
    </w:p>
    <w:p w14:paraId="4794850A" w14:textId="77777777" w:rsidR="00B2451E" w:rsidRDefault="00B2451E" w:rsidP="00B2451E">
      <w:pPr>
        <w:pStyle w:val="NormalWeb"/>
        <w:spacing w:before="0" w:beforeAutospacing="0" w:after="0" w:afterAutospacing="0"/>
        <w:jc w:val="both"/>
        <w:rPr>
          <w:color w:val="000000" w:themeColor="text1"/>
        </w:rPr>
      </w:pPr>
    </w:p>
    <w:p w14:paraId="27C09F3C" w14:textId="77777777" w:rsidR="00B2451E" w:rsidRDefault="00B2451E" w:rsidP="00B2451E">
      <w:pPr>
        <w:pStyle w:val="NormalWeb"/>
        <w:spacing w:before="0" w:beforeAutospacing="0" w:after="0" w:afterAutospacing="0"/>
        <w:jc w:val="both"/>
        <w:rPr>
          <w:color w:val="000000" w:themeColor="text1"/>
        </w:rPr>
      </w:pPr>
      <w:r w:rsidRPr="005843B6">
        <w:rPr>
          <w:color w:val="000000" w:themeColor="text1"/>
        </w:rPr>
        <w:t>La Matriz de Infraestructura Crítica está diseñada para evaluar los riesgos de elementos de infraestructura crítica mediante un conjunto de métricas que analizan vulnerabilidades, importancia estratégica y su impacto en un modelo de análisis de conflictos. A continuación, se detalla cada columna, su significado, cómo se calcula, y su relación con las ponderaciones definidas.</w:t>
      </w:r>
    </w:p>
    <w:p w14:paraId="23A98908" w14:textId="77777777" w:rsidR="00B2451E" w:rsidRPr="005843B6" w:rsidRDefault="00B2451E" w:rsidP="00B2451E">
      <w:pPr>
        <w:pStyle w:val="NormalWeb"/>
        <w:spacing w:before="0" w:beforeAutospacing="0" w:after="0" w:afterAutospacing="0"/>
        <w:jc w:val="both"/>
        <w:rPr>
          <w:color w:val="000000" w:themeColor="text1"/>
        </w:rPr>
      </w:pPr>
    </w:p>
    <w:p w14:paraId="39FAAF47" w14:textId="77777777" w:rsidR="00B2451E" w:rsidRDefault="00300068" w:rsidP="00B2451E">
      <w:pPr>
        <w:pStyle w:val="Ttulo4"/>
        <w:spacing w:before="0" w:after="0"/>
        <w:rPr>
          <w:rFonts w:cs="Calibri"/>
          <w:color w:val="000000" w:themeColor="text1"/>
        </w:rPr>
      </w:pPr>
      <w:r w:rsidRPr="00300068">
        <w:rPr>
          <w:rFonts w:cs="Calibri"/>
          <w:noProof/>
          <w:color w:val="000000" w:themeColor="text1"/>
          <w14:ligatures w14:val="standardContextual"/>
        </w:rPr>
        <w:pict w14:anchorId="55E3BCF9">
          <v:rect id="_x0000_i1039" alt="" style="width:441.9pt;height:.05pt;mso-width-percent:0;mso-height-percent:0;mso-width-percent:0;mso-height-percent:0" o:hralign="center" o:hrstd="t" o:hr="t" fillcolor="#a0a0a0" stroked="f"/>
        </w:pict>
      </w:r>
    </w:p>
    <w:p w14:paraId="6123198C" w14:textId="77777777" w:rsidR="00B2451E" w:rsidRPr="005843B6" w:rsidRDefault="00B2451E" w:rsidP="00B2451E">
      <w:pPr>
        <w:pStyle w:val="TtulosVariable"/>
      </w:pPr>
      <w:r w:rsidRPr="005843B6">
        <w:t>1. Número (N°)</w:t>
      </w:r>
    </w:p>
    <w:p w14:paraId="1A97F923"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533D6F0F"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Significado:</w:t>
      </w:r>
      <w:r>
        <w:rPr>
          <w:color w:val="000000" w:themeColor="text1"/>
          <w:sz w:val="16"/>
          <w:szCs w:val="16"/>
        </w:rPr>
        <w:t xml:space="preserve"> </w:t>
      </w:r>
      <w:r w:rsidRPr="005843B6">
        <w:rPr>
          <w:color w:val="000000" w:themeColor="text1"/>
          <w:sz w:val="16"/>
          <w:szCs w:val="16"/>
        </w:rPr>
        <w:t>Es un identificador único asignado a cada elemento de infraestructura crítica en la tabla. Sirve para organizar y referenciar los elementos de manera clara, especialmente en una tabla con múltiples entradas.</w:t>
      </w:r>
    </w:p>
    <w:p w14:paraId="76DA66E4" w14:textId="77777777" w:rsidR="00B2451E" w:rsidRPr="005843B6" w:rsidRDefault="00300068" w:rsidP="00B2451E">
      <w:pPr>
        <w:jc w:val="both"/>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345BBF37">
          <v:rect id="_x0000_i1038" alt="" style="width:441.9pt;height:.05pt;mso-width-percent:0;mso-height-percent:0;mso-width-percent:0;mso-height-percent:0" o:hralign="center" o:hrstd="t" o:hr="t" fillcolor="#a0a0a0" stroked="f"/>
        </w:pict>
      </w:r>
    </w:p>
    <w:p w14:paraId="33AA2DDE" w14:textId="77777777" w:rsidR="00B2451E" w:rsidRPr="00615509" w:rsidRDefault="00B2451E" w:rsidP="00B2451E">
      <w:pPr>
        <w:pStyle w:val="TtulosVariable"/>
        <w:rPr>
          <w:rStyle w:val="Textoennegrita"/>
          <w:b/>
          <w:bCs/>
        </w:rPr>
      </w:pPr>
      <w:r w:rsidRPr="005843B6">
        <w:t>2. Elemento</w:t>
      </w:r>
    </w:p>
    <w:p w14:paraId="22AE6D00"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18985A31"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Significado:</w:t>
      </w:r>
      <w:r>
        <w:rPr>
          <w:color w:val="000000" w:themeColor="text1"/>
          <w:sz w:val="16"/>
          <w:szCs w:val="16"/>
        </w:rPr>
        <w:t xml:space="preserve"> </w:t>
      </w:r>
      <w:r w:rsidRPr="005843B6">
        <w:rPr>
          <w:color w:val="000000" w:themeColor="text1"/>
          <w:sz w:val="16"/>
          <w:szCs w:val="16"/>
        </w:rPr>
        <w:t>El nombre del componente específico de infraestructura crítica que se está evaluando (por ejemplo, "Glaciares", "Estructuras de Presas", "Centros de Datos"). Representa activos clave en sectores como agua, energía, transporte o tecnología.</w:t>
      </w:r>
    </w:p>
    <w:p w14:paraId="27C8BE54"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5B3A5CA7"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Fuentes de Datos:</w:t>
      </w:r>
    </w:p>
    <w:p w14:paraId="69015F16" w14:textId="77777777" w:rsidR="00B2451E" w:rsidRPr="005843B6" w:rsidRDefault="00B2451E" w:rsidP="00B2451E">
      <w:pPr>
        <w:numPr>
          <w:ilvl w:val="0"/>
          <w:numId w:val="1"/>
        </w:numPr>
        <w:jc w:val="both"/>
        <w:rPr>
          <w:rFonts w:ascii="Calibri" w:hAnsi="Calibri" w:cs="Calibri"/>
          <w:color w:val="000000" w:themeColor="text1"/>
          <w:sz w:val="16"/>
          <w:szCs w:val="16"/>
        </w:rPr>
      </w:pPr>
      <w:hyperlink r:id="rId7" w:tgtFrame="_blank" w:history="1">
        <w:proofErr w:type="spellStart"/>
        <w:r w:rsidRPr="005843B6">
          <w:rPr>
            <w:rStyle w:val="Hipervnculo"/>
            <w:rFonts w:ascii="Calibri" w:eastAsiaTheme="majorEastAsia" w:hAnsi="Calibri" w:cs="Calibri"/>
            <w:color w:val="000000" w:themeColor="text1"/>
            <w:sz w:val="16"/>
            <w:szCs w:val="16"/>
          </w:rPr>
          <w:t>Critical</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Infrastructure</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Sectors</w:t>
        </w:r>
        <w:proofErr w:type="spellEnd"/>
        <w:r w:rsidRPr="005843B6">
          <w:rPr>
            <w:rStyle w:val="Hipervnculo"/>
            <w:rFonts w:ascii="Calibri" w:eastAsiaTheme="majorEastAsia" w:hAnsi="Calibri" w:cs="Calibri"/>
            <w:color w:val="000000" w:themeColor="text1"/>
            <w:sz w:val="16"/>
            <w:szCs w:val="16"/>
          </w:rPr>
          <w:t xml:space="preserve"> - CISA</w:t>
        </w:r>
      </w:hyperlink>
      <w:r w:rsidRPr="005843B6">
        <w:rPr>
          <w:rFonts w:ascii="Calibri" w:hAnsi="Calibri" w:cs="Calibri"/>
          <w:color w:val="000000" w:themeColor="text1"/>
          <w:sz w:val="16"/>
          <w:szCs w:val="16"/>
        </w:rPr>
        <w:t>: La Agencia de Seguridad de Infraestructura y Ciberseguridad de EE.UU. (CISA) proporciona una lista de sectores de infraestructura crítica, como agua, energía y tecnología, que sirven de base para identificar elementos relevantes.</w:t>
      </w:r>
    </w:p>
    <w:p w14:paraId="74A9C8D3" w14:textId="77777777" w:rsidR="00B2451E" w:rsidRPr="005843B6" w:rsidRDefault="00300068" w:rsidP="00B2451E">
      <w:pPr>
        <w:jc w:val="both"/>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72ED6FA4">
          <v:rect id="_x0000_i1037" alt="" style="width:441.9pt;height:.05pt;mso-width-percent:0;mso-height-percent:0;mso-width-percent:0;mso-height-percent:0" o:hralign="center" o:hrstd="t" o:hr="t" fillcolor="#a0a0a0" stroked="f"/>
        </w:pict>
      </w:r>
    </w:p>
    <w:p w14:paraId="308A2DD4" w14:textId="77777777" w:rsidR="00B2451E" w:rsidRPr="005843B6" w:rsidRDefault="00B2451E" w:rsidP="00B2451E">
      <w:pPr>
        <w:pStyle w:val="TtulosVariable"/>
      </w:pPr>
      <w:r w:rsidRPr="005843B6">
        <w:t>3. Descripción</w:t>
      </w:r>
    </w:p>
    <w:p w14:paraId="400CFC80"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4D3F9636" w14:textId="77777777" w:rsidR="00B2451E" w:rsidRPr="00615509" w:rsidRDefault="00B2451E" w:rsidP="00B2451E">
      <w:pPr>
        <w:pStyle w:val="NormalWeb"/>
        <w:spacing w:before="0" w:beforeAutospacing="0" w:after="0" w:afterAutospacing="0"/>
        <w:jc w:val="both"/>
        <w:rPr>
          <w:rStyle w:val="Textoennegrita"/>
          <w:b w:val="0"/>
          <w:bCs w:val="0"/>
          <w:color w:val="000000" w:themeColor="text1"/>
          <w:sz w:val="16"/>
          <w:szCs w:val="16"/>
        </w:rPr>
      </w:pPr>
      <w:r w:rsidRPr="005843B6">
        <w:rPr>
          <w:rStyle w:val="Textoennegrita"/>
          <w:rFonts w:eastAsiaTheme="majorEastAsia"/>
          <w:color w:val="000000" w:themeColor="text1"/>
          <w:sz w:val="16"/>
          <w:szCs w:val="16"/>
        </w:rPr>
        <w:t>Significado:</w:t>
      </w:r>
      <w:r>
        <w:rPr>
          <w:color w:val="000000" w:themeColor="text1"/>
          <w:sz w:val="16"/>
          <w:szCs w:val="16"/>
        </w:rPr>
        <w:t xml:space="preserve"> </w:t>
      </w:r>
      <w:r w:rsidRPr="005843B6">
        <w:rPr>
          <w:color w:val="000000" w:themeColor="text1"/>
          <w:sz w:val="16"/>
          <w:szCs w:val="16"/>
        </w:rPr>
        <w:t>Proporciona un resumen de las características, función y contexto del elemento. Por ejemplo, para "Glaciares", la descripción podría ser: "Masas de hielo en regiones montañosas que alimentan ríos y acuíferos...".</w:t>
      </w:r>
    </w:p>
    <w:p w14:paraId="1B727C0C"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Fuentes de Datos:</w:t>
      </w:r>
    </w:p>
    <w:p w14:paraId="120D9774" w14:textId="77777777" w:rsidR="00B2451E" w:rsidRPr="005843B6" w:rsidRDefault="00B2451E" w:rsidP="00B2451E">
      <w:pPr>
        <w:numPr>
          <w:ilvl w:val="0"/>
          <w:numId w:val="2"/>
        </w:numPr>
        <w:jc w:val="both"/>
        <w:rPr>
          <w:rFonts w:ascii="Calibri" w:hAnsi="Calibri" w:cs="Calibri"/>
          <w:color w:val="000000" w:themeColor="text1"/>
          <w:sz w:val="16"/>
          <w:szCs w:val="16"/>
        </w:rPr>
      </w:pPr>
      <w:hyperlink r:id="rId8" w:tgtFrame="_blank" w:history="1">
        <w:r w:rsidRPr="005843B6">
          <w:rPr>
            <w:rStyle w:val="Hipervnculo"/>
            <w:rFonts w:ascii="Calibri" w:eastAsiaTheme="majorEastAsia" w:hAnsi="Calibri" w:cs="Calibri"/>
            <w:color w:val="000000" w:themeColor="text1"/>
            <w:sz w:val="16"/>
            <w:szCs w:val="16"/>
          </w:rPr>
          <w:t xml:space="preserve">UN </w:t>
        </w:r>
        <w:proofErr w:type="spellStart"/>
        <w:r w:rsidRPr="005843B6">
          <w:rPr>
            <w:rStyle w:val="Hipervnculo"/>
            <w:rFonts w:ascii="Calibri" w:eastAsiaTheme="majorEastAsia" w:hAnsi="Calibri" w:cs="Calibri"/>
            <w:color w:val="000000" w:themeColor="text1"/>
            <w:sz w:val="16"/>
            <w:szCs w:val="16"/>
          </w:rPr>
          <w:t>Critical</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Infrastructure</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Protection</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Guidelines</w:t>
        </w:r>
        <w:proofErr w:type="spellEnd"/>
        <w:r w:rsidRPr="005843B6">
          <w:rPr>
            <w:rStyle w:val="Hipervnculo"/>
            <w:rFonts w:ascii="Calibri" w:eastAsiaTheme="majorEastAsia" w:hAnsi="Calibri" w:cs="Calibri"/>
            <w:color w:val="000000" w:themeColor="text1"/>
            <w:sz w:val="16"/>
            <w:szCs w:val="16"/>
          </w:rPr>
          <w:t xml:space="preserve"> - UNOCT</w:t>
        </w:r>
      </w:hyperlink>
      <w:r w:rsidRPr="005843B6">
        <w:rPr>
          <w:rFonts w:ascii="Calibri" w:hAnsi="Calibri" w:cs="Calibri"/>
          <w:color w:val="000000" w:themeColor="text1"/>
          <w:sz w:val="16"/>
          <w:szCs w:val="16"/>
        </w:rPr>
        <w:t>: Las directrices de la Oficina de las Naciones Unidas contra el Terrorismo (UNOCT) ofrecen ejemplos de descripciones de elementos de infraestructura crítica, destacando su función y vulnerabilidades.</w:t>
      </w:r>
    </w:p>
    <w:p w14:paraId="2E77EE5F" w14:textId="77777777" w:rsidR="00B2451E" w:rsidRPr="005843B6" w:rsidRDefault="00300068" w:rsidP="00B2451E">
      <w:pPr>
        <w:jc w:val="both"/>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644194D8">
          <v:rect id="_x0000_i1036" alt="" style="width:441.9pt;height:.05pt;mso-width-percent:0;mso-height-percent:0;mso-width-percent:0;mso-height-percent:0" o:hralign="center" o:hrstd="t" o:hr="t" fillcolor="#a0a0a0" stroked="f"/>
        </w:pict>
      </w:r>
    </w:p>
    <w:p w14:paraId="4A0072F3" w14:textId="77777777" w:rsidR="00B2451E" w:rsidRPr="005843B6" w:rsidRDefault="00B2451E" w:rsidP="00B2451E">
      <w:pPr>
        <w:pStyle w:val="TtulosVariable"/>
      </w:pPr>
      <w:r w:rsidRPr="005843B6">
        <w:t>4. Fragilidad ante Eventos Naturales (FEN)</w:t>
      </w:r>
    </w:p>
    <w:p w14:paraId="0E46B636"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49C8F89A"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Significado:</w:t>
      </w:r>
      <w:r>
        <w:rPr>
          <w:color w:val="000000" w:themeColor="text1"/>
          <w:sz w:val="16"/>
          <w:szCs w:val="16"/>
        </w:rPr>
        <w:t xml:space="preserve"> </w:t>
      </w:r>
      <w:r w:rsidRPr="005843B6">
        <w:rPr>
          <w:color w:val="000000" w:themeColor="text1"/>
          <w:sz w:val="16"/>
          <w:szCs w:val="16"/>
        </w:rPr>
        <w:t>Evalúa la vulnerabilidad del elemento a eventos naturales cíclicos, como inundaciones, aluviones o sequías. Esta métrica es crucial para identificar riesgos asociados a desastres naturales que puedan interrumpir el funcionamiento de la infraestructura.</w:t>
      </w:r>
    </w:p>
    <w:p w14:paraId="3DF6149F"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Cómo se Calcula:</w:t>
      </w:r>
    </w:p>
    <w:p w14:paraId="2481E816" w14:textId="77777777" w:rsidR="00B2451E" w:rsidRPr="005843B6" w:rsidRDefault="00B2451E" w:rsidP="00B2451E">
      <w:pPr>
        <w:numPr>
          <w:ilvl w:val="0"/>
          <w:numId w:val="3"/>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Escala Cualitativa:</w:t>
      </w:r>
      <w:r w:rsidRPr="005843B6">
        <w:rPr>
          <w:rFonts w:ascii="Calibri" w:hAnsi="Calibri" w:cs="Calibri"/>
          <w:color w:val="000000" w:themeColor="text1"/>
          <w:sz w:val="16"/>
          <w:szCs w:val="16"/>
        </w:rPr>
        <w:t xml:space="preserve"> Se presenta como Alta, Media o Baja.</w:t>
      </w:r>
    </w:p>
    <w:p w14:paraId="26B1630B" w14:textId="77777777" w:rsidR="00B2451E" w:rsidRPr="005843B6" w:rsidRDefault="00B2451E" w:rsidP="00B2451E">
      <w:pPr>
        <w:numPr>
          <w:ilvl w:val="0"/>
          <w:numId w:val="3"/>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Conversión Numérica:</w:t>
      </w:r>
      <w:r w:rsidRPr="005843B6">
        <w:rPr>
          <w:rFonts w:ascii="Calibri" w:hAnsi="Calibri" w:cs="Calibri"/>
          <w:color w:val="000000" w:themeColor="text1"/>
          <w:sz w:val="16"/>
          <w:szCs w:val="16"/>
        </w:rPr>
        <w:t xml:space="preserve"> Para cálculos posteriores, se convierte a una escala numérica de 1 a 3: </w:t>
      </w:r>
    </w:p>
    <w:p w14:paraId="7E3168AC" w14:textId="77777777" w:rsidR="00B2451E" w:rsidRPr="005843B6" w:rsidRDefault="00B2451E" w:rsidP="00B2451E">
      <w:pPr>
        <w:ind w:left="720"/>
        <w:jc w:val="both"/>
        <w:rPr>
          <w:rFonts w:ascii="Calibri" w:hAnsi="Calibri" w:cs="Calibri"/>
          <w:color w:val="000000" w:themeColor="text1"/>
          <w:sz w:val="16"/>
          <w:szCs w:val="16"/>
        </w:rPr>
      </w:pPr>
      <w:r w:rsidRPr="005843B6">
        <w:rPr>
          <w:rFonts w:ascii="Calibri" w:hAnsi="Calibri" w:cs="Calibri"/>
          <w:color w:val="000000" w:themeColor="text1"/>
          <w:sz w:val="16"/>
          <w:szCs w:val="16"/>
        </w:rPr>
        <w:t xml:space="preserve">Alta = </w:t>
      </w:r>
      <w:r>
        <w:rPr>
          <w:rFonts w:ascii="Calibri" w:hAnsi="Calibri" w:cs="Calibri"/>
          <w:color w:val="000000" w:themeColor="text1"/>
          <w:sz w:val="16"/>
          <w:szCs w:val="16"/>
        </w:rPr>
        <w:tab/>
      </w:r>
      <w:r w:rsidRPr="005843B6">
        <w:rPr>
          <w:rFonts w:ascii="Calibri" w:hAnsi="Calibri" w:cs="Calibri"/>
          <w:color w:val="000000" w:themeColor="text1"/>
          <w:sz w:val="16"/>
          <w:szCs w:val="16"/>
        </w:rPr>
        <w:t>3</w:t>
      </w:r>
    </w:p>
    <w:p w14:paraId="488979DB" w14:textId="77777777" w:rsidR="00B2451E" w:rsidRPr="005843B6" w:rsidRDefault="00B2451E" w:rsidP="00B2451E">
      <w:pPr>
        <w:ind w:left="720"/>
        <w:jc w:val="both"/>
        <w:rPr>
          <w:rFonts w:ascii="Calibri" w:hAnsi="Calibri" w:cs="Calibri"/>
          <w:color w:val="000000" w:themeColor="text1"/>
          <w:sz w:val="16"/>
          <w:szCs w:val="16"/>
        </w:rPr>
      </w:pPr>
      <w:r w:rsidRPr="005843B6">
        <w:rPr>
          <w:rFonts w:ascii="Calibri" w:hAnsi="Calibri" w:cs="Calibri"/>
          <w:color w:val="000000" w:themeColor="text1"/>
          <w:sz w:val="16"/>
          <w:szCs w:val="16"/>
        </w:rPr>
        <w:t xml:space="preserve">Media = </w:t>
      </w:r>
      <w:r>
        <w:rPr>
          <w:rFonts w:ascii="Calibri" w:hAnsi="Calibri" w:cs="Calibri"/>
          <w:color w:val="000000" w:themeColor="text1"/>
          <w:sz w:val="16"/>
          <w:szCs w:val="16"/>
        </w:rPr>
        <w:tab/>
      </w:r>
      <w:r w:rsidRPr="005843B6">
        <w:rPr>
          <w:rFonts w:ascii="Calibri" w:hAnsi="Calibri" w:cs="Calibri"/>
          <w:color w:val="000000" w:themeColor="text1"/>
          <w:sz w:val="16"/>
          <w:szCs w:val="16"/>
        </w:rPr>
        <w:t>2</w:t>
      </w:r>
    </w:p>
    <w:p w14:paraId="5D14ABA3" w14:textId="77777777" w:rsidR="00B2451E" w:rsidRPr="005843B6" w:rsidRDefault="00B2451E" w:rsidP="00B2451E">
      <w:pPr>
        <w:ind w:left="720"/>
        <w:jc w:val="both"/>
        <w:rPr>
          <w:rFonts w:ascii="Calibri" w:hAnsi="Calibri" w:cs="Calibri"/>
          <w:color w:val="000000" w:themeColor="text1"/>
          <w:sz w:val="16"/>
          <w:szCs w:val="16"/>
        </w:rPr>
      </w:pPr>
      <w:r w:rsidRPr="005843B6">
        <w:rPr>
          <w:rFonts w:ascii="Calibri" w:hAnsi="Calibri" w:cs="Calibri"/>
          <w:color w:val="000000" w:themeColor="text1"/>
          <w:sz w:val="16"/>
          <w:szCs w:val="16"/>
        </w:rPr>
        <w:t xml:space="preserve">Baja = </w:t>
      </w:r>
      <w:r>
        <w:rPr>
          <w:rFonts w:ascii="Calibri" w:hAnsi="Calibri" w:cs="Calibri"/>
          <w:color w:val="000000" w:themeColor="text1"/>
          <w:sz w:val="16"/>
          <w:szCs w:val="16"/>
        </w:rPr>
        <w:tab/>
      </w:r>
      <w:r w:rsidRPr="005843B6">
        <w:rPr>
          <w:rFonts w:ascii="Calibri" w:hAnsi="Calibri" w:cs="Calibri"/>
          <w:color w:val="000000" w:themeColor="text1"/>
          <w:sz w:val="16"/>
          <w:szCs w:val="16"/>
        </w:rPr>
        <w:t>1</w:t>
      </w:r>
    </w:p>
    <w:p w14:paraId="7D096753" w14:textId="77777777" w:rsidR="00B2451E" w:rsidRPr="005843B6" w:rsidRDefault="00B2451E" w:rsidP="00B2451E">
      <w:pPr>
        <w:numPr>
          <w:ilvl w:val="0"/>
          <w:numId w:val="3"/>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Método:</w:t>
      </w:r>
      <w:r w:rsidRPr="005843B6">
        <w:rPr>
          <w:rFonts w:ascii="Calibri" w:hAnsi="Calibri" w:cs="Calibri"/>
          <w:color w:val="000000" w:themeColor="text1"/>
          <w:sz w:val="16"/>
          <w:szCs w:val="16"/>
        </w:rPr>
        <w:t xml:space="preserve"> Se basa en datos históricos de desastres naturales que han afectado a elementos similares (por ejemplo, inundaciones que han dañado embalses) y en las condiciones geográficas/climáticas del elemento (por ejemplo, glaciares vulnerables al derretimiento por cambio climático). Esto puede involucrar análisis de riesgos naturales mediante modelos probabilísticos.</w:t>
      </w:r>
    </w:p>
    <w:p w14:paraId="6CCDD68F"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2FAD0C15"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Ejemplo:</w:t>
      </w:r>
      <w:r>
        <w:rPr>
          <w:color w:val="000000" w:themeColor="text1"/>
          <w:sz w:val="16"/>
          <w:szCs w:val="16"/>
        </w:rPr>
        <w:t xml:space="preserve"> </w:t>
      </w:r>
      <w:r w:rsidRPr="005843B6">
        <w:rPr>
          <w:color w:val="000000" w:themeColor="text1"/>
          <w:sz w:val="16"/>
          <w:szCs w:val="16"/>
        </w:rPr>
        <w:t>Para "Glaciares", el FEN es "Alta" (numérico: 3). Esto refleja su vulnerabilidad al derretimiento acelerado por cambios climáticos cíclicos, un factor crítico en regiones montañosas que alimentan ríos.</w:t>
      </w:r>
    </w:p>
    <w:p w14:paraId="1CB55D45"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Relación con las Ponderaciones:</w:t>
      </w:r>
      <w:r>
        <w:rPr>
          <w:color w:val="000000" w:themeColor="text1"/>
          <w:sz w:val="16"/>
          <w:szCs w:val="16"/>
        </w:rPr>
        <w:t xml:space="preserve"> </w:t>
      </w:r>
      <w:r w:rsidRPr="005843B6">
        <w:rPr>
          <w:color w:val="000000" w:themeColor="text1"/>
          <w:sz w:val="16"/>
          <w:szCs w:val="16"/>
        </w:rPr>
        <w:t>El FEN no tiene una ponderación directa, pero contribuye al cálculo del FVT (Factor de Vulnerabilidad Total), que a su vez influye en el PF (Ponderación Final) y el IRMD. Indirectamente, puede estar relacionado con métricas globales que ponderan la importancia estratégica de un país, ya que la pérdida de elementos clave debido a desastres naturales afecta su estabilidad.</w:t>
      </w:r>
    </w:p>
    <w:p w14:paraId="74C7D929"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31E2E378"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Fuentes de Datos:</w:t>
      </w:r>
    </w:p>
    <w:p w14:paraId="683D49E2" w14:textId="77777777" w:rsidR="00B2451E" w:rsidRPr="005843B6" w:rsidRDefault="00B2451E" w:rsidP="00B2451E">
      <w:pPr>
        <w:numPr>
          <w:ilvl w:val="0"/>
          <w:numId w:val="4"/>
        </w:numPr>
        <w:jc w:val="both"/>
        <w:rPr>
          <w:rFonts w:ascii="Calibri" w:hAnsi="Calibri" w:cs="Calibri"/>
          <w:color w:val="000000" w:themeColor="text1"/>
          <w:sz w:val="16"/>
          <w:szCs w:val="16"/>
        </w:rPr>
      </w:pPr>
      <w:hyperlink r:id="rId9"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Risk</w:t>
        </w:r>
        <w:proofErr w:type="spellEnd"/>
        <w:r w:rsidRPr="005843B6">
          <w:rPr>
            <w:rStyle w:val="Hipervnculo"/>
            <w:rFonts w:ascii="Calibri" w:eastAsiaTheme="majorEastAsia" w:hAnsi="Calibri" w:cs="Calibri"/>
            <w:color w:val="000000" w:themeColor="text1"/>
            <w:sz w:val="16"/>
            <w:szCs w:val="16"/>
          </w:rPr>
          <w:t xml:space="preserve"> Data </w:t>
        </w:r>
        <w:proofErr w:type="spellStart"/>
        <w:r w:rsidRPr="005843B6">
          <w:rPr>
            <w:rStyle w:val="Hipervnculo"/>
            <w:rFonts w:ascii="Calibri" w:eastAsiaTheme="majorEastAsia" w:hAnsi="Calibri" w:cs="Calibri"/>
            <w:color w:val="000000" w:themeColor="text1"/>
            <w:sz w:val="16"/>
            <w:szCs w:val="16"/>
          </w:rPr>
          <w:t>Platform</w:t>
        </w:r>
        <w:proofErr w:type="spellEnd"/>
        <w:r w:rsidRPr="005843B6">
          <w:rPr>
            <w:rStyle w:val="Hipervnculo"/>
            <w:rFonts w:ascii="Calibri" w:eastAsiaTheme="majorEastAsia" w:hAnsi="Calibri" w:cs="Calibri"/>
            <w:color w:val="000000" w:themeColor="text1"/>
            <w:sz w:val="16"/>
            <w:szCs w:val="16"/>
          </w:rPr>
          <w:t xml:space="preserve"> - UNEP</w:t>
        </w:r>
      </w:hyperlink>
      <w:r w:rsidRPr="005843B6">
        <w:rPr>
          <w:rFonts w:ascii="Calibri" w:hAnsi="Calibri" w:cs="Calibri"/>
          <w:color w:val="000000" w:themeColor="text1"/>
          <w:sz w:val="16"/>
          <w:szCs w:val="16"/>
        </w:rPr>
        <w:t>: La Plataforma de Datos de Riesgo Global del Programa de las Naciones Unidas para el Medio Ambiente (UNEP) proporciona datos históricos y modelos probabilísticos sobre desastres naturales, útiles para determinar el FEN.</w:t>
      </w:r>
    </w:p>
    <w:p w14:paraId="12485465" w14:textId="77777777" w:rsidR="00B2451E" w:rsidRPr="005843B6" w:rsidRDefault="00B2451E" w:rsidP="00B2451E">
      <w:pPr>
        <w:numPr>
          <w:ilvl w:val="0"/>
          <w:numId w:val="4"/>
        </w:numPr>
        <w:jc w:val="both"/>
        <w:rPr>
          <w:rFonts w:ascii="Calibri" w:hAnsi="Calibri" w:cs="Calibri"/>
          <w:color w:val="000000" w:themeColor="text1"/>
          <w:sz w:val="16"/>
          <w:szCs w:val="16"/>
        </w:rPr>
      </w:pPr>
      <w:hyperlink r:id="rId10" w:tgtFrame="_blank" w:history="1">
        <w:proofErr w:type="spellStart"/>
        <w:r w:rsidRPr="005843B6">
          <w:rPr>
            <w:rStyle w:val="Hipervnculo"/>
            <w:rFonts w:ascii="Calibri" w:eastAsiaTheme="majorEastAsia" w:hAnsi="Calibri" w:cs="Calibri"/>
            <w:color w:val="000000" w:themeColor="text1"/>
            <w:sz w:val="16"/>
            <w:szCs w:val="16"/>
          </w:rPr>
          <w:t>World</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Risk</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Report</w:t>
        </w:r>
        <w:proofErr w:type="spellEnd"/>
        <w:r w:rsidRPr="005843B6">
          <w:rPr>
            <w:rStyle w:val="Hipervnculo"/>
            <w:rFonts w:ascii="Calibri" w:eastAsiaTheme="majorEastAsia" w:hAnsi="Calibri" w:cs="Calibri"/>
            <w:color w:val="000000" w:themeColor="text1"/>
            <w:sz w:val="16"/>
            <w:szCs w:val="16"/>
          </w:rPr>
          <w:t xml:space="preserve"> 2023 - </w:t>
        </w:r>
        <w:proofErr w:type="spellStart"/>
        <w:r w:rsidRPr="005843B6">
          <w:rPr>
            <w:rStyle w:val="Hipervnculo"/>
            <w:rFonts w:ascii="Calibri" w:eastAsiaTheme="majorEastAsia" w:hAnsi="Calibri" w:cs="Calibri"/>
            <w:color w:val="000000" w:themeColor="text1"/>
            <w:sz w:val="16"/>
            <w:szCs w:val="16"/>
          </w:rPr>
          <w:t>Bündnis</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Entwicklung</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Hilft</w:t>
        </w:r>
        <w:proofErr w:type="spellEnd"/>
      </w:hyperlink>
      <w:r w:rsidRPr="005843B6">
        <w:rPr>
          <w:rFonts w:ascii="Calibri" w:hAnsi="Calibri" w:cs="Calibri"/>
          <w:color w:val="000000" w:themeColor="text1"/>
          <w:sz w:val="16"/>
          <w:szCs w:val="16"/>
        </w:rPr>
        <w:t>: Este informe ofrece índices de riesgo por desastres naturales, que pueden usarse para clasificar la fragilidad de elementos en diferentes regiones.</w:t>
      </w:r>
    </w:p>
    <w:p w14:paraId="7BDA72BE" w14:textId="77777777" w:rsidR="00B2451E" w:rsidRPr="005843B6" w:rsidRDefault="00300068" w:rsidP="00B2451E">
      <w:pPr>
        <w:jc w:val="both"/>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023EEFF5">
          <v:rect id="_x0000_i1035" alt="" style="width:441.9pt;height:.05pt;mso-width-percent:0;mso-height-percent:0;mso-width-percent:0;mso-height-percent:0" o:hralign="center" o:hrstd="t" o:hr="t" fillcolor="#a0a0a0" stroked="f"/>
        </w:pict>
      </w:r>
    </w:p>
    <w:p w14:paraId="0670CAE1" w14:textId="77777777" w:rsidR="00B2451E" w:rsidRPr="005843B6" w:rsidRDefault="00B2451E" w:rsidP="00B2451E">
      <w:pPr>
        <w:pStyle w:val="TtulosVariable"/>
      </w:pPr>
      <w:r w:rsidRPr="005843B6">
        <w:lastRenderedPageBreak/>
        <w:t>5. Fragilidad ante Ataques No Convencionales (FANC)</w:t>
      </w:r>
    </w:p>
    <w:p w14:paraId="3023C3ED"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672018B0"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Significado:</w:t>
      </w:r>
      <w:r>
        <w:rPr>
          <w:color w:val="000000" w:themeColor="text1"/>
          <w:sz w:val="16"/>
          <w:szCs w:val="16"/>
        </w:rPr>
        <w:t xml:space="preserve"> </w:t>
      </w:r>
      <w:r w:rsidRPr="005843B6">
        <w:rPr>
          <w:color w:val="000000" w:themeColor="text1"/>
          <w:sz w:val="16"/>
          <w:szCs w:val="16"/>
        </w:rPr>
        <w:t xml:space="preserve">Evalúa la vulnerabilidad del elemento a ataques intencionales no convencionales, como </w:t>
      </w:r>
      <w:proofErr w:type="spellStart"/>
      <w:r w:rsidRPr="005843B6">
        <w:rPr>
          <w:color w:val="000000" w:themeColor="text1"/>
          <w:sz w:val="16"/>
          <w:szCs w:val="16"/>
        </w:rPr>
        <w:t>bioataques</w:t>
      </w:r>
      <w:proofErr w:type="spellEnd"/>
      <w:r w:rsidRPr="005843B6">
        <w:rPr>
          <w:color w:val="000000" w:themeColor="text1"/>
          <w:sz w:val="16"/>
          <w:szCs w:val="16"/>
        </w:rPr>
        <w:t>, sabotaje con explosivos o gas. Esto incluye amenazas como ciberataques, terrorismo o sabotaje físico, que son comunes en contextos de conflicto o tensiones geopolíticas.</w:t>
      </w:r>
    </w:p>
    <w:p w14:paraId="555FFD9D"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Cómo se Calcula:</w:t>
      </w:r>
    </w:p>
    <w:p w14:paraId="5E915C88" w14:textId="77777777" w:rsidR="00B2451E" w:rsidRPr="005843B6" w:rsidRDefault="00B2451E" w:rsidP="00B2451E">
      <w:pPr>
        <w:numPr>
          <w:ilvl w:val="0"/>
          <w:numId w:val="5"/>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Escala Cualitativa:</w:t>
      </w:r>
      <w:r w:rsidRPr="005843B6">
        <w:rPr>
          <w:rFonts w:ascii="Calibri" w:hAnsi="Calibri" w:cs="Calibri"/>
          <w:color w:val="000000" w:themeColor="text1"/>
          <w:sz w:val="16"/>
          <w:szCs w:val="16"/>
        </w:rPr>
        <w:t xml:space="preserve"> Alta, Media, Baja.</w:t>
      </w:r>
    </w:p>
    <w:p w14:paraId="0997A7D9" w14:textId="77777777" w:rsidR="00B2451E" w:rsidRPr="005843B6" w:rsidRDefault="00B2451E" w:rsidP="00B2451E">
      <w:pPr>
        <w:numPr>
          <w:ilvl w:val="0"/>
          <w:numId w:val="5"/>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Conversión Numérica:</w:t>
      </w:r>
      <w:r w:rsidRPr="005843B6">
        <w:rPr>
          <w:rFonts w:ascii="Calibri" w:hAnsi="Calibri" w:cs="Calibri"/>
          <w:color w:val="000000" w:themeColor="text1"/>
          <w:sz w:val="16"/>
          <w:szCs w:val="16"/>
        </w:rPr>
        <w:t xml:space="preserve"> </w:t>
      </w:r>
    </w:p>
    <w:p w14:paraId="1A0EEC87" w14:textId="77777777" w:rsidR="00B2451E" w:rsidRPr="005843B6" w:rsidRDefault="00B2451E" w:rsidP="00B2451E">
      <w:pPr>
        <w:ind w:left="720"/>
        <w:jc w:val="both"/>
        <w:rPr>
          <w:rFonts w:ascii="Calibri" w:hAnsi="Calibri" w:cs="Calibri"/>
          <w:color w:val="000000" w:themeColor="text1"/>
          <w:sz w:val="16"/>
          <w:szCs w:val="16"/>
        </w:rPr>
      </w:pPr>
      <w:r w:rsidRPr="005843B6">
        <w:rPr>
          <w:rFonts w:ascii="Calibri" w:hAnsi="Calibri" w:cs="Calibri"/>
          <w:color w:val="000000" w:themeColor="text1"/>
          <w:sz w:val="16"/>
          <w:szCs w:val="16"/>
        </w:rPr>
        <w:t xml:space="preserve">Alta = </w:t>
      </w:r>
      <w:r>
        <w:rPr>
          <w:rFonts w:ascii="Calibri" w:hAnsi="Calibri" w:cs="Calibri"/>
          <w:color w:val="000000" w:themeColor="text1"/>
          <w:sz w:val="16"/>
          <w:szCs w:val="16"/>
        </w:rPr>
        <w:tab/>
      </w:r>
      <w:r w:rsidRPr="005843B6">
        <w:rPr>
          <w:rFonts w:ascii="Calibri" w:hAnsi="Calibri" w:cs="Calibri"/>
          <w:color w:val="000000" w:themeColor="text1"/>
          <w:sz w:val="16"/>
          <w:szCs w:val="16"/>
        </w:rPr>
        <w:t>3</w:t>
      </w:r>
    </w:p>
    <w:p w14:paraId="4994AF77" w14:textId="77777777" w:rsidR="00B2451E" w:rsidRPr="005843B6" w:rsidRDefault="00B2451E" w:rsidP="00B2451E">
      <w:pPr>
        <w:ind w:left="720"/>
        <w:jc w:val="both"/>
        <w:rPr>
          <w:rFonts w:ascii="Calibri" w:hAnsi="Calibri" w:cs="Calibri"/>
          <w:color w:val="000000" w:themeColor="text1"/>
          <w:sz w:val="16"/>
          <w:szCs w:val="16"/>
        </w:rPr>
      </w:pPr>
      <w:r w:rsidRPr="005843B6">
        <w:rPr>
          <w:rFonts w:ascii="Calibri" w:hAnsi="Calibri" w:cs="Calibri"/>
          <w:color w:val="000000" w:themeColor="text1"/>
          <w:sz w:val="16"/>
          <w:szCs w:val="16"/>
        </w:rPr>
        <w:t xml:space="preserve">Media = </w:t>
      </w:r>
      <w:r>
        <w:rPr>
          <w:rFonts w:ascii="Calibri" w:hAnsi="Calibri" w:cs="Calibri"/>
          <w:color w:val="000000" w:themeColor="text1"/>
          <w:sz w:val="16"/>
          <w:szCs w:val="16"/>
        </w:rPr>
        <w:tab/>
      </w:r>
      <w:r w:rsidRPr="005843B6">
        <w:rPr>
          <w:rFonts w:ascii="Calibri" w:hAnsi="Calibri" w:cs="Calibri"/>
          <w:color w:val="000000" w:themeColor="text1"/>
          <w:sz w:val="16"/>
          <w:szCs w:val="16"/>
        </w:rPr>
        <w:t>2</w:t>
      </w:r>
    </w:p>
    <w:p w14:paraId="681C3973" w14:textId="77777777" w:rsidR="00B2451E" w:rsidRPr="005843B6" w:rsidRDefault="00B2451E" w:rsidP="00B2451E">
      <w:pPr>
        <w:ind w:left="720"/>
        <w:jc w:val="both"/>
        <w:rPr>
          <w:rFonts w:ascii="Calibri" w:hAnsi="Calibri" w:cs="Calibri"/>
          <w:color w:val="000000" w:themeColor="text1"/>
          <w:sz w:val="16"/>
          <w:szCs w:val="16"/>
        </w:rPr>
      </w:pPr>
      <w:r w:rsidRPr="005843B6">
        <w:rPr>
          <w:rFonts w:ascii="Calibri" w:hAnsi="Calibri" w:cs="Calibri"/>
          <w:color w:val="000000" w:themeColor="text1"/>
          <w:sz w:val="16"/>
          <w:szCs w:val="16"/>
        </w:rPr>
        <w:t xml:space="preserve">Baja = </w:t>
      </w:r>
      <w:r>
        <w:rPr>
          <w:rFonts w:ascii="Calibri" w:hAnsi="Calibri" w:cs="Calibri"/>
          <w:color w:val="000000" w:themeColor="text1"/>
          <w:sz w:val="16"/>
          <w:szCs w:val="16"/>
        </w:rPr>
        <w:tab/>
      </w:r>
      <w:r w:rsidRPr="005843B6">
        <w:rPr>
          <w:rFonts w:ascii="Calibri" w:hAnsi="Calibri" w:cs="Calibri"/>
          <w:color w:val="000000" w:themeColor="text1"/>
          <w:sz w:val="16"/>
          <w:szCs w:val="16"/>
        </w:rPr>
        <w:t>1</w:t>
      </w:r>
    </w:p>
    <w:p w14:paraId="1DD4ED16" w14:textId="77777777" w:rsidR="00B2451E" w:rsidRPr="005843B6" w:rsidRDefault="00B2451E" w:rsidP="00B2451E">
      <w:pPr>
        <w:numPr>
          <w:ilvl w:val="0"/>
          <w:numId w:val="5"/>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Método:</w:t>
      </w:r>
      <w:r w:rsidRPr="005843B6">
        <w:rPr>
          <w:rFonts w:ascii="Calibri" w:hAnsi="Calibri" w:cs="Calibri"/>
          <w:color w:val="000000" w:themeColor="text1"/>
          <w:sz w:val="16"/>
          <w:szCs w:val="16"/>
        </w:rPr>
        <w:t xml:space="preserve"> Se basa en la evaluación de las capacidades de actores maliciosos para realizar ataques no convencionales, el historial de incidentes similares (por ejemplo, sabotajes a infraestructuras críticas), y la relevancia estratégica del elemento como objetivo potencial (por ejemplo, presas o centros de datos).</w:t>
      </w:r>
    </w:p>
    <w:p w14:paraId="0C982595"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Ejemplo:</w:t>
      </w:r>
      <w:r>
        <w:rPr>
          <w:color w:val="000000" w:themeColor="text1"/>
          <w:sz w:val="16"/>
          <w:szCs w:val="16"/>
        </w:rPr>
        <w:t xml:space="preserve"> </w:t>
      </w:r>
      <w:r w:rsidRPr="005843B6">
        <w:rPr>
          <w:color w:val="000000" w:themeColor="text1"/>
          <w:sz w:val="16"/>
          <w:szCs w:val="16"/>
        </w:rPr>
        <w:t>Para "Centros de Datos", el FANC es "Alta" (numérico: 3). Esto refleja su exposición a ciberataques, que son una táctica común en conflictos modernos, y su importancia como objetivo para interrumpir comunicaciones o servicios digitales.</w:t>
      </w:r>
    </w:p>
    <w:p w14:paraId="43E68EA2"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Relación con las Ponderaciones:</w:t>
      </w:r>
      <w:r>
        <w:rPr>
          <w:color w:val="000000" w:themeColor="text1"/>
          <w:sz w:val="16"/>
          <w:szCs w:val="16"/>
        </w:rPr>
        <w:t xml:space="preserve"> </w:t>
      </w:r>
      <w:r w:rsidRPr="005843B6">
        <w:rPr>
          <w:color w:val="000000" w:themeColor="text1"/>
          <w:sz w:val="16"/>
          <w:szCs w:val="16"/>
        </w:rPr>
        <w:t>El FANC está influenciado por ponderaciones que priorizan las capacidades militares (como CAMO=0.25, que mide la capacidad de realizar ataques no convencionales). Su valor contribuye al FVT y, por ende, al análisis general de riesgos.</w:t>
      </w:r>
    </w:p>
    <w:p w14:paraId="7EFABDF5"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Fuentes de Datos:</w:t>
      </w:r>
    </w:p>
    <w:p w14:paraId="7456496D" w14:textId="77777777" w:rsidR="00B2451E" w:rsidRPr="005843B6" w:rsidRDefault="00B2451E" w:rsidP="00B2451E">
      <w:pPr>
        <w:numPr>
          <w:ilvl w:val="0"/>
          <w:numId w:val="6"/>
        </w:numPr>
        <w:jc w:val="both"/>
        <w:rPr>
          <w:rFonts w:ascii="Calibri" w:hAnsi="Calibri" w:cs="Calibri"/>
          <w:color w:val="000000" w:themeColor="text1"/>
          <w:sz w:val="16"/>
          <w:szCs w:val="16"/>
        </w:rPr>
      </w:pPr>
      <w:hyperlink r:id="rId11"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Terrorism</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Database</w:t>
        </w:r>
        <w:proofErr w:type="spellEnd"/>
        <w:r w:rsidRPr="005843B6">
          <w:rPr>
            <w:rStyle w:val="Hipervnculo"/>
            <w:rFonts w:ascii="Calibri" w:eastAsiaTheme="majorEastAsia" w:hAnsi="Calibri" w:cs="Calibri"/>
            <w:color w:val="000000" w:themeColor="text1"/>
            <w:sz w:val="16"/>
            <w:szCs w:val="16"/>
          </w:rPr>
          <w:t xml:space="preserve"> - START</w:t>
        </w:r>
      </w:hyperlink>
      <w:r w:rsidRPr="005843B6">
        <w:rPr>
          <w:rFonts w:ascii="Calibri" w:hAnsi="Calibri" w:cs="Calibri"/>
          <w:color w:val="000000" w:themeColor="text1"/>
          <w:sz w:val="16"/>
          <w:szCs w:val="16"/>
        </w:rPr>
        <w:t>: La Base de Datos Global sobre Terrorismo (GTD) del Consorcio Nacional para el Estudio del Terrorismo y Respuestas al Terrorismo (START) proporciona datos históricos sobre ataques terroristas y sabotajes, útiles para evaluar el FANC.</w:t>
      </w:r>
    </w:p>
    <w:p w14:paraId="2D4BCA51" w14:textId="77777777" w:rsidR="00B2451E" w:rsidRPr="005843B6" w:rsidRDefault="00B2451E" w:rsidP="00B2451E">
      <w:pPr>
        <w:numPr>
          <w:ilvl w:val="0"/>
          <w:numId w:val="6"/>
        </w:numPr>
        <w:jc w:val="both"/>
        <w:rPr>
          <w:rFonts w:ascii="Calibri" w:hAnsi="Calibri" w:cs="Calibri"/>
          <w:color w:val="000000" w:themeColor="text1"/>
          <w:sz w:val="16"/>
          <w:szCs w:val="16"/>
        </w:rPr>
      </w:pPr>
      <w:hyperlink r:id="rId12" w:tgtFrame="_blank" w:history="1">
        <w:proofErr w:type="spellStart"/>
        <w:r w:rsidRPr="005843B6">
          <w:rPr>
            <w:rStyle w:val="Hipervnculo"/>
            <w:rFonts w:ascii="Calibri" w:eastAsiaTheme="majorEastAsia" w:hAnsi="Calibri" w:cs="Calibri"/>
            <w:color w:val="000000" w:themeColor="text1"/>
            <w:sz w:val="16"/>
            <w:szCs w:val="16"/>
          </w:rPr>
          <w:t>Cybersecurity</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Threat</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Landscape</w:t>
        </w:r>
        <w:proofErr w:type="spellEnd"/>
        <w:r w:rsidRPr="005843B6">
          <w:rPr>
            <w:rStyle w:val="Hipervnculo"/>
            <w:rFonts w:ascii="Calibri" w:eastAsiaTheme="majorEastAsia" w:hAnsi="Calibri" w:cs="Calibri"/>
            <w:color w:val="000000" w:themeColor="text1"/>
            <w:sz w:val="16"/>
            <w:szCs w:val="16"/>
          </w:rPr>
          <w:t xml:space="preserve"> - ENISA</w:t>
        </w:r>
      </w:hyperlink>
      <w:r w:rsidRPr="005843B6">
        <w:rPr>
          <w:rFonts w:ascii="Calibri" w:hAnsi="Calibri" w:cs="Calibri"/>
          <w:color w:val="000000" w:themeColor="text1"/>
          <w:sz w:val="16"/>
          <w:szCs w:val="16"/>
        </w:rPr>
        <w:t>: La Agencia de la Unión Europea para la Ciberseguridad (ENISA) publica informes sobre amenazas cibernéticas, que ayudan a determinar la vulnerabilidad de elementos tecnológicos a ciberataques.</w:t>
      </w:r>
    </w:p>
    <w:p w14:paraId="4F9D58AC" w14:textId="77777777" w:rsidR="00B2451E" w:rsidRPr="005843B6" w:rsidRDefault="00300068" w:rsidP="00B2451E">
      <w:pPr>
        <w:jc w:val="both"/>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2B5ADBB8">
          <v:rect id="_x0000_i1034" alt="" style="width:441.9pt;height:.05pt;mso-width-percent:0;mso-height-percent:0;mso-width-percent:0;mso-height-percent:0" o:hralign="center" o:hrstd="t" o:hr="t" fillcolor="#a0a0a0" stroked="f"/>
        </w:pict>
      </w:r>
    </w:p>
    <w:p w14:paraId="625F90C1" w14:textId="77777777" w:rsidR="00B2451E" w:rsidRPr="005843B6" w:rsidRDefault="00B2451E" w:rsidP="00B2451E">
      <w:pPr>
        <w:pStyle w:val="TtulosVariable"/>
      </w:pPr>
      <w:r w:rsidRPr="005843B6">
        <w:t>6. Importancia Base (IB)</w:t>
      </w:r>
    </w:p>
    <w:p w14:paraId="074126E4"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697DA615"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Significado:</w:t>
      </w:r>
      <w:r>
        <w:rPr>
          <w:color w:val="000000" w:themeColor="text1"/>
          <w:sz w:val="16"/>
          <w:szCs w:val="16"/>
        </w:rPr>
        <w:t xml:space="preserve"> </w:t>
      </w:r>
      <w:r w:rsidRPr="005843B6">
        <w:rPr>
          <w:color w:val="000000" w:themeColor="text1"/>
          <w:sz w:val="16"/>
          <w:szCs w:val="16"/>
        </w:rPr>
        <w:t>Mide la relevancia del elemento para la estabilidad social y económica de un país o región. Un IB alto indica que el elemento es crucial para la seguridad, economía o bienestar social (por ejemplo, presas que controlan el suministro de agua o reactores nucleares que proveen energía).</w:t>
      </w:r>
    </w:p>
    <w:p w14:paraId="145968BF"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Cómo se Calcula:</w:t>
      </w:r>
    </w:p>
    <w:p w14:paraId="45141731" w14:textId="77777777" w:rsidR="00B2451E" w:rsidRPr="005843B6" w:rsidRDefault="00B2451E" w:rsidP="00B2451E">
      <w:pPr>
        <w:numPr>
          <w:ilvl w:val="0"/>
          <w:numId w:val="7"/>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Escala Numérica:</w:t>
      </w:r>
      <w:r w:rsidRPr="005843B6">
        <w:rPr>
          <w:rFonts w:ascii="Calibri" w:hAnsi="Calibri" w:cs="Calibri"/>
          <w:color w:val="000000" w:themeColor="text1"/>
          <w:sz w:val="16"/>
          <w:szCs w:val="16"/>
        </w:rPr>
        <w:t xml:space="preserve"> De 0 a 1, donde 1 indica máxima importancia y 0 indica ninguna.</w:t>
      </w:r>
    </w:p>
    <w:p w14:paraId="2ECA884C" w14:textId="77777777" w:rsidR="00B2451E" w:rsidRPr="005843B6" w:rsidRDefault="00B2451E" w:rsidP="00B2451E">
      <w:pPr>
        <w:numPr>
          <w:ilvl w:val="0"/>
          <w:numId w:val="7"/>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Método:</w:t>
      </w:r>
      <w:r w:rsidRPr="005843B6">
        <w:rPr>
          <w:rFonts w:ascii="Calibri" w:hAnsi="Calibri" w:cs="Calibri"/>
          <w:color w:val="000000" w:themeColor="text1"/>
          <w:sz w:val="16"/>
          <w:szCs w:val="16"/>
        </w:rPr>
        <w:t xml:space="preserve"> Se asigna un valor basado en criterios cualitativos y cuantitativos, como el impacto económico de su pérdida (por ejemplo, costo de reemplazo), su rol en la seguridad nacional (por ejemplo, infraestructura militar), y su dependencia social (por ejemplo, suministro de agua potable). Esto puede involucrar evaluaciones de expertos o modelos de análisis de impacto.</w:t>
      </w:r>
    </w:p>
    <w:p w14:paraId="2ADB88C1"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Ejemplo:</w:t>
      </w:r>
      <w:r>
        <w:rPr>
          <w:color w:val="000000" w:themeColor="text1"/>
          <w:sz w:val="16"/>
          <w:szCs w:val="16"/>
        </w:rPr>
        <w:t xml:space="preserve"> </w:t>
      </w:r>
      <w:r w:rsidRPr="005843B6">
        <w:rPr>
          <w:color w:val="000000" w:themeColor="text1"/>
          <w:sz w:val="16"/>
          <w:szCs w:val="16"/>
        </w:rPr>
        <w:t>Para "Estructuras de Presas", el IB es 0.95. Esto refleja su importancia crítica para el suministro de agua y la generación de energía, que son fundamentales para la estabilidad económica y social.</w:t>
      </w:r>
    </w:p>
    <w:p w14:paraId="431A0FFB"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Relación con las Ponderaciones:</w:t>
      </w:r>
      <w:r>
        <w:rPr>
          <w:color w:val="000000" w:themeColor="text1"/>
          <w:sz w:val="16"/>
          <w:szCs w:val="16"/>
        </w:rPr>
        <w:t xml:space="preserve"> </w:t>
      </w:r>
      <w:r w:rsidRPr="005843B6">
        <w:rPr>
          <w:color w:val="000000" w:themeColor="text1"/>
          <w:sz w:val="16"/>
          <w:szCs w:val="16"/>
        </w:rPr>
        <w:t>El IB está relacionado con métricas globales que miden el poder nacional (como PNT=0.1, que evalúa la "fuerza real" de un país). Un IB alto incrementa el PF, ya que la fórmula del PF incluye el IB directamente.</w:t>
      </w:r>
    </w:p>
    <w:p w14:paraId="59E3EF0B"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Fuentes de Datos:</w:t>
      </w:r>
    </w:p>
    <w:p w14:paraId="18565130" w14:textId="77777777" w:rsidR="00B2451E" w:rsidRPr="005843B6" w:rsidRDefault="00B2451E" w:rsidP="00B2451E">
      <w:pPr>
        <w:numPr>
          <w:ilvl w:val="0"/>
          <w:numId w:val="8"/>
        </w:numPr>
        <w:jc w:val="both"/>
        <w:rPr>
          <w:rFonts w:ascii="Calibri" w:hAnsi="Calibri" w:cs="Calibri"/>
          <w:color w:val="000000" w:themeColor="text1"/>
          <w:sz w:val="16"/>
          <w:szCs w:val="16"/>
        </w:rPr>
      </w:pPr>
      <w:hyperlink r:id="rId13" w:tgtFrame="_blank" w:history="1">
        <w:proofErr w:type="spellStart"/>
        <w:r w:rsidRPr="005843B6">
          <w:rPr>
            <w:rStyle w:val="Hipervnculo"/>
            <w:rFonts w:ascii="Calibri" w:eastAsiaTheme="majorEastAsia" w:hAnsi="Calibri" w:cs="Calibri"/>
            <w:color w:val="000000" w:themeColor="text1"/>
            <w:sz w:val="16"/>
            <w:szCs w:val="16"/>
          </w:rPr>
          <w:t>Infrastructure</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Report</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Card</w:t>
        </w:r>
        <w:proofErr w:type="spellEnd"/>
        <w:r w:rsidRPr="005843B6">
          <w:rPr>
            <w:rStyle w:val="Hipervnculo"/>
            <w:rFonts w:ascii="Calibri" w:eastAsiaTheme="majorEastAsia" w:hAnsi="Calibri" w:cs="Calibri"/>
            <w:color w:val="000000" w:themeColor="text1"/>
            <w:sz w:val="16"/>
            <w:szCs w:val="16"/>
          </w:rPr>
          <w:t xml:space="preserve"> - ASCE</w:t>
        </w:r>
      </w:hyperlink>
      <w:r w:rsidRPr="005843B6">
        <w:rPr>
          <w:rFonts w:ascii="Calibri" w:hAnsi="Calibri" w:cs="Calibri"/>
          <w:color w:val="000000" w:themeColor="text1"/>
          <w:sz w:val="16"/>
          <w:szCs w:val="16"/>
        </w:rPr>
        <w:t>: La Sociedad Estadounidense de Ingenieros Civiles (ASCE) publica informes que evalúan la importancia de la infraestructura para la economía y la sociedad, útiles para asignar valores de IB.</w:t>
      </w:r>
    </w:p>
    <w:p w14:paraId="42757042" w14:textId="77777777" w:rsidR="00B2451E" w:rsidRPr="005843B6" w:rsidRDefault="00B2451E" w:rsidP="00B2451E">
      <w:pPr>
        <w:numPr>
          <w:ilvl w:val="0"/>
          <w:numId w:val="8"/>
        </w:numPr>
        <w:jc w:val="both"/>
        <w:rPr>
          <w:rFonts w:ascii="Calibri" w:hAnsi="Calibri" w:cs="Calibri"/>
          <w:color w:val="000000" w:themeColor="text1"/>
          <w:sz w:val="16"/>
          <w:szCs w:val="16"/>
        </w:rPr>
      </w:pPr>
      <w:hyperlink r:id="rId14"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Infrastructure</w:t>
        </w:r>
        <w:proofErr w:type="spellEnd"/>
        <w:r w:rsidRPr="005843B6">
          <w:rPr>
            <w:rStyle w:val="Hipervnculo"/>
            <w:rFonts w:ascii="Calibri" w:eastAsiaTheme="majorEastAsia" w:hAnsi="Calibri" w:cs="Calibri"/>
            <w:color w:val="000000" w:themeColor="text1"/>
            <w:sz w:val="16"/>
            <w:szCs w:val="16"/>
          </w:rPr>
          <w:t xml:space="preserve"> Outlook - GIH</w:t>
        </w:r>
      </w:hyperlink>
      <w:r w:rsidRPr="005843B6">
        <w:rPr>
          <w:rFonts w:ascii="Calibri" w:hAnsi="Calibri" w:cs="Calibri"/>
          <w:color w:val="000000" w:themeColor="text1"/>
          <w:sz w:val="16"/>
          <w:szCs w:val="16"/>
        </w:rPr>
        <w:t xml:space="preserve">: El Global </w:t>
      </w:r>
      <w:proofErr w:type="spellStart"/>
      <w:r w:rsidRPr="005843B6">
        <w:rPr>
          <w:rFonts w:ascii="Calibri" w:hAnsi="Calibri" w:cs="Calibri"/>
          <w:color w:val="000000" w:themeColor="text1"/>
          <w:sz w:val="16"/>
          <w:szCs w:val="16"/>
        </w:rPr>
        <w:t>Infrastructure</w:t>
      </w:r>
      <w:proofErr w:type="spellEnd"/>
      <w:r w:rsidRPr="005843B6">
        <w:rPr>
          <w:rFonts w:ascii="Calibri" w:hAnsi="Calibri" w:cs="Calibri"/>
          <w:color w:val="000000" w:themeColor="text1"/>
          <w:sz w:val="16"/>
          <w:szCs w:val="16"/>
        </w:rPr>
        <w:t xml:space="preserve"> Hub (GIH) proporciona datos sobre la importancia económica de diferentes tipos de infraestructura a nivel global.</w:t>
      </w:r>
    </w:p>
    <w:p w14:paraId="2E607B4E" w14:textId="77777777" w:rsidR="00B2451E" w:rsidRPr="005843B6" w:rsidRDefault="00300068" w:rsidP="00B2451E">
      <w:pPr>
        <w:jc w:val="both"/>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45B23C26">
          <v:rect id="_x0000_i1033" alt="" style="width:441.9pt;height:.05pt;mso-width-percent:0;mso-height-percent:0;mso-width-percent:0;mso-height-percent:0" o:hralign="center" o:hrstd="t" o:hr="t" fillcolor="#a0a0a0" stroked="f"/>
        </w:pict>
      </w:r>
    </w:p>
    <w:p w14:paraId="46672552" w14:textId="77777777" w:rsidR="00B2451E" w:rsidRPr="005843B6" w:rsidRDefault="00B2451E" w:rsidP="00B2451E">
      <w:pPr>
        <w:pStyle w:val="TtulosVariable"/>
      </w:pPr>
      <w:r w:rsidRPr="005843B6">
        <w:t>7. Vulnerabilidad Tecnológica (VT)</w:t>
      </w:r>
    </w:p>
    <w:p w14:paraId="7E0F874A"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34C60D2E"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Significado:</w:t>
      </w:r>
      <w:r>
        <w:rPr>
          <w:color w:val="000000" w:themeColor="text1"/>
          <w:sz w:val="16"/>
          <w:szCs w:val="16"/>
        </w:rPr>
        <w:t xml:space="preserve"> </w:t>
      </w:r>
      <w:r w:rsidRPr="005843B6">
        <w:rPr>
          <w:color w:val="000000" w:themeColor="text1"/>
          <w:sz w:val="16"/>
          <w:szCs w:val="16"/>
        </w:rPr>
        <w:t>Evalúa la dependencia del elemento de la tecnología y su exposición a fallos o ataques tecnológicos, como ciberataques, fallos de software o interrupciones de hardware. Esto es crítico en un mundo donde la infraestructura depende cada vez más de sistemas digitales.</w:t>
      </w:r>
    </w:p>
    <w:p w14:paraId="2CF47BBF"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3A3C26A7"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Cómo se Calcula:</w:t>
      </w:r>
    </w:p>
    <w:p w14:paraId="30A3AD76" w14:textId="77777777" w:rsidR="00B2451E" w:rsidRPr="005843B6" w:rsidRDefault="00B2451E" w:rsidP="00B2451E">
      <w:pPr>
        <w:numPr>
          <w:ilvl w:val="0"/>
          <w:numId w:val="9"/>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Escala Numérica:</w:t>
      </w:r>
      <w:r w:rsidRPr="005843B6">
        <w:rPr>
          <w:rFonts w:ascii="Calibri" w:hAnsi="Calibri" w:cs="Calibri"/>
          <w:color w:val="000000" w:themeColor="text1"/>
          <w:sz w:val="16"/>
          <w:szCs w:val="16"/>
        </w:rPr>
        <w:t xml:space="preserve"> De 0 a 1, donde 1 indica máxima vulnerabilidad tecnológica y 0 indica ninguna.</w:t>
      </w:r>
    </w:p>
    <w:p w14:paraId="124244B6" w14:textId="77777777" w:rsidR="00B2451E" w:rsidRPr="005843B6" w:rsidRDefault="00B2451E" w:rsidP="00B2451E">
      <w:pPr>
        <w:numPr>
          <w:ilvl w:val="0"/>
          <w:numId w:val="9"/>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Método:</w:t>
      </w:r>
      <w:r w:rsidRPr="005843B6">
        <w:rPr>
          <w:rFonts w:ascii="Calibri" w:hAnsi="Calibri" w:cs="Calibri"/>
          <w:color w:val="000000" w:themeColor="text1"/>
          <w:sz w:val="16"/>
          <w:szCs w:val="16"/>
        </w:rPr>
        <w:t xml:space="preserve"> Se evalúa la dependencia del elemento de sistemas tecnológicos (por ejemplo, centros de datos dependen de servidores) y su nivel de protección (por ejemplo, ciberseguridad, redundancia). También se consideran incidentes históricos de fallos tecnológicos o ataques a elementos similares.</w:t>
      </w:r>
    </w:p>
    <w:p w14:paraId="1352C07A"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Ejemplo:</w:t>
      </w:r>
      <w:r>
        <w:rPr>
          <w:color w:val="000000" w:themeColor="text1"/>
          <w:sz w:val="16"/>
          <w:szCs w:val="16"/>
        </w:rPr>
        <w:t xml:space="preserve"> </w:t>
      </w:r>
      <w:r w:rsidRPr="005843B6">
        <w:rPr>
          <w:color w:val="000000" w:themeColor="text1"/>
          <w:sz w:val="16"/>
          <w:szCs w:val="16"/>
        </w:rPr>
        <w:t>Para "Cables de Fibra Óptica (Terrestres)", el VT es 0.6. Esto refleja su dependencia de sistemas tecnológicos (son esenciales para internet) y su exposición a cortes físicos o ciberataques, aunque podrían tener algunas medidas de protección (por ejemplo, redundancia en rutas).</w:t>
      </w:r>
    </w:p>
    <w:p w14:paraId="68AED14C"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Relación con las Ponderaciones:</w:t>
      </w:r>
      <w:r>
        <w:rPr>
          <w:color w:val="000000" w:themeColor="text1"/>
          <w:sz w:val="16"/>
          <w:szCs w:val="16"/>
        </w:rPr>
        <w:t xml:space="preserve"> </w:t>
      </w:r>
      <w:r w:rsidRPr="005843B6">
        <w:rPr>
          <w:color w:val="000000" w:themeColor="text1"/>
          <w:sz w:val="16"/>
          <w:szCs w:val="16"/>
        </w:rPr>
        <w:t>El VT está influenciado por ponderaciones que evalúan las capacidades de ataque tecnológico (como CAMO=0.25, que incluye ciberataques como táctica militar). Contribuye al FVT, afectando el análisis general de riesgos.</w:t>
      </w:r>
    </w:p>
    <w:p w14:paraId="15A04DAB"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Fuentes de Datos:</w:t>
      </w:r>
    </w:p>
    <w:p w14:paraId="41D052AB" w14:textId="77777777" w:rsidR="00B2451E" w:rsidRPr="005843B6" w:rsidRDefault="00B2451E" w:rsidP="00B2451E">
      <w:pPr>
        <w:numPr>
          <w:ilvl w:val="0"/>
          <w:numId w:val="10"/>
        </w:numPr>
        <w:jc w:val="both"/>
        <w:rPr>
          <w:rFonts w:ascii="Calibri" w:hAnsi="Calibri" w:cs="Calibri"/>
          <w:color w:val="000000" w:themeColor="text1"/>
          <w:sz w:val="16"/>
          <w:szCs w:val="16"/>
        </w:rPr>
      </w:pPr>
      <w:hyperlink r:id="rId15" w:tgtFrame="_blank" w:history="1">
        <w:proofErr w:type="spellStart"/>
        <w:r w:rsidRPr="005843B6">
          <w:rPr>
            <w:rStyle w:val="Hipervnculo"/>
            <w:rFonts w:ascii="Calibri" w:eastAsiaTheme="majorEastAsia" w:hAnsi="Calibri" w:cs="Calibri"/>
            <w:color w:val="000000" w:themeColor="text1"/>
            <w:sz w:val="16"/>
            <w:szCs w:val="16"/>
          </w:rPr>
          <w:t>Cybersecurity</w:t>
        </w:r>
        <w:proofErr w:type="spellEnd"/>
        <w:r w:rsidRPr="005843B6">
          <w:rPr>
            <w:rStyle w:val="Hipervnculo"/>
            <w:rFonts w:ascii="Calibri" w:eastAsiaTheme="majorEastAsia" w:hAnsi="Calibri" w:cs="Calibri"/>
            <w:color w:val="000000" w:themeColor="text1"/>
            <w:sz w:val="16"/>
            <w:szCs w:val="16"/>
          </w:rPr>
          <w:t xml:space="preserve"> and </w:t>
        </w:r>
        <w:proofErr w:type="spellStart"/>
        <w:r w:rsidRPr="005843B6">
          <w:rPr>
            <w:rStyle w:val="Hipervnculo"/>
            <w:rFonts w:ascii="Calibri" w:eastAsiaTheme="majorEastAsia" w:hAnsi="Calibri" w:cs="Calibri"/>
            <w:color w:val="000000" w:themeColor="text1"/>
            <w:sz w:val="16"/>
            <w:szCs w:val="16"/>
          </w:rPr>
          <w:t>Infrastructure</w:t>
        </w:r>
        <w:proofErr w:type="spellEnd"/>
        <w:r w:rsidRPr="005843B6">
          <w:rPr>
            <w:rStyle w:val="Hipervnculo"/>
            <w:rFonts w:ascii="Calibri" w:eastAsiaTheme="majorEastAsia" w:hAnsi="Calibri" w:cs="Calibri"/>
            <w:color w:val="000000" w:themeColor="text1"/>
            <w:sz w:val="16"/>
            <w:szCs w:val="16"/>
          </w:rPr>
          <w:t xml:space="preserve"> Security Agency </w:t>
        </w:r>
        <w:proofErr w:type="spellStart"/>
        <w:r w:rsidRPr="005843B6">
          <w:rPr>
            <w:rStyle w:val="Hipervnculo"/>
            <w:rFonts w:ascii="Calibri" w:eastAsiaTheme="majorEastAsia" w:hAnsi="Calibri" w:cs="Calibri"/>
            <w:color w:val="000000" w:themeColor="text1"/>
            <w:sz w:val="16"/>
            <w:szCs w:val="16"/>
          </w:rPr>
          <w:t>Reports</w:t>
        </w:r>
        <w:proofErr w:type="spellEnd"/>
        <w:r w:rsidRPr="005843B6">
          <w:rPr>
            <w:rStyle w:val="Hipervnculo"/>
            <w:rFonts w:ascii="Calibri" w:eastAsiaTheme="majorEastAsia" w:hAnsi="Calibri" w:cs="Calibri"/>
            <w:color w:val="000000" w:themeColor="text1"/>
            <w:sz w:val="16"/>
            <w:szCs w:val="16"/>
          </w:rPr>
          <w:t xml:space="preserve"> - CISA</w:t>
        </w:r>
      </w:hyperlink>
      <w:r w:rsidRPr="005843B6">
        <w:rPr>
          <w:rFonts w:ascii="Calibri" w:hAnsi="Calibri" w:cs="Calibri"/>
          <w:color w:val="000000" w:themeColor="text1"/>
          <w:sz w:val="16"/>
          <w:szCs w:val="16"/>
        </w:rPr>
        <w:t>: La CISA publica informes sobre vulnerabilidades tecnológicas de la infraestructura crítica, útiles para determinar el VT.</w:t>
      </w:r>
    </w:p>
    <w:p w14:paraId="700030C7" w14:textId="77777777" w:rsidR="00B2451E" w:rsidRPr="005843B6" w:rsidRDefault="00B2451E" w:rsidP="00B2451E">
      <w:pPr>
        <w:numPr>
          <w:ilvl w:val="0"/>
          <w:numId w:val="10"/>
        </w:numPr>
        <w:jc w:val="both"/>
        <w:rPr>
          <w:rFonts w:ascii="Calibri" w:hAnsi="Calibri" w:cs="Calibri"/>
          <w:color w:val="000000" w:themeColor="text1"/>
          <w:sz w:val="16"/>
          <w:szCs w:val="16"/>
        </w:rPr>
      </w:pPr>
      <w:hyperlink r:id="rId16"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Cybersecurity</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Index</w:t>
        </w:r>
        <w:proofErr w:type="spellEnd"/>
        <w:r w:rsidRPr="005843B6">
          <w:rPr>
            <w:rStyle w:val="Hipervnculo"/>
            <w:rFonts w:ascii="Calibri" w:eastAsiaTheme="majorEastAsia" w:hAnsi="Calibri" w:cs="Calibri"/>
            <w:color w:val="000000" w:themeColor="text1"/>
            <w:sz w:val="16"/>
            <w:szCs w:val="16"/>
          </w:rPr>
          <w:t xml:space="preserve"> - ITU</w:t>
        </w:r>
      </w:hyperlink>
      <w:r w:rsidRPr="005843B6">
        <w:rPr>
          <w:rFonts w:ascii="Calibri" w:hAnsi="Calibri" w:cs="Calibri"/>
          <w:color w:val="000000" w:themeColor="text1"/>
          <w:sz w:val="16"/>
          <w:szCs w:val="16"/>
        </w:rPr>
        <w:t>: El Índice Global de Ciberseguridad de la Unión Internacional de Telecomunicaciones (ITU) proporciona datos sobre la exposición tecnológica de diferentes países y sectores.</w:t>
      </w:r>
    </w:p>
    <w:p w14:paraId="525C2725" w14:textId="77777777" w:rsidR="00B2451E" w:rsidRPr="005843B6" w:rsidRDefault="00300068" w:rsidP="00B2451E">
      <w:pPr>
        <w:jc w:val="both"/>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7928D331">
          <v:rect id="_x0000_i1032" alt="" style="width:441.9pt;height:.05pt;mso-width-percent:0;mso-height-percent:0;mso-width-percent:0;mso-height-percent:0" o:hralign="center" o:hrstd="t" o:hr="t" fillcolor="#a0a0a0" stroked="f"/>
        </w:pict>
      </w:r>
    </w:p>
    <w:p w14:paraId="3456A32A" w14:textId="77777777" w:rsidR="00B2451E" w:rsidRPr="005843B6" w:rsidRDefault="00B2451E" w:rsidP="00B2451E">
      <w:pPr>
        <w:pStyle w:val="TtulosVariable"/>
      </w:pPr>
      <w:r w:rsidRPr="005843B6">
        <w:t>8. Factor de Vulnerabilidad Total (FVT)</w:t>
      </w:r>
    </w:p>
    <w:p w14:paraId="7ABE4B3C"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715939D9"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Significado:</w:t>
      </w:r>
      <w:r>
        <w:rPr>
          <w:color w:val="000000" w:themeColor="text1"/>
          <w:sz w:val="16"/>
          <w:szCs w:val="16"/>
        </w:rPr>
        <w:t xml:space="preserve"> </w:t>
      </w:r>
      <w:r w:rsidRPr="005843B6">
        <w:rPr>
          <w:color w:val="000000" w:themeColor="text1"/>
          <w:sz w:val="16"/>
          <w:szCs w:val="16"/>
        </w:rPr>
        <w:t>El Factor de Vulnerabilidad Total combina las vulnerabilidades del elemento (FEN, FANC, VT) en un índice compuesto que mide su riesgo general frente a amenazas, ya sean naturales o intencionales.</w:t>
      </w:r>
    </w:p>
    <w:p w14:paraId="070D402F" w14:textId="77777777" w:rsidR="00B2451E"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Cómo se Calcula:</w:t>
      </w:r>
    </w:p>
    <w:p w14:paraId="2263F26A" w14:textId="77777777" w:rsidR="00B2451E" w:rsidRPr="005843B6" w:rsidRDefault="00B2451E" w:rsidP="00B2451E">
      <w:pPr>
        <w:pStyle w:val="NormalWeb"/>
        <w:spacing w:before="0" w:beforeAutospacing="0" w:after="0" w:afterAutospacing="0"/>
        <w:jc w:val="both"/>
        <w:rPr>
          <w:color w:val="000000" w:themeColor="text1"/>
          <w:sz w:val="16"/>
          <w:szCs w:val="16"/>
        </w:rPr>
      </w:pPr>
    </w:p>
    <w:p w14:paraId="6F578DD8" w14:textId="77777777" w:rsidR="00B2451E" w:rsidRPr="005843B6" w:rsidRDefault="00B2451E" w:rsidP="00B2451E">
      <w:pPr>
        <w:jc w:val="both"/>
        <w:rPr>
          <w:rFonts w:ascii="Calibri" w:hAnsi="Calibri" w:cs="Calibri"/>
          <w:color w:val="000000" w:themeColor="text1"/>
          <w:sz w:val="16"/>
          <w:szCs w:val="16"/>
        </w:rPr>
      </w:pPr>
      <m:oMathPara>
        <m:oMath>
          <m:r>
            <w:rPr>
              <w:rFonts w:ascii="Cambria Math" w:hAnsi="Cambria Math" w:cs="Calibri"/>
              <w:color w:val="000000" w:themeColor="text1"/>
              <w:sz w:val="16"/>
              <w:szCs w:val="16"/>
            </w:rPr>
            <m:t>FVT=</m:t>
          </m:r>
          <m:f>
            <m:fPr>
              <m:ctrlPr>
                <w:rPr>
                  <w:rFonts w:ascii="Cambria Math" w:hAnsi="Cambria Math" w:cs="Calibri"/>
                  <w:color w:val="000000" w:themeColor="text1"/>
                  <w:sz w:val="16"/>
                  <w:szCs w:val="16"/>
                </w:rPr>
              </m:ctrlPr>
            </m:fPr>
            <m:num>
              <m:r>
                <w:rPr>
                  <w:rFonts w:ascii="Cambria Math" w:hAnsi="Cambria Math" w:cs="Calibri"/>
                  <w:color w:val="000000" w:themeColor="text1"/>
                  <w:sz w:val="16"/>
                  <w:szCs w:val="16"/>
                </w:rPr>
                <m:t>FEN+FANC+VT</m:t>
              </m:r>
              <m:ctrlPr>
                <w:rPr>
                  <w:rFonts w:ascii="Cambria Math" w:hAnsi="Cambria Math" w:cs="Calibri"/>
                  <w:i/>
                  <w:color w:val="000000" w:themeColor="text1"/>
                  <w:sz w:val="16"/>
                  <w:szCs w:val="16"/>
                </w:rPr>
              </m:ctrlPr>
            </m:num>
            <m:den>
              <m:r>
                <w:rPr>
                  <w:rFonts w:ascii="Cambria Math" w:hAnsi="Cambria Math" w:cs="Calibri"/>
                  <w:color w:val="000000" w:themeColor="text1"/>
                  <w:sz w:val="16"/>
                  <w:szCs w:val="16"/>
                </w:rPr>
                <m:t>3</m:t>
              </m:r>
              <m:ctrlPr>
                <w:rPr>
                  <w:rFonts w:ascii="Cambria Math" w:hAnsi="Cambria Math" w:cs="Calibri"/>
                  <w:i/>
                  <w:color w:val="000000" w:themeColor="text1"/>
                  <w:sz w:val="16"/>
                  <w:szCs w:val="16"/>
                </w:rPr>
              </m:ctrlPr>
            </m:den>
          </m:f>
          <m:r>
            <w:rPr>
              <w:rFonts w:ascii="Cambria Math" w:hAnsi="Cambria Math" w:cs="Calibri"/>
              <w:color w:val="000000" w:themeColor="text1"/>
              <w:sz w:val="16"/>
              <w:szCs w:val="16"/>
            </w:rPr>
            <m:t>​</m:t>
          </m:r>
        </m:oMath>
      </m:oMathPara>
    </w:p>
    <w:p w14:paraId="0CE9804C" w14:textId="77777777" w:rsidR="00B2451E" w:rsidRPr="00615509" w:rsidRDefault="00B2451E" w:rsidP="00B2451E">
      <w:pPr>
        <w:pStyle w:val="NormalWeb"/>
        <w:spacing w:before="0" w:beforeAutospacing="0" w:after="0" w:afterAutospacing="0"/>
        <w:jc w:val="both"/>
        <w:rPr>
          <w:b/>
          <w:bCs/>
          <w:color w:val="000000" w:themeColor="text1"/>
          <w:sz w:val="16"/>
          <w:szCs w:val="16"/>
        </w:rPr>
      </w:pPr>
      <w:r w:rsidRPr="00615509">
        <w:rPr>
          <w:b/>
          <w:bCs/>
          <w:color w:val="000000" w:themeColor="text1"/>
          <w:sz w:val="16"/>
          <w:szCs w:val="16"/>
        </w:rPr>
        <w:t>Donde:</w:t>
      </w:r>
    </w:p>
    <w:p w14:paraId="74EB9B94" w14:textId="77777777" w:rsidR="00B2451E" w:rsidRPr="005843B6" w:rsidRDefault="00B2451E" w:rsidP="00B2451E">
      <w:pPr>
        <w:numPr>
          <w:ilvl w:val="0"/>
          <w:numId w:val="11"/>
        </w:numPr>
        <w:jc w:val="both"/>
        <w:rPr>
          <w:rFonts w:ascii="Calibri" w:hAnsi="Calibri" w:cs="Calibri"/>
          <w:color w:val="000000" w:themeColor="text1"/>
          <w:sz w:val="16"/>
          <w:szCs w:val="16"/>
        </w:rPr>
      </w:pPr>
      <w:r w:rsidRPr="005843B6">
        <w:rPr>
          <w:rFonts w:ascii="Calibri" w:hAnsi="Calibri" w:cs="Calibri"/>
          <w:color w:val="000000" w:themeColor="text1"/>
          <w:sz w:val="16"/>
          <w:szCs w:val="16"/>
        </w:rPr>
        <w:t>FEN y FANC están en una escala numérica de 1 a 3 (Alta=3, Media=2, Baja=1).</w:t>
      </w:r>
    </w:p>
    <w:p w14:paraId="0DBC70E8" w14:textId="77777777" w:rsidR="00B2451E" w:rsidRPr="005843B6" w:rsidRDefault="00B2451E" w:rsidP="00B2451E">
      <w:pPr>
        <w:numPr>
          <w:ilvl w:val="0"/>
          <w:numId w:val="11"/>
        </w:numPr>
        <w:jc w:val="both"/>
        <w:rPr>
          <w:rFonts w:ascii="Calibri" w:hAnsi="Calibri" w:cs="Calibri"/>
          <w:color w:val="000000" w:themeColor="text1"/>
          <w:sz w:val="16"/>
          <w:szCs w:val="16"/>
        </w:rPr>
      </w:pPr>
      <w:r w:rsidRPr="005843B6">
        <w:rPr>
          <w:rFonts w:ascii="Calibri" w:hAnsi="Calibri" w:cs="Calibri"/>
          <w:color w:val="000000" w:themeColor="text1"/>
          <w:sz w:val="16"/>
          <w:szCs w:val="16"/>
        </w:rPr>
        <w:t>VT está en una escala de 0 a 1. Para mantener consistencia, VT se escala a 0-3 (VT*3) durante el cálculo, de modo que FVT quede en una escala de 1 a 3, y luego se normaliza a 0-1 dividiendo entre 3.</w:t>
      </w:r>
    </w:p>
    <w:p w14:paraId="11443CBD" w14:textId="77777777" w:rsidR="00B2451E" w:rsidRPr="005843B6" w:rsidRDefault="00B2451E" w:rsidP="00B2451E">
      <w:pPr>
        <w:numPr>
          <w:ilvl w:val="0"/>
          <w:numId w:val="11"/>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Escala Final:</w:t>
      </w:r>
      <w:r w:rsidRPr="005843B6">
        <w:rPr>
          <w:rFonts w:ascii="Calibri" w:hAnsi="Calibri" w:cs="Calibri"/>
          <w:color w:val="000000" w:themeColor="text1"/>
          <w:sz w:val="16"/>
          <w:szCs w:val="16"/>
        </w:rPr>
        <w:t xml:space="preserve"> El FVT se presenta en una escala de 0 a 1.</w:t>
      </w:r>
    </w:p>
    <w:p w14:paraId="01DAEAF1"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4673CF94" w14:textId="77777777" w:rsidR="00B2451E"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Ejemplo:</w:t>
      </w:r>
      <w:r w:rsidRPr="005843B6">
        <w:rPr>
          <w:color w:val="000000" w:themeColor="text1"/>
          <w:sz w:val="16"/>
          <w:szCs w:val="16"/>
        </w:rPr>
        <w:br/>
      </w:r>
    </w:p>
    <w:p w14:paraId="63EF4B2A"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615509">
        <w:rPr>
          <w:b/>
          <w:bCs/>
          <w:color w:val="000000" w:themeColor="text1"/>
          <w:sz w:val="16"/>
          <w:szCs w:val="16"/>
        </w:rPr>
        <w:t>Para "Estructuras de Presas":</w:t>
      </w:r>
      <w:r>
        <w:rPr>
          <w:color w:val="000000" w:themeColor="text1"/>
          <w:sz w:val="16"/>
          <w:szCs w:val="16"/>
        </w:rPr>
        <w:t xml:space="preserve"> </w:t>
      </w:r>
      <w:r w:rsidRPr="005843B6">
        <w:rPr>
          <w:color w:val="000000" w:themeColor="text1"/>
          <w:sz w:val="16"/>
          <w:szCs w:val="16"/>
        </w:rPr>
        <w:t>FEN=Alta (3), FANC=Alta (3), VT=0.8 (escalado: 0.8*3=2.4).</w:t>
      </w:r>
    </w:p>
    <w:p w14:paraId="6E237866" w14:textId="77777777" w:rsidR="00B2451E" w:rsidRDefault="00B2451E" w:rsidP="00B2451E">
      <w:pPr>
        <w:jc w:val="both"/>
        <w:rPr>
          <w:rFonts w:ascii="Calibri" w:hAnsi="Calibri" w:cs="Calibri"/>
          <w:color w:val="000000" w:themeColor="text1"/>
          <w:sz w:val="16"/>
          <w:szCs w:val="16"/>
        </w:rPr>
      </w:pPr>
    </w:p>
    <w:p w14:paraId="61CEE1B4" w14:textId="77777777" w:rsidR="00B2451E" w:rsidRPr="00615509" w:rsidRDefault="00B2451E" w:rsidP="00B2451E">
      <w:pPr>
        <w:jc w:val="both"/>
        <w:rPr>
          <w:rFonts w:ascii="Calibri" w:hAnsi="Calibri" w:cs="Calibri"/>
          <w:color w:val="000000" w:themeColor="text1"/>
          <w:sz w:val="16"/>
          <w:szCs w:val="16"/>
        </w:rPr>
      </w:pPr>
      <m:oMathPara>
        <m:oMath>
          <m:r>
            <w:rPr>
              <w:rFonts w:ascii="Cambria Math" w:hAnsi="Cambria Math" w:cs="Calibri"/>
              <w:color w:val="000000" w:themeColor="text1"/>
              <w:sz w:val="16"/>
              <w:szCs w:val="16"/>
            </w:rPr>
            <m:t>FVT=</m:t>
          </m:r>
          <m:f>
            <m:fPr>
              <m:ctrlPr>
                <w:rPr>
                  <w:rFonts w:ascii="Cambria Math" w:hAnsi="Cambria Math" w:cs="Calibri"/>
                  <w:color w:val="000000" w:themeColor="text1"/>
                  <w:sz w:val="16"/>
                  <w:szCs w:val="16"/>
                </w:rPr>
              </m:ctrlPr>
            </m:fPr>
            <m:num>
              <m:r>
                <w:rPr>
                  <w:rFonts w:ascii="Cambria Math" w:hAnsi="Cambria Math" w:cs="Calibri"/>
                  <w:color w:val="000000" w:themeColor="text1"/>
                  <w:sz w:val="16"/>
                  <w:szCs w:val="16"/>
                </w:rPr>
                <m:t>3+3+2.4</m:t>
              </m:r>
              <m:ctrlPr>
                <w:rPr>
                  <w:rFonts w:ascii="Cambria Math" w:hAnsi="Cambria Math" w:cs="Calibri"/>
                  <w:i/>
                  <w:color w:val="000000" w:themeColor="text1"/>
                  <w:sz w:val="16"/>
                  <w:szCs w:val="16"/>
                </w:rPr>
              </m:ctrlPr>
            </m:num>
            <m:den>
              <m:r>
                <w:rPr>
                  <w:rFonts w:ascii="Cambria Math" w:hAnsi="Cambria Math" w:cs="Calibri"/>
                  <w:color w:val="000000" w:themeColor="text1"/>
                  <w:sz w:val="16"/>
                  <w:szCs w:val="16"/>
                </w:rPr>
                <m:t>3</m:t>
              </m:r>
              <m:ctrlPr>
                <w:rPr>
                  <w:rFonts w:ascii="Cambria Math" w:hAnsi="Cambria Math" w:cs="Calibri"/>
                  <w:i/>
                  <w:color w:val="000000" w:themeColor="text1"/>
                  <w:sz w:val="16"/>
                  <w:szCs w:val="16"/>
                </w:rPr>
              </m:ctrlPr>
            </m:den>
          </m:f>
          <m:r>
            <w:rPr>
              <w:rFonts w:ascii="Cambria Math" w:hAnsi="Cambria Math" w:cs="Calibri"/>
              <w:color w:val="000000" w:themeColor="text1"/>
              <w:sz w:val="16"/>
              <w:szCs w:val="16"/>
            </w:rPr>
            <m:t>=</m:t>
          </m:r>
          <m:f>
            <m:fPr>
              <m:ctrlPr>
                <w:rPr>
                  <w:rFonts w:ascii="Cambria Math" w:hAnsi="Cambria Math" w:cs="Calibri"/>
                  <w:color w:val="000000" w:themeColor="text1"/>
                  <w:sz w:val="16"/>
                  <w:szCs w:val="16"/>
                </w:rPr>
              </m:ctrlPr>
            </m:fPr>
            <m:num>
              <m:r>
                <w:rPr>
                  <w:rFonts w:ascii="Cambria Math" w:hAnsi="Cambria Math" w:cs="Calibri"/>
                  <w:color w:val="000000" w:themeColor="text1"/>
                  <w:sz w:val="16"/>
                  <w:szCs w:val="16"/>
                </w:rPr>
                <m:t>8.4</m:t>
              </m:r>
              <m:ctrlPr>
                <w:rPr>
                  <w:rFonts w:ascii="Cambria Math" w:hAnsi="Cambria Math" w:cs="Calibri"/>
                  <w:i/>
                  <w:color w:val="000000" w:themeColor="text1"/>
                  <w:sz w:val="16"/>
                  <w:szCs w:val="16"/>
                </w:rPr>
              </m:ctrlPr>
            </m:num>
            <m:den>
              <m:r>
                <w:rPr>
                  <w:rFonts w:ascii="Cambria Math" w:hAnsi="Cambria Math" w:cs="Calibri"/>
                  <w:color w:val="000000" w:themeColor="text1"/>
                  <w:sz w:val="16"/>
                  <w:szCs w:val="16"/>
                </w:rPr>
                <m:t>3</m:t>
              </m:r>
              <m:ctrlPr>
                <w:rPr>
                  <w:rFonts w:ascii="Cambria Math" w:hAnsi="Cambria Math" w:cs="Calibri"/>
                  <w:i/>
                  <w:color w:val="000000" w:themeColor="text1"/>
                  <w:sz w:val="16"/>
                  <w:szCs w:val="16"/>
                </w:rPr>
              </m:ctrlPr>
            </m:den>
          </m:f>
          <m:r>
            <w:rPr>
              <w:rFonts w:ascii="Cambria Math" w:hAnsi="Cambria Math" w:cs="Calibri"/>
              <w:color w:val="000000" w:themeColor="text1"/>
              <w:sz w:val="16"/>
              <w:szCs w:val="16"/>
            </w:rPr>
            <m:t xml:space="preserve">=2.8 </m:t>
          </m:r>
        </m:oMath>
      </m:oMathPara>
    </w:p>
    <w:p w14:paraId="58B5B1F2" w14:textId="77777777" w:rsidR="00B2451E" w:rsidRPr="00615509" w:rsidRDefault="00B2451E" w:rsidP="00B2451E">
      <w:pPr>
        <w:jc w:val="both"/>
        <w:rPr>
          <w:rFonts w:ascii="Calibri" w:hAnsi="Calibri" w:cs="Calibri"/>
          <w:b/>
          <w:bCs/>
          <w:color w:val="000000" w:themeColor="text1"/>
          <w:sz w:val="16"/>
          <w:szCs w:val="16"/>
        </w:rPr>
      </w:pPr>
      <w:r w:rsidRPr="00615509">
        <w:rPr>
          <w:rFonts w:ascii="Calibri" w:hAnsi="Calibri" w:cs="Calibri"/>
          <w:b/>
          <w:bCs/>
          <w:color w:val="000000" w:themeColor="text1"/>
          <w:sz w:val="16"/>
          <w:szCs w:val="16"/>
        </w:rPr>
        <w:t>Normalizado a 0-1:</w:t>
      </w:r>
    </w:p>
    <w:p w14:paraId="4D787EE9" w14:textId="77777777" w:rsidR="00B2451E" w:rsidRDefault="00B2451E" w:rsidP="00B2451E">
      <w:pPr>
        <w:jc w:val="both"/>
        <w:rPr>
          <w:rFonts w:ascii="Calibri" w:hAnsi="Calibri" w:cs="Calibri"/>
          <w:color w:val="000000" w:themeColor="text1"/>
          <w:sz w:val="16"/>
          <w:szCs w:val="16"/>
        </w:rPr>
      </w:pPr>
    </w:p>
    <w:p w14:paraId="22A97D00" w14:textId="77777777" w:rsidR="00B2451E" w:rsidRDefault="00B2451E" w:rsidP="00B2451E">
      <w:pPr>
        <w:jc w:val="both"/>
        <w:rPr>
          <w:rFonts w:ascii="Calibri" w:hAnsi="Calibri" w:cs="Calibri"/>
          <w:color w:val="000000" w:themeColor="text1"/>
          <w:sz w:val="16"/>
          <w:szCs w:val="16"/>
        </w:rPr>
      </w:pPr>
      <m:oMathPara>
        <m:oMath>
          <m:r>
            <w:rPr>
              <w:rFonts w:ascii="Cambria Math" w:hAnsi="Cambria Math" w:cs="Calibri"/>
              <w:color w:val="000000" w:themeColor="text1"/>
              <w:sz w:val="16"/>
              <w:szCs w:val="16"/>
            </w:rPr>
            <m:t>FV</m:t>
          </m:r>
          <m:sSub>
            <m:sSubPr>
              <m:ctrlPr>
                <w:rPr>
                  <w:rFonts w:ascii="Cambria Math" w:hAnsi="Cambria Math" w:cs="Calibri"/>
                  <w:i/>
                  <w:color w:val="000000" w:themeColor="text1"/>
                  <w:sz w:val="16"/>
                  <w:szCs w:val="16"/>
                </w:rPr>
              </m:ctrlPr>
            </m:sSubPr>
            <m:e>
              <m:r>
                <w:rPr>
                  <w:rFonts w:ascii="Cambria Math" w:hAnsi="Cambria Math" w:cs="Calibri"/>
                  <w:color w:val="000000" w:themeColor="text1"/>
                  <w:sz w:val="16"/>
                  <w:szCs w:val="16"/>
                </w:rPr>
                <m:t>T</m:t>
              </m:r>
            </m:e>
            <m:sub>
              <m:r>
                <m:rPr>
                  <m:nor/>
                </m:rPr>
                <w:rPr>
                  <w:rFonts w:ascii="Cambria Math" w:hAnsi="Cambria Math" w:cs="Calibri"/>
                  <w:color w:val="000000" w:themeColor="text1"/>
                  <w:sz w:val="16"/>
                  <w:szCs w:val="16"/>
                </w:rPr>
                <m:t>normalizado</m:t>
              </m:r>
            </m:sub>
          </m:sSub>
          <m:r>
            <w:rPr>
              <w:rFonts w:ascii="Cambria Math" w:hAnsi="Cambria Math" w:cs="Calibri"/>
              <w:color w:val="000000" w:themeColor="text1"/>
              <w:sz w:val="16"/>
              <w:szCs w:val="16"/>
            </w:rPr>
            <m:t>=</m:t>
          </m:r>
          <m:f>
            <m:fPr>
              <m:ctrlPr>
                <w:rPr>
                  <w:rFonts w:ascii="Cambria Math" w:hAnsi="Cambria Math" w:cs="Calibri"/>
                  <w:color w:val="000000" w:themeColor="text1"/>
                  <w:sz w:val="16"/>
                  <w:szCs w:val="16"/>
                </w:rPr>
              </m:ctrlPr>
            </m:fPr>
            <m:num>
              <m:r>
                <w:rPr>
                  <w:rFonts w:ascii="Cambria Math" w:hAnsi="Cambria Math" w:cs="Calibri"/>
                  <w:color w:val="000000" w:themeColor="text1"/>
                  <w:sz w:val="16"/>
                  <w:szCs w:val="16"/>
                </w:rPr>
                <m:t>2.8</m:t>
              </m:r>
              <m:ctrlPr>
                <w:rPr>
                  <w:rFonts w:ascii="Cambria Math" w:hAnsi="Cambria Math" w:cs="Calibri"/>
                  <w:i/>
                  <w:color w:val="000000" w:themeColor="text1"/>
                  <w:sz w:val="16"/>
                  <w:szCs w:val="16"/>
                </w:rPr>
              </m:ctrlPr>
            </m:num>
            <m:den>
              <m:r>
                <w:rPr>
                  <w:rFonts w:ascii="Cambria Math" w:hAnsi="Cambria Math" w:cs="Calibri"/>
                  <w:color w:val="000000" w:themeColor="text1"/>
                  <w:sz w:val="16"/>
                  <w:szCs w:val="16"/>
                </w:rPr>
                <m:t>3</m:t>
              </m:r>
              <m:ctrlPr>
                <w:rPr>
                  <w:rFonts w:ascii="Cambria Math" w:hAnsi="Cambria Math" w:cs="Calibri"/>
                  <w:i/>
                  <w:color w:val="000000" w:themeColor="text1"/>
                  <w:sz w:val="16"/>
                  <w:szCs w:val="16"/>
                </w:rPr>
              </m:ctrlPr>
            </m:den>
          </m:f>
          <m:r>
            <m:rPr>
              <m:sty m:val="p"/>
            </m:rPr>
            <w:rPr>
              <w:rFonts w:ascii="Cambria Math" w:hAnsi="Cambria Math" w:cs="Calibri"/>
              <w:color w:val="000000" w:themeColor="text1"/>
              <w:sz w:val="16"/>
              <w:szCs w:val="16"/>
            </w:rPr>
            <m:t>≈</m:t>
          </m:r>
          <m:r>
            <w:rPr>
              <w:rFonts w:ascii="Cambria Math" w:hAnsi="Cambria Math" w:cs="Calibri"/>
              <w:color w:val="000000" w:themeColor="text1"/>
              <w:sz w:val="16"/>
              <w:szCs w:val="16"/>
            </w:rPr>
            <m:t>0.933</m:t>
          </m:r>
        </m:oMath>
      </m:oMathPara>
    </w:p>
    <w:p w14:paraId="5B2D1FFF" w14:textId="77777777" w:rsidR="00B2451E" w:rsidRPr="005843B6" w:rsidRDefault="00B2451E" w:rsidP="00B2451E">
      <w:pPr>
        <w:jc w:val="both"/>
        <w:rPr>
          <w:rFonts w:ascii="Calibri" w:hAnsi="Calibri" w:cs="Calibri"/>
          <w:color w:val="000000" w:themeColor="text1"/>
          <w:sz w:val="16"/>
          <w:szCs w:val="16"/>
        </w:rPr>
      </w:pPr>
      <w:r w:rsidRPr="005843B6">
        <w:rPr>
          <w:rFonts w:ascii="Calibri" w:hAnsi="Calibri" w:cs="Calibri"/>
          <w:color w:val="000000" w:themeColor="text1"/>
          <w:sz w:val="16"/>
          <w:szCs w:val="16"/>
        </w:rPr>
        <w:t xml:space="preserve"> </w:t>
      </w:r>
    </w:p>
    <w:p w14:paraId="6D315FE9"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color w:val="000000" w:themeColor="text1"/>
          <w:sz w:val="16"/>
          <w:szCs w:val="16"/>
        </w:rPr>
        <w:t>El valor en la tabla es FVT=0.87, lo que sugiere un posible ajuste adicional (por ejemplo, un redondeo o un factor de normalización diferente). Para este informe, asumiremos que el cálculo es correcto y que el valor se ajusta a 0.87 por redondeo.</w:t>
      </w:r>
    </w:p>
    <w:p w14:paraId="1A396B87"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3807CAFD" w14:textId="77777777" w:rsidR="00932FB8"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Relación con las Ponderaciones:</w:t>
      </w:r>
    </w:p>
    <w:p w14:paraId="7667EF7A" w14:textId="77777777" w:rsidR="00932FB8" w:rsidRDefault="00932FB8" w:rsidP="00B2451E">
      <w:pPr>
        <w:pStyle w:val="NormalWeb"/>
        <w:spacing w:before="0" w:beforeAutospacing="0" w:after="0" w:afterAutospacing="0"/>
        <w:jc w:val="both"/>
        <w:rPr>
          <w:color w:val="000000" w:themeColor="text1"/>
          <w:sz w:val="16"/>
          <w:szCs w:val="16"/>
        </w:rPr>
      </w:pPr>
    </w:p>
    <w:p w14:paraId="2A652EA5" w14:textId="1E030F20" w:rsidR="00B2451E" w:rsidRPr="005843B6" w:rsidRDefault="00B2451E" w:rsidP="00B2451E">
      <w:pPr>
        <w:pStyle w:val="NormalWeb"/>
        <w:spacing w:before="0" w:beforeAutospacing="0" w:after="0" w:afterAutospacing="0"/>
        <w:jc w:val="both"/>
        <w:rPr>
          <w:color w:val="000000" w:themeColor="text1"/>
          <w:sz w:val="16"/>
          <w:szCs w:val="16"/>
        </w:rPr>
      </w:pPr>
      <w:r w:rsidRPr="005843B6">
        <w:rPr>
          <w:color w:val="000000" w:themeColor="text1"/>
          <w:sz w:val="16"/>
          <w:szCs w:val="16"/>
        </w:rPr>
        <w:t>El FVT contribuye al PF, que a su vez se pondera en el análisis global. Está indirectamente influenciado por ponderaciones como CAMO (0.25), ya que las capacidades militares afectan el FANC y el VT, y por PNT (0.1), ya que elementos con alto IB (que influye en el PF) son clave para la estabilidad.</w:t>
      </w:r>
    </w:p>
    <w:p w14:paraId="1AF45B31" w14:textId="77777777" w:rsidR="00932FB8" w:rsidRDefault="00932FB8" w:rsidP="00B2451E">
      <w:pPr>
        <w:pStyle w:val="NormalWeb"/>
        <w:spacing w:before="0" w:beforeAutospacing="0" w:after="0" w:afterAutospacing="0"/>
        <w:jc w:val="both"/>
        <w:rPr>
          <w:rStyle w:val="Textoennegrita"/>
          <w:rFonts w:eastAsiaTheme="majorEastAsia"/>
          <w:color w:val="000000" w:themeColor="text1"/>
          <w:sz w:val="16"/>
          <w:szCs w:val="16"/>
        </w:rPr>
      </w:pPr>
    </w:p>
    <w:p w14:paraId="06BB328E" w14:textId="0C5B05A6"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Fuentes de Datos:</w:t>
      </w:r>
    </w:p>
    <w:p w14:paraId="568F376B" w14:textId="77777777" w:rsidR="00B2451E" w:rsidRPr="005843B6" w:rsidRDefault="00B2451E" w:rsidP="00B2451E">
      <w:pPr>
        <w:numPr>
          <w:ilvl w:val="0"/>
          <w:numId w:val="12"/>
        </w:numPr>
        <w:jc w:val="both"/>
        <w:rPr>
          <w:rFonts w:ascii="Calibri" w:hAnsi="Calibri" w:cs="Calibri"/>
          <w:color w:val="000000" w:themeColor="text1"/>
          <w:sz w:val="16"/>
          <w:szCs w:val="16"/>
        </w:rPr>
      </w:pPr>
      <w:hyperlink r:id="rId17" w:tgtFrame="_blank" w:history="1">
        <w:proofErr w:type="spellStart"/>
        <w:r w:rsidRPr="005843B6">
          <w:rPr>
            <w:rStyle w:val="Hipervnculo"/>
            <w:rFonts w:ascii="Calibri" w:eastAsiaTheme="majorEastAsia" w:hAnsi="Calibri" w:cs="Calibri"/>
            <w:color w:val="000000" w:themeColor="text1"/>
            <w:sz w:val="16"/>
            <w:szCs w:val="16"/>
          </w:rPr>
          <w:t>Risk</w:t>
        </w:r>
        <w:proofErr w:type="spellEnd"/>
        <w:r w:rsidRPr="005843B6">
          <w:rPr>
            <w:rStyle w:val="Hipervnculo"/>
            <w:rFonts w:ascii="Calibri" w:eastAsiaTheme="majorEastAsia" w:hAnsi="Calibri" w:cs="Calibri"/>
            <w:color w:val="000000" w:themeColor="text1"/>
            <w:sz w:val="16"/>
            <w:szCs w:val="16"/>
          </w:rPr>
          <w:t xml:space="preserve"> Management Framework - NIST</w:t>
        </w:r>
      </w:hyperlink>
      <w:r w:rsidRPr="005843B6">
        <w:rPr>
          <w:rFonts w:ascii="Calibri" w:hAnsi="Calibri" w:cs="Calibri"/>
          <w:color w:val="000000" w:themeColor="text1"/>
          <w:sz w:val="16"/>
          <w:szCs w:val="16"/>
        </w:rPr>
        <w:t>: El Marco de Gestión de Riesgos del Instituto Nacional de Estándares y Tecnología (NIST) proporciona metodologías para calcular índices compuestos de vulnerabilidad, como el FVT.</w:t>
      </w:r>
    </w:p>
    <w:p w14:paraId="4F4DE8CD" w14:textId="77777777" w:rsidR="00B2451E" w:rsidRPr="005843B6" w:rsidRDefault="00B2451E" w:rsidP="00B2451E">
      <w:pPr>
        <w:numPr>
          <w:ilvl w:val="0"/>
          <w:numId w:val="12"/>
        </w:numPr>
        <w:jc w:val="both"/>
        <w:rPr>
          <w:rFonts w:ascii="Calibri" w:hAnsi="Calibri" w:cs="Calibri"/>
          <w:color w:val="000000" w:themeColor="text1"/>
          <w:sz w:val="16"/>
          <w:szCs w:val="16"/>
        </w:rPr>
      </w:pPr>
      <w:hyperlink r:id="rId18" w:tgtFrame="_blank" w:history="1">
        <w:proofErr w:type="spellStart"/>
        <w:r w:rsidRPr="005843B6">
          <w:rPr>
            <w:rStyle w:val="Hipervnculo"/>
            <w:rFonts w:ascii="Calibri" w:eastAsiaTheme="majorEastAsia" w:hAnsi="Calibri" w:cs="Calibri"/>
            <w:color w:val="000000" w:themeColor="text1"/>
            <w:sz w:val="16"/>
            <w:szCs w:val="16"/>
          </w:rPr>
          <w:t>Infrastructure</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Vulnerability</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Assessment</w:t>
        </w:r>
        <w:proofErr w:type="spellEnd"/>
        <w:r w:rsidRPr="005843B6">
          <w:rPr>
            <w:rStyle w:val="Hipervnculo"/>
            <w:rFonts w:ascii="Calibri" w:eastAsiaTheme="majorEastAsia" w:hAnsi="Calibri" w:cs="Calibri"/>
            <w:color w:val="000000" w:themeColor="text1"/>
            <w:sz w:val="16"/>
            <w:szCs w:val="16"/>
          </w:rPr>
          <w:t xml:space="preserve"> - DHS</w:t>
        </w:r>
      </w:hyperlink>
      <w:r w:rsidRPr="005843B6">
        <w:rPr>
          <w:rFonts w:ascii="Calibri" w:hAnsi="Calibri" w:cs="Calibri"/>
          <w:color w:val="000000" w:themeColor="text1"/>
          <w:sz w:val="16"/>
          <w:szCs w:val="16"/>
        </w:rPr>
        <w:t>: El Departamento de Seguridad Nacional de EE.UU. (DHS) ofrece guías para evaluar vulnerabilidades combinadas de infraestructura crítica.</w:t>
      </w:r>
    </w:p>
    <w:p w14:paraId="7AE8CDA5" w14:textId="77777777" w:rsidR="00B2451E" w:rsidRPr="005843B6" w:rsidRDefault="00300068" w:rsidP="00B2451E">
      <w:pPr>
        <w:jc w:val="both"/>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51F7E64F">
          <v:rect id="_x0000_i1031" alt="" style="width:441.9pt;height:.05pt;mso-width-percent:0;mso-height-percent:0;mso-width-percent:0;mso-height-percent:0" o:hralign="center" o:hrstd="t" o:hr="t" fillcolor="#a0a0a0" stroked="f"/>
        </w:pict>
      </w:r>
    </w:p>
    <w:p w14:paraId="50263697" w14:textId="77777777" w:rsidR="00B2451E" w:rsidRPr="005843B6" w:rsidRDefault="00B2451E" w:rsidP="00B2451E">
      <w:pPr>
        <w:pStyle w:val="TtulosVariable"/>
      </w:pPr>
      <w:r w:rsidRPr="005843B6">
        <w:t>9. Ponderación Final (PF)</w:t>
      </w:r>
    </w:p>
    <w:p w14:paraId="65091E3D"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29D9ECC4" w14:textId="77777777" w:rsidR="00B2451E"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Significado:</w:t>
      </w:r>
      <w:r w:rsidRPr="005843B6">
        <w:rPr>
          <w:color w:val="000000" w:themeColor="text1"/>
          <w:sz w:val="16"/>
          <w:szCs w:val="16"/>
        </w:rPr>
        <w:br/>
      </w:r>
    </w:p>
    <w:p w14:paraId="285CF68B"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color w:val="000000" w:themeColor="text1"/>
          <w:sz w:val="16"/>
          <w:szCs w:val="16"/>
        </w:rPr>
        <w:t>La Ponderación Final combina la importancia del elemento (IB) con su vulnerabilidad (FVT) para determinar su prioridad o nivel de riesgo general. Representa una métrica integral para priorizar elementos en términos de protección o mitigación.</w:t>
      </w:r>
    </w:p>
    <w:p w14:paraId="116AF616"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4F6F5753" w14:textId="77777777" w:rsidR="00B2451E" w:rsidRPr="00615509" w:rsidRDefault="00B2451E" w:rsidP="00B2451E">
      <w:pPr>
        <w:pStyle w:val="NormalWeb"/>
        <w:spacing w:before="0" w:beforeAutospacing="0" w:after="0" w:afterAutospacing="0"/>
        <w:jc w:val="both"/>
        <w:rPr>
          <w:rFonts w:eastAsiaTheme="majorEastAsia"/>
          <w:b/>
          <w:bCs/>
          <w:color w:val="000000" w:themeColor="text1"/>
          <w:sz w:val="16"/>
          <w:szCs w:val="16"/>
        </w:rPr>
      </w:pPr>
      <w:r w:rsidRPr="005843B6">
        <w:rPr>
          <w:rStyle w:val="Textoennegrita"/>
          <w:rFonts w:eastAsiaTheme="majorEastAsia"/>
          <w:color w:val="000000" w:themeColor="text1"/>
          <w:sz w:val="16"/>
          <w:szCs w:val="16"/>
        </w:rPr>
        <w:t>Cómo se Calcula:</w:t>
      </w:r>
      <w:r>
        <w:rPr>
          <w:rStyle w:val="Textoennegrita"/>
          <w:rFonts w:eastAsiaTheme="majorEastAsia"/>
          <w:color w:val="000000" w:themeColor="text1"/>
          <w:sz w:val="16"/>
          <w:szCs w:val="16"/>
        </w:rPr>
        <w:t xml:space="preserve"> </w:t>
      </w:r>
      <m:oMath>
        <m:r>
          <w:rPr>
            <w:rFonts w:ascii="Cambria Math" w:hAnsi="Cambria Math"/>
            <w:color w:val="000000" w:themeColor="text1"/>
            <w:sz w:val="16"/>
            <w:szCs w:val="16"/>
          </w:rPr>
          <m:t xml:space="preserve">PF = IB </m:t>
        </m:r>
        <m:r>
          <m:rPr>
            <m:sty m:val="p"/>
          </m:rPr>
          <w:rPr>
            <w:rFonts w:ascii="Cambria Math" w:hAnsi="Cambria Math"/>
            <w:color w:val="000000" w:themeColor="text1"/>
            <w:sz w:val="16"/>
            <w:szCs w:val="16"/>
          </w:rPr>
          <m:t>⋅</m:t>
        </m:r>
        <m:r>
          <w:rPr>
            <w:rFonts w:ascii="Cambria Math" w:hAnsi="Cambria Math"/>
            <w:color w:val="000000" w:themeColor="text1"/>
            <w:sz w:val="16"/>
            <w:szCs w:val="16"/>
          </w:rPr>
          <m:t>FVTPF=IB</m:t>
        </m:r>
        <m:r>
          <w:rPr>
            <w:rFonts w:ascii="Cambria Math" w:hAnsi="Cambria Math" w:cs="Cambria Math"/>
            <w:color w:val="000000" w:themeColor="text1"/>
            <w:sz w:val="16"/>
            <w:szCs w:val="16"/>
          </w:rPr>
          <m:t>⋅</m:t>
        </m:r>
        <m:r>
          <w:rPr>
            <w:rFonts w:ascii="Cambria Math" w:hAnsi="Cambria Math"/>
            <w:color w:val="000000" w:themeColor="text1"/>
            <w:sz w:val="16"/>
            <w:szCs w:val="16"/>
          </w:rPr>
          <m:t xml:space="preserve">FVT </m:t>
        </m:r>
      </m:oMath>
    </w:p>
    <w:p w14:paraId="7D75E0DE" w14:textId="77777777" w:rsidR="00B2451E" w:rsidRDefault="00B2451E" w:rsidP="00B2451E">
      <w:pPr>
        <w:pStyle w:val="NormalWeb"/>
        <w:spacing w:before="0" w:beforeAutospacing="0" w:after="0" w:afterAutospacing="0"/>
        <w:jc w:val="both"/>
        <w:rPr>
          <w:color w:val="000000" w:themeColor="text1"/>
          <w:sz w:val="16"/>
          <w:szCs w:val="16"/>
        </w:rPr>
      </w:pPr>
    </w:p>
    <w:p w14:paraId="2E409D0F"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color w:val="000000" w:themeColor="text1"/>
          <w:sz w:val="16"/>
          <w:szCs w:val="16"/>
        </w:rPr>
        <w:t>Donde:</w:t>
      </w:r>
    </w:p>
    <w:p w14:paraId="7FD61E63" w14:textId="77777777" w:rsidR="00B2451E" w:rsidRPr="005843B6" w:rsidRDefault="00B2451E" w:rsidP="00B2451E">
      <w:pPr>
        <w:numPr>
          <w:ilvl w:val="0"/>
          <w:numId w:val="13"/>
        </w:numPr>
        <w:jc w:val="both"/>
        <w:rPr>
          <w:rFonts w:ascii="Calibri" w:hAnsi="Calibri" w:cs="Calibri"/>
          <w:color w:val="000000" w:themeColor="text1"/>
          <w:sz w:val="16"/>
          <w:szCs w:val="16"/>
        </w:rPr>
      </w:pPr>
      <w:r w:rsidRPr="005843B6">
        <w:rPr>
          <w:rFonts w:ascii="Calibri" w:hAnsi="Calibri" w:cs="Calibri"/>
          <w:color w:val="000000" w:themeColor="text1"/>
          <w:sz w:val="16"/>
          <w:szCs w:val="16"/>
        </w:rPr>
        <w:t>IB está en una escala de 0 a 1.</w:t>
      </w:r>
    </w:p>
    <w:p w14:paraId="5458C947" w14:textId="77777777" w:rsidR="00B2451E" w:rsidRDefault="00B2451E" w:rsidP="00B2451E">
      <w:pPr>
        <w:numPr>
          <w:ilvl w:val="0"/>
          <w:numId w:val="13"/>
        </w:numPr>
        <w:jc w:val="both"/>
        <w:rPr>
          <w:rFonts w:ascii="Calibri" w:hAnsi="Calibri" w:cs="Calibri"/>
          <w:color w:val="000000" w:themeColor="text1"/>
          <w:sz w:val="16"/>
          <w:szCs w:val="16"/>
        </w:rPr>
      </w:pPr>
      <w:r w:rsidRPr="005843B6">
        <w:rPr>
          <w:rFonts w:ascii="Calibri" w:hAnsi="Calibri" w:cs="Calibri"/>
          <w:color w:val="000000" w:themeColor="text1"/>
          <w:sz w:val="16"/>
          <w:szCs w:val="16"/>
        </w:rPr>
        <w:t>FVT está en una escala de 0 a 1.</w:t>
      </w:r>
    </w:p>
    <w:p w14:paraId="6D2E98CF" w14:textId="77777777" w:rsidR="00B2451E" w:rsidRPr="00615509" w:rsidRDefault="00B2451E" w:rsidP="00B2451E">
      <w:pPr>
        <w:numPr>
          <w:ilvl w:val="0"/>
          <w:numId w:val="13"/>
        </w:numPr>
        <w:jc w:val="both"/>
        <w:rPr>
          <w:rFonts w:ascii="Calibri" w:hAnsi="Calibri" w:cs="Calibri"/>
          <w:color w:val="000000" w:themeColor="text1"/>
          <w:sz w:val="16"/>
          <w:szCs w:val="16"/>
        </w:rPr>
      </w:pPr>
      <w:r w:rsidRPr="00615509">
        <w:rPr>
          <w:rStyle w:val="Textoennegrita"/>
          <w:rFonts w:ascii="Calibri" w:eastAsiaTheme="majorEastAsia" w:hAnsi="Calibri" w:cs="Calibri"/>
          <w:color w:val="000000" w:themeColor="text1"/>
          <w:sz w:val="16"/>
          <w:szCs w:val="16"/>
        </w:rPr>
        <w:t>Escala Numérica:</w:t>
      </w:r>
      <w:r w:rsidRPr="00615509">
        <w:rPr>
          <w:rFonts w:ascii="Calibri" w:hAnsi="Calibri" w:cs="Calibri"/>
          <w:color w:val="000000" w:themeColor="text1"/>
          <w:sz w:val="16"/>
          <w:szCs w:val="16"/>
        </w:rPr>
        <w:t xml:space="preserve"> El PF estará en una escala de 0 a 1, ya que es el producto de dos valores entre 0 y 1.</w:t>
      </w:r>
    </w:p>
    <w:p w14:paraId="2FA92C3F"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081327DC"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Ejemplo:</w:t>
      </w:r>
      <w:r>
        <w:rPr>
          <w:color w:val="000000" w:themeColor="text1"/>
          <w:sz w:val="16"/>
          <w:szCs w:val="16"/>
        </w:rPr>
        <w:t xml:space="preserve"> </w:t>
      </w:r>
      <w:r w:rsidRPr="005843B6">
        <w:rPr>
          <w:color w:val="000000" w:themeColor="text1"/>
          <w:sz w:val="16"/>
          <w:szCs w:val="16"/>
        </w:rPr>
        <w:t>Para "Estructuras de Presas":</w:t>
      </w:r>
    </w:p>
    <w:p w14:paraId="61ECD486" w14:textId="77777777" w:rsidR="00B2451E" w:rsidRDefault="00B2451E" w:rsidP="00B2451E">
      <w:pPr>
        <w:numPr>
          <w:ilvl w:val="0"/>
          <w:numId w:val="14"/>
        </w:numPr>
        <w:jc w:val="both"/>
        <w:rPr>
          <w:rFonts w:ascii="Calibri" w:hAnsi="Calibri" w:cs="Calibri"/>
          <w:color w:val="000000" w:themeColor="text1"/>
          <w:sz w:val="16"/>
          <w:szCs w:val="16"/>
        </w:rPr>
      </w:pPr>
      <w:r w:rsidRPr="005843B6">
        <w:rPr>
          <w:rFonts w:ascii="Calibri" w:hAnsi="Calibri" w:cs="Calibri"/>
          <w:color w:val="000000" w:themeColor="text1"/>
          <w:sz w:val="16"/>
          <w:szCs w:val="16"/>
        </w:rPr>
        <w:t>IB=0.95, FVT=0.87.</w:t>
      </w:r>
    </w:p>
    <w:p w14:paraId="55A1FBF5" w14:textId="77777777" w:rsidR="00B2451E" w:rsidRPr="00615509" w:rsidRDefault="00B2451E" w:rsidP="00B2451E">
      <w:pPr>
        <w:numPr>
          <w:ilvl w:val="0"/>
          <w:numId w:val="14"/>
        </w:numPr>
        <w:jc w:val="both"/>
        <w:rPr>
          <w:rFonts w:ascii="Calibri" w:hAnsi="Calibri" w:cs="Calibri"/>
          <w:color w:val="000000" w:themeColor="text1"/>
          <w:sz w:val="16"/>
          <w:szCs w:val="16"/>
        </w:rPr>
      </w:pPr>
      <m:oMath>
        <m:r>
          <w:rPr>
            <w:rFonts w:ascii="Cambria Math" w:hAnsi="Cambria Math" w:cs="Calibri"/>
            <w:color w:val="000000" w:themeColor="text1"/>
            <w:sz w:val="16"/>
            <w:szCs w:val="16"/>
          </w:rPr>
          <m:t xml:space="preserve">PF = 0.95 </m:t>
        </m:r>
        <m:r>
          <m:rPr>
            <m:sty m:val="p"/>
          </m:rPr>
          <w:rPr>
            <w:rFonts w:ascii="Cambria Math" w:hAnsi="Cambria Math" w:cs="Calibri"/>
            <w:color w:val="000000" w:themeColor="text1"/>
            <w:sz w:val="16"/>
            <w:szCs w:val="16"/>
          </w:rPr>
          <m:t>⋅</m:t>
        </m:r>
        <m:r>
          <w:rPr>
            <w:rFonts w:ascii="Cambria Math" w:hAnsi="Cambria Math" w:cs="Calibri"/>
            <w:color w:val="000000" w:themeColor="text1"/>
            <w:sz w:val="16"/>
            <w:szCs w:val="16"/>
          </w:rPr>
          <m:t xml:space="preserve">0.87 = 0.8265 </m:t>
        </m:r>
        <m:r>
          <m:rPr>
            <m:sty m:val="p"/>
          </m:rPr>
          <w:rPr>
            <w:rFonts w:ascii="Cambria Math" w:hAnsi="Cambria Math" w:cs="Calibri"/>
            <w:color w:val="000000" w:themeColor="text1"/>
            <w:sz w:val="16"/>
            <w:szCs w:val="16"/>
          </w:rPr>
          <m:t>≈</m:t>
        </m:r>
        <m:r>
          <w:rPr>
            <w:rFonts w:ascii="Cambria Math" w:hAnsi="Cambria Math" w:cs="Calibri"/>
            <w:color w:val="000000" w:themeColor="text1"/>
            <w:sz w:val="16"/>
            <w:szCs w:val="16"/>
          </w:rPr>
          <m:t xml:space="preserve">0.83 </m:t>
        </m:r>
      </m:oMath>
    </w:p>
    <w:p w14:paraId="424BD9B2" w14:textId="77777777" w:rsidR="00B2451E" w:rsidRDefault="00B2451E" w:rsidP="00B2451E">
      <w:pPr>
        <w:pStyle w:val="NormalWeb"/>
        <w:spacing w:before="0" w:beforeAutospacing="0" w:after="0" w:afterAutospacing="0"/>
        <w:jc w:val="both"/>
        <w:rPr>
          <w:color w:val="000000" w:themeColor="text1"/>
          <w:sz w:val="16"/>
          <w:szCs w:val="16"/>
        </w:rPr>
      </w:pPr>
    </w:p>
    <w:p w14:paraId="72EB4685" w14:textId="77777777" w:rsidR="00B2451E" w:rsidRDefault="00B2451E" w:rsidP="00B2451E">
      <w:pPr>
        <w:pStyle w:val="NormalWeb"/>
        <w:spacing w:before="0" w:beforeAutospacing="0" w:after="0" w:afterAutospacing="0"/>
        <w:rPr>
          <w:color w:val="000000" w:themeColor="text1"/>
          <w:sz w:val="16"/>
          <w:szCs w:val="16"/>
        </w:rPr>
      </w:pPr>
      <w:r w:rsidRPr="005843B6">
        <w:rPr>
          <w:rStyle w:val="Textoennegrita"/>
          <w:rFonts w:eastAsiaTheme="majorEastAsia"/>
          <w:color w:val="000000" w:themeColor="text1"/>
          <w:sz w:val="16"/>
          <w:szCs w:val="16"/>
        </w:rPr>
        <w:lastRenderedPageBreak/>
        <w:t>Relación con las Ponderaciones:</w:t>
      </w:r>
      <w:r w:rsidRPr="005843B6">
        <w:rPr>
          <w:color w:val="000000" w:themeColor="text1"/>
          <w:sz w:val="16"/>
          <w:szCs w:val="16"/>
        </w:rPr>
        <w:br/>
      </w:r>
    </w:p>
    <w:p w14:paraId="46FD59BF"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color w:val="000000" w:themeColor="text1"/>
          <w:sz w:val="16"/>
          <w:szCs w:val="16"/>
        </w:rPr>
        <w:t>El PF está relacionado con métricas globales como PNT (ponderado en 0.1), que mide el poder nacional. Un PF alto indica que el elemento es tanto importante como vulnerable, lo que lo convierte en una prioridad para estrategias de mitigación.</w:t>
      </w:r>
    </w:p>
    <w:p w14:paraId="0068D0ED"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5023D416"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Fuentes de Datos:</w:t>
      </w:r>
    </w:p>
    <w:p w14:paraId="098C2E7B" w14:textId="77777777" w:rsidR="00B2451E" w:rsidRPr="005843B6" w:rsidRDefault="00B2451E" w:rsidP="00B2451E">
      <w:pPr>
        <w:numPr>
          <w:ilvl w:val="0"/>
          <w:numId w:val="15"/>
        </w:numPr>
        <w:jc w:val="both"/>
        <w:rPr>
          <w:rFonts w:ascii="Calibri" w:hAnsi="Calibri" w:cs="Calibri"/>
          <w:color w:val="000000" w:themeColor="text1"/>
          <w:sz w:val="16"/>
          <w:szCs w:val="16"/>
        </w:rPr>
      </w:pPr>
      <w:hyperlink r:id="rId19" w:tgtFrame="_blank" w:history="1">
        <w:proofErr w:type="spellStart"/>
        <w:r w:rsidRPr="005843B6">
          <w:rPr>
            <w:rStyle w:val="Hipervnculo"/>
            <w:rFonts w:ascii="Calibri" w:eastAsiaTheme="majorEastAsia" w:hAnsi="Calibri" w:cs="Calibri"/>
            <w:color w:val="000000" w:themeColor="text1"/>
            <w:sz w:val="16"/>
            <w:szCs w:val="16"/>
          </w:rPr>
          <w:t>Critical</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Infrastructure</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Risk</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Assessment</w:t>
        </w:r>
        <w:proofErr w:type="spellEnd"/>
        <w:r w:rsidRPr="005843B6">
          <w:rPr>
            <w:rStyle w:val="Hipervnculo"/>
            <w:rFonts w:ascii="Calibri" w:eastAsiaTheme="majorEastAsia" w:hAnsi="Calibri" w:cs="Calibri"/>
            <w:color w:val="000000" w:themeColor="text1"/>
            <w:sz w:val="16"/>
            <w:szCs w:val="16"/>
          </w:rPr>
          <w:t xml:space="preserve"> - EU</w:t>
        </w:r>
      </w:hyperlink>
      <w:r w:rsidRPr="005843B6">
        <w:rPr>
          <w:rFonts w:ascii="Calibri" w:hAnsi="Calibri" w:cs="Calibri"/>
          <w:color w:val="000000" w:themeColor="text1"/>
          <w:sz w:val="16"/>
          <w:szCs w:val="16"/>
        </w:rPr>
        <w:t>: La Unión Europea proporciona metodologías para calcular índices de riesgo que combinan importancia y vulnerabilidad, similares al PF.</w:t>
      </w:r>
    </w:p>
    <w:p w14:paraId="61DFE86B" w14:textId="77777777" w:rsidR="00B2451E" w:rsidRPr="005843B6" w:rsidRDefault="00B2451E" w:rsidP="00B2451E">
      <w:pPr>
        <w:numPr>
          <w:ilvl w:val="0"/>
          <w:numId w:val="15"/>
        </w:numPr>
        <w:jc w:val="both"/>
        <w:rPr>
          <w:rFonts w:ascii="Calibri" w:hAnsi="Calibri" w:cs="Calibri"/>
          <w:color w:val="000000" w:themeColor="text1"/>
          <w:sz w:val="16"/>
          <w:szCs w:val="16"/>
        </w:rPr>
      </w:pPr>
      <w:hyperlink r:id="rId20" w:tgtFrame="_blank" w:history="1">
        <w:proofErr w:type="spellStart"/>
        <w:r w:rsidRPr="005843B6">
          <w:rPr>
            <w:rStyle w:val="Hipervnculo"/>
            <w:rFonts w:ascii="Calibri" w:eastAsiaTheme="majorEastAsia" w:hAnsi="Calibri" w:cs="Calibri"/>
            <w:color w:val="000000" w:themeColor="text1"/>
            <w:sz w:val="16"/>
            <w:szCs w:val="16"/>
          </w:rPr>
          <w:t>Risk</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Prioritization</w:t>
        </w:r>
        <w:proofErr w:type="spellEnd"/>
        <w:r w:rsidRPr="005843B6">
          <w:rPr>
            <w:rStyle w:val="Hipervnculo"/>
            <w:rFonts w:ascii="Calibri" w:eastAsiaTheme="majorEastAsia" w:hAnsi="Calibri" w:cs="Calibri"/>
            <w:color w:val="000000" w:themeColor="text1"/>
            <w:sz w:val="16"/>
            <w:szCs w:val="16"/>
          </w:rPr>
          <w:t xml:space="preserve"> Framework - </w:t>
        </w:r>
        <w:proofErr w:type="spellStart"/>
        <w:r w:rsidRPr="005843B6">
          <w:rPr>
            <w:rStyle w:val="Hipervnculo"/>
            <w:rFonts w:ascii="Calibri" w:eastAsiaTheme="majorEastAsia" w:hAnsi="Calibri" w:cs="Calibri"/>
            <w:color w:val="000000" w:themeColor="text1"/>
            <w:sz w:val="16"/>
            <w:szCs w:val="16"/>
          </w:rPr>
          <w:t>World</w:t>
        </w:r>
        <w:proofErr w:type="spellEnd"/>
        <w:r w:rsidRPr="005843B6">
          <w:rPr>
            <w:rStyle w:val="Hipervnculo"/>
            <w:rFonts w:ascii="Calibri" w:eastAsiaTheme="majorEastAsia" w:hAnsi="Calibri" w:cs="Calibri"/>
            <w:color w:val="000000" w:themeColor="text1"/>
            <w:sz w:val="16"/>
            <w:szCs w:val="16"/>
          </w:rPr>
          <w:t xml:space="preserve"> Bank</w:t>
        </w:r>
      </w:hyperlink>
      <w:r w:rsidRPr="005843B6">
        <w:rPr>
          <w:rFonts w:ascii="Calibri" w:hAnsi="Calibri" w:cs="Calibri"/>
          <w:color w:val="000000" w:themeColor="text1"/>
          <w:sz w:val="16"/>
          <w:szCs w:val="16"/>
        </w:rPr>
        <w:t>: El Banco Mundial ofrece un marco para priorizar riesgos en infraestructura, útil para validar el cálculo del PF.</w:t>
      </w:r>
    </w:p>
    <w:p w14:paraId="65E43280" w14:textId="77777777" w:rsidR="00B2451E" w:rsidRPr="005843B6" w:rsidRDefault="00300068" w:rsidP="00B2451E">
      <w:pPr>
        <w:jc w:val="both"/>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4E3121F2">
          <v:rect id="_x0000_i1030" alt="" style="width:441.9pt;height:.05pt;mso-width-percent:0;mso-height-percent:0;mso-width-percent:0;mso-height-percent:0" o:hralign="center" o:hrstd="t" o:hr="t" fillcolor="#a0a0a0" stroked="f"/>
        </w:pict>
      </w:r>
    </w:p>
    <w:p w14:paraId="7E724C56" w14:textId="77777777" w:rsidR="00B2451E" w:rsidRPr="005843B6" w:rsidRDefault="00B2451E" w:rsidP="00B2451E">
      <w:pPr>
        <w:pStyle w:val="TtulosVariable"/>
      </w:pPr>
      <w:r w:rsidRPr="005843B6">
        <w:t>10. Impacto en el RMD (IRMD)</w:t>
      </w:r>
    </w:p>
    <w:p w14:paraId="01E77868"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2802D652"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Significado:</w:t>
      </w:r>
      <w:r>
        <w:rPr>
          <w:color w:val="000000" w:themeColor="text1"/>
          <w:sz w:val="16"/>
          <w:szCs w:val="16"/>
        </w:rPr>
        <w:t xml:space="preserve"> </w:t>
      </w:r>
      <w:r w:rsidRPr="005843B6">
        <w:rPr>
          <w:color w:val="000000" w:themeColor="text1"/>
          <w:sz w:val="16"/>
          <w:szCs w:val="16"/>
        </w:rPr>
        <w:t>El Impacto en el RMD</w:t>
      </w:r>
      <w:r>
        <w:rPr>
          <w:color w:val="000000" w:themeColor="text1"/>
          <w:sz w:val="16"/>
          <w:szCs w:val="16"/>
        </w:rPr>
        <w:t xml:space="preserve"> 2.0</w:t>
      </w:r>
      <w:r w:rsidRPr="005843B6">
        <w:rPr>
          <w:color w:val="000000" w:themeColor="text1"/>
          <w:sz w:val="16"/>
          <w:szCs w:val="16"/>
        </w:rPr>
        <w:t xml:space="preserve"> clasifica cómo el fallo del elemento afecta un modelo de análisis de conflictos (en este caso, el modelo RMD). Representa el impacto del elemento en la dinámica de conflictos, considerando factores como la entropía social o el riesgo de escalada.</w:t>
      </w:r>
    </w:p>
    <w:p w14:paraId="0FE4C589"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567AD6A9"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Cómo se Calcula:</w:t>
      </w:r>
    </w:p>
    <w:p w14:paraId="4189EC95" w14:textId="77777777" w:rsidR="00B2451E" w:rsidRPr="005843B6" w:rsidRDefault="00B2451E" w:rsidP="00B2451E">
      <w:pPr>
        <w:numPr>
          <w:ilvl w:val="0"/>
          <w:numId w:val="16"/>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Escala Cualitativa:</w:t>
      </w:r>
      <w:r w:rsidRPr="005843B6">
        <w:rPr>
          <w:rFonts w:ascii="Calibri" w:hAnsi="Calibri" w:cs="Calibri"/>
          <w:color w:val="000000" w:themeColor="text1"/>
          <w:sz w:val="16"/>
          <w:szCs w:val="16"/>
        </w:rPr>
        <w:t xml:space="preserve"> Alta, Media, Baja.</w:t>
      </w:r>
    </w:p>
    <w:p w14:paraId="6345EC24" w14:textId="77777777" w:rsidR="00B2451E" w:rsidRPr="005843B6" w:rsidRDefault="00B2451E" w:rsidP="00B2451E">
      <w:pPr>
        <w:numPr>
          <w:ilvl w:val="0"/>
          <w:numId w:val="16"/>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Relación con PF:</w:t>
      </w:r>
      <w:r w:rsidRPr="005843B6">
        <w:rPr>
          <w:rFonts w:ascii="Calibri" w:hAnsi="Calibri" w:cs="Calibri"/>
          <w:color w:val="000000" w:themeColor="text1"/>
          <w:sz w:val="16"/>
          <w:szCs w:val="16"/>
        </w:rPr>
        <w:t xml:space="preserve"> Se basa en el PF, con umbrales definidos: </w:t>
      </w:r>
    </w:p>
    <w:p w14:paraId="0C80FD05" w14:textId="77777777" w:rsidR="00B2451E" w:rsidRPr="005843B6" w:rsidRDefault="00B2451E" w:rsidP="00B2451E">
      <w:pPr>
        <w:ind w:left="720"/>
        <w:jc w:val="both"/>
        <w:rPr>
          <w:rFonts w:ascii="Calibri" w:hAnsi="Calibri" w:cs="Calibri"/>
          <w:color w:val="000000" w:themeColor="text1"/>
          <w:sz w:val="16"/>
          <w:szCs w:val="16"/>
        </w:rPr>
      </w:pPr>
      <w:r w:rsidRPr="005843B6">
        <w:rPr>
          <w:rFonts w:ascii="Calibri" w:hAnsi="Calibri" w:cs="Calibri"/>
          <w:color w:val="000000" w:themeColor="text1"/>
          <w:sz w:val="16"/>
          <w:szCs w:val="16"/>
        </w:rPr>
        <w:t>Alto: PF &gt; 0.5</w:t>
      </w:r>
    </w:p>
    <w:p w14:paraId="4B77576C" w14:textId="77777777" w:rsidR="00B2451E" w:rsidRPr="005843B6" w:rsidRDefault="00B2451E" w:rsidP="00B2451E">
      <w:pPr>
        <w:ind w:left="720"/>
        <w:jc w:val="both"/>
        <w:rPr>
          <w:rFonts w:ascii="Calibri" w:hAnsi="Calibri" w:cs="Calibri"/>
          <w:color w:val="000000" w:themeColor="text1"/>
          <w:sz w:val="16"/>
          <w:szCs w:val="16"/>
        </w:rPr>
      </w:pPr>
      <w:r w:rsidRPr="005843B6">
        <w:rPr>
          <w:rFonts w:ascii="Calibri" w:hAnsi="Calibri" w:cs="Calibri"/>
          <w:color w:val="000000" w:themeColor="text1"/>
          <w:sz w:val="16"/>
          <w:szCs w:val="16"/>
        </w:rPr>
        <w:t>Medio: PF entre 0.3 y 0.5</w:t>
      </w:r>
    </w:p>
    <w:p w14:paraId="3C61A353" w14:textId="77777777" w:rsidR="00B2451E" w:rsidRPr="005843B6" w:rsidRDefault="00B2451E" w:rsidP="00B2451E">
      <w:pPr>
        <w:ind w:left="720"/>
        <w:jc w:val="both"/>
        <w:rPr>
          <w:rFonts w:ascii="Calibri" w:hAnsi="Calibri" w:cs="Calibri"/>
          <w:color w:val="000000" w:themeColor="text1"/>
          <w:sz w:val="16"/>
          <w:szCs w:val="16"/>
        </w:rPr>
      </w:pPr>
      <w:r w:rsidRPr="005843B6">
        <w:rPr>
          <w:rFonts w:ascii="Calibri" w:hAnsi="Calibri" w:cs="Calibri"/>
          <w:color w:val="000000" w:themeColor="text1"/>
          <w:sz w:val="16"/>
          <w:szCs w:val="16"/>
        </w:rPr>
        <w:t>Bajo: PF &lt; 0.3</w:t>
      </w:r>
    </w:p>
    <w:p w14:paraId="08C37FDF" w14:textId="77777777" w:rsidR="00B2451E" w:rsidRPr="005843B6" w:rsidRDefault="00B2451E" w:rsidP="00B2451E">
      <w:pPr>
        <w:numPr>
          <w:ilvl w:val="0"/>
          <w:numId w:val="16"/>
        </w:numPr>
        <w:jc w:val="both"/>
        <w:rPr>
          <w:rFonts w:ascii="Calibri" w:hAnsi="Calibri" w:cs="Calibri"/>
          <w:color w:val="000000" w:themeColor="text1"/>
          <w:sz w:val="16"/>
          <w:szCs w:val="16"/>
        </w:rPr>
      </w:pPr>
      <w:r w:rsidRPr="005843B6">
        <w:rPr>
          <w:rStyle w:val="Textoennegrita"/>
          <w:rFonts w:ascii="Calibri" w:eastAsiaTheme="majorEastAsia" w:hAnsi="Calibri" w:cs="Calibri"/>
          <w:color w:val="000000" w:themeColor="text1"/>
          <w:sz w:val="16"/>
          <w:szCs w:val="16"/>
        </w:rPr>
        <w:t>Método:</w:t>
      </w:r>
      <w:r w:rsidRPr="005843B6">
        <w:rPr>
          <w:rFonts w:ascii="Calibri" w:hAnsi="Calibri" w:cs="Calibri"/>
          <w:color w:val="000000" w:themeColor="text1"/>
          <w:sz w:val="16"/>
          <w:szCs w:val="16"/>
        </w:rPr>
        <w:t xml:space="preserve"> El IRMD evalúa cómo la pérdida del elemento podría amplificar un conflicto, considerando su importancia y vulnerabilidad (medidas por PF).</w:t>
      </w:r>
    </w:p>
    <w:p w14:paraId="4F0D43E2"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4AF225F1"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Ejemplo:</w:t>
      </w:r>
      <w:r w:rsidRPr="005843B6">
        <w:rPr>
          <w:color w:val="000000" w:themeColor="text1"/>
          <w:sz w:val="16"/>
          <w:szCs w:val="16"/>
        </w:rPr>
        <w:br/>
        <w:t>Para "Estructuras de Presas":</w:t>
      </w:r>
    </w:p>
    <w:p w14:paraId="46A67D85" w14:textId="77777777" w:rsidR="00B2451E" w:rsidRPr="005843B6" w:rsidRDefault="00B2451E" w:rsidP="00B2451E">
      <w:pPr>
        <w:numPr>
          <w:ilvl w:val="0"/>
          <w:numId w:val="17"/>
        </w:numPr>
        <w:jc w:val="both"/>
        <w:rPr>
          <w:rFonts w:ascii="Calibri" w:hAnsi="Calibri" w:cs="Calibri"/>
          <w:color w:val="000000" w:themeColor="text1"/>
          <w:sz w:val="16"/>
          <w:szCs w:val="16"/>
        </w:rPr>
      </w:pPr>
      <w:r w:rsidRPr="005843B6">
        <w:rPr>
          <w:rFonts w:ascii="Calibri" w:hAnsi="Calibri" w:cs="Calibri"/>
          <w:color w:val="000000" w:themeColor="text1"/>
          <w:sz w:val="16"/>
          <w:szCs w:val="16"/>
        </w:rPr>
        <w:t>PF=0.8.</w:t>
      </w:r>
    </w:p>
    <w:p w14:paraId="7C2A3187" w14:textId="77777777" w:rsidR="00B2451E" w:rsidRPr="005843B6" w:rsidRDefault="00B2451E" w:rsidP="00B2451E">
      <w:pPr>
        <w:numPr>
          <w:ilvl w:val="0"/>
          <w:numId w:val="17"/>
        </w:numPr>
        <w:jc w:val="both"/>
        <w:rPr>
          <w:rFonts w:ascii="Calibri" w:hAnsi="Calibri" w:cs="Calibri"/>
          <w:color w:val="000000" w:themeColor="text1"/>
          <w:sz w:val="16"/>
          <w:szCs w:val="16"/>
        </w:rPr>
      </w:pPr>
      <w:r w:rsidRPr="005843B6">
        <w:rPr>
          <w:rFonts w:ascii="Calibri" w:hAnsi="Calibri" w:cs="Calibri"/>
          <w:color w:val="000000" w:themeColor="text1"/>
          <w:sz w:val="16"/>
          <w:szCs w:val="16"/>
        </w:rPr>
        <w:t>Como PF &gt; 0.5, el IRMD es "Alto", lo que indica que el fallo de las presas tendría un impacto significativo en el conflicto (por ejemplo, al interrumpir el suministro de agua).</w:t>
      </w:r>
    </w:p>
    <w:p w14:paraId="79BAFC8E"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1577BED0" w14:textId="77777777" w:rsidR="00B2451E" w:rsidRPr="005843B6" w:rsidRDefault="00B2451E" w:rsidP="00B2451E">
      <w:pPr>
        <w:pStyle w:val="NormalWeb"/>
        <w:spacing w:before="0" w:beforeAutospacing="0" w:after="0" w:afterAutospacing="0"/>
        <w:rPr>
          <w:color w:val="000000" w:themeColor="text1"/>
          <w:sz w:val="16"/>
          <w:szCs w:val="16"/>
        </w:rPr>
      </w:pPr>
      <w:r w:rsidRPr="005843B6">
        <w:rPr>
          <w:rStyle w:val="Textoennegrita"/>
          <w:rFonts w:eastAsiaTheme="majorEastAsia"/>
          <w:color w:val="000000" w:themeColor="text1"/>
          <w:sz w:val="16"/>
          <w:szCs w:val="16"/>
        </w:rPr>
        <w:t>Relación con las Ponderaciones:</w:t>
      </w:r>
      <w:r>
        <w:rPr>
          <w:color w:val="000000" w:themeColor="text1"/>
          <w:sz w:val="16"/>
          <w:szCs w:val="16"/>
        </w:rPr>
        <w:t xml:space="preserve"> </w:t>
      </w:r>
      <w:r w:rsidRPr="005843B6">
        <w:rPr>
          <w:color w:val="000000" w:themeColor="text1"/>
          <w:sz w:val="16"/>
          <w:szCs w:val="16"/>
        </w:rPr>
        <w:t>El IRMD está relacionado con métricas que evalúan el riesgo de escalada (como ITMC, que mide el riesgo de conflicto mayor). También se ve influenciado por ponderaciones como PNT (0.1), ya que la pérdida de elementos con alto IRMD afecta la estabilidad general.</w:t>
      </w:r>
    </w:p>
    <w:p w14:paraId="2DDFE258"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00FB06F7"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r w:rsidRPr="005843B6">
        <w:rPr>
          <w:rStyle w:val="Textoennegrita"/>
          <w:rFonts w:eastAsiaTheme="majorEastAsia"/>
          <w:color w:val="000000" w:themeColor="text1"/>
          <w:sz w:val="16"/>
          <w:szCs w:val="16"/>
        </w:rPr>
        <w:t>Fuentes de Datos:</w:t>
      </w:r>
    </w:p>
    <w:p w14:paraId="5667B74C" w14:textId="77777777" w:rsidR="00F43F32" w:rsidRPr="005843B6" w:rsidRDefault="00F43F32" w:rsidP="00B2451E">
      <w:pPr>
        <w:pStyle w:val="NormalWeb"/>
        <w:spacing w:before="0" w:beforeAutospacing="0" w:after="0" w:afterAutospacing="0"/>
        <w:jc w:val="both"/>
        <w:rPr>
          <w:color w:val="000000" w:themeColor="text1"/>
          <w:sz w:val="16"/>
          <w:szCs w:val="16"/>
        </w:rPr>
      </w:pPr>
    </w:p>
    <w:p w14:paraId="3946DFAA" w14:textId="77777777" w:rsidR="00B2451E" w:rsidRDefault="00B2451E" w:rsidP="00B2451E">
      <w:pPr>
        <w:numPr>
          <w:ilvl w:val="0"/>
          <w:numId w:val="18"/>
        </w:numPr>
        <w:jc w:val="both"/>
        <w:rPr>
          <w:rFonts w:ascii="Calibri" w:hAnsi="Calibri" w:cs="Calibri"/>
          <w:color w:val="000000" w:themeColor="text1"/>
          <w:sz w:val="16"/>
          <w:szCs w:val="16"/>
        </w:rPr>
      </w:pPr>
      <w:hyperlink r:id="rId21" w:tgtFrame="_blank" w:history="1">
        <w:proofErr w:type="spellStart"/>
        <w:r w:rsidRPr="005843B6">
          <w:rPr>
            <w:rStyle w:val="Hipervnculo"/>
            <w:rFonts w:ascii="Calibri" w:eastAsiaTheme="majorEastAsia" w:hAnsi="Calibri" w:cs="Calibri"/>
            <w:color w:val="000000" w:themeColor="text1"/>
            <w:sz w:val="16"/>
            <w:szCs w:val="16"/>
          </w:rPr>
          <w:t>Conflict</w:t>
        </w:r>
        <w:proofErr w:type="spellEnd"/>
        <w:r w:rsidRPr="005843B6">
          <w:rPr>
            <w:rStyle w:val="Hipervnculo"/>
            <w:rFonts w:ascii="Calibri" w:eastAsiaTheme="majorEastAsia" w:hAnsi="Calibri" w:cs="Calibri"/>
            <w:color w:val="000000" w:themeColor="text1"/>
            <w:sz w:val="16"/>
            <w:szCs w:val="16"/>
          </w:rPr>
          <w:t xml:space="preserve"> and </w:t>
        </w:r>
        <w:proofErr w:type="spellStart"/>
        <w:r w:rsidRPr="005843B6">
          <w:rPr>
            <w:rStyle w:val="Hipervnculo"/>
            <w:rFonts w:ascii="Calibri" w:eastAsiaTheme="majorEastAsia" w:hAnsi="Calibri" w:cs="Calibri"/>
            <w:color w:val="000000" w:themeColor="text1"/>
            <w:sz w:val="16"/>
            <w:szCs w:val="16"/>
          </w:rPr>
          <w:t>Fragility</w:t>
        </w:r>
        <w:proofErr w:type="spellEnd"/>
        <w:r w:rsidRPr="005843B6">
          <w:rPr>
            <w:rStyle w:val="Hipervnculo"/>
            <w:rFonts w:ascii="Calibri" w:eastAsiaTheme="majorEastAsia" w:hAnsi="Calibri" w:cs="Calibri"/>
            <w:color w:val="000000" w:themeColor="text1"/>
            <w:sz w:val="16"/>
            <w:szCs w:val="16"/>
          </w:rPr>
          <w:t xml:space="preserve"> Framework - OECD</w:t>
        </w:r>
      </w:hyperlink>
      <w:r w:rsidRPr="005843B6">
        <w:rPr>
          <w:rFonts w:ascii="Calibri" w:hAnsi="Calibri" w:cs="Calibri"/>
          <w:color w:val="000000" w:themeColor="text1"/>
          <w:sz w:val="16"/>
          <w:szCs w:val="16"/>
        </w:rPr>
        <w:t>: La Organización para la Cooperación y el Desarrollo Económicos (OECD) proporciona un marco para evaluar el impacto de fallos de infraestructura en conflictos, útil para determinar el IRMD.</w:t>
      </w:r>
    </w:p>
    <w:p w14:paraId="3D67464D" w14:textId="77777777" w:rsidR="00F43F32" w:rsidRPr="005843B6" w:rsidRDefault="00F43F32" w:rsidP="00F43F32">
      <w:pPr>
        <w:jc w:val="both"/>
        <w:rPr>
          <w:rFonts w:ascii="Calibri" w:hAnsi="Calibri" w:cs="Calibri"/>
          <w:color w:val="000000" w:themeColor="text1"/>
          <w:sz w:val="16"/>
          <w:szCs w:val="16"/>
        </w:rPr>
      </w:pPr>
    </w:p>
    <w:p w14:paraId="6EFF3D7F" w14:textId="77777777" w:rsidR="00B2451E" w:rsidRPr="005843B6" w:rsidRDefault="00B2451E" w:rsidP="00B2451E">
      <w:pPr>
        <w:numPr>
          <w:ilvl w:val="0"/>
          <w:numId w:val="18"/>
        </w:numPr>
        <w:jc w:val="both"/>
        <w:rPr>
          <w:rFonts w:ascii="Calibri" w:hAnsi="Calibri" w:cs="Calibri"/>
          <w:color w:val="000000" w:themeColor="text1"/>
          <w:sz w:val="16"/>
          <w:szCs w:val="16"/>
        </w:rPr>
      </w:pPr>
      <w:hyperlink r:id="rId22"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Conflict</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Risk</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Index</w:t>
        </w:r>
        <w:proofErr w:type="spellEnd"/>
        <w:r w:rsidRPr="005843B6">
          <w:rPr>
            <w:rStyle w:val="Hipervnculo"/>
            <w:rFonts w:ascii="Calibri" w:eastAsiaTheme="majorEastAsia" w:hAnsi="Calibri" w:cs="Calibri"/>
            <w:color w:val="000000" w:themeColor="text1"/>
            <w:sz w:val="16"/>
            <w:szCs w:val="16"/>
          </w:rPr>
          <w:t xml:space="preserve"> - JRC</w:t>
        </w:r>
      </w:hyperlink>
      <w:r w:rsidRPr="005843B6">
        <w:rPr>
          <w:rFonts w:ascii="Calibri" w:hAnsi="Calibri" w:cs="Calibri"/>
          <w:color w:val="000000" w:themeColor="text1"/>
          <w:sz w:val="16"/>
          <w:szCs w:val="16"/>
        </w:rPr>
        <w:t>: El Centro Común de Investigación (JRC) de la Comisión Europea ofrece índices de riesgo de conflicto que pueden usarse para contextualizar el IRMD.</w:t>
      </w:r>
    </w:p>
    <w:p w14:paraId="50E7140B" w14:textId="77777777" w:rsidR="00B2451E" w:rsidRPr="005843B6" w:rsidRDefault="00300068" w:rsidP="00B2451E">
      <w:pPr>
        <w:jc w:val="both"/>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293A39BF">
          <v:rect id="_x0000_i1029" alt="" style="width:441.9pt;height:.05pt;mso-width-percent:0;mso-height-percent:0;mso-width-percent:0;mso-height-percent:0" o:hralign="center" o:hrstd="t" o:hr="t" fillcolor="#a0a0a0" stroked="f"/>
        </w:pict>
      </w:r>
    </w:p>
    <w:p w14:paraId="7D9003B0" w14:textId="77777777" w:rsidR="00F43F32" w:rsidRDefault="00F43F32" w:rsidP="00B2451E">
      <w:pPr>
        <w:pStyle w:val="TtulosVariable"/>
      </w:pPr>
    </w:p>
    <w:p w14:paraId="1973D40C" w14:textId="77777777" w:rsidR="00F43F32" w:rsidRDefault="00F43F32" w:rsidP="00F43F32">
      <w:pPr>
        <w:pStyle w:val="TtulosVariable"/>
      </w:pPr>
      <w:r w:rsidRPr="00F43F32">
        <w:t>11. Prioridad Estratégica para Conflicto Vertical y Regular (Pev)</w:t>
      </w:r>
    </w:p>
    <w:p w14:paraId="60B0667F" w14:textId="77777777" w:rsidR="00F43F32" w:rsidRDefault="00F43F32" w:rsidP="00F43F32">
      <w:pPr>
        <w:pStyle w:val="TtulosVariable"/>
      </w:pPr>
    </w:p>
    <w:p w14:paraId="2742D78A" w14:textId="5DF6D0AD" w:rsidR="00F43F32" w:rsidRPr="00D97720" w:rsidRDefault="00F43F32" w:rsidP="00F43F32">
      <w:pPr>
        <w:pStyle w:val="TtulosVariable"/>
        <w:rPr>
          <w:b w:val="0"/>
          <w:bCs w:val="0"/>
          <w:color w:val="000000" w:themeColor="text1"/>
          <w:sz w:val="16"/>
          <w:szCs w:val="16"/>
        </w:rPr>
      </w:pPr>
      <w:r w:rsidRPr="00D97720">
        <w:rPr>
          <w:rStyle w:val="Textoennegrita"/>
          <w:b/>
          <w:bCs/>
          <w:color w:val="000000" w:themeColor="text1"/>
          <w:sz w:val="16"/>
          <w:szCs w:val="16"/>
        </w:rPr>
        <w:t>Significado</w:t>
      </w:r>
      <w:r w:rsidRPr="00D97720">
        <w:rPr>
          <w:b w:val="0"/>
          <w:bCs w:val="0"/>
          <w:color w:val="000000" w:themeColor="text1"/>
          <w:sz w:val="16"/>
          <w:szCs w:val="16"/>
        </w:rPr>
        <w:t>:</w:t>
      </w:r>
    </w:p>
    <w:p w14:paraId="71A1D3FD" w14:textId="77777777" w:rsidR="00F43F32" w:rsidRPr="00D97720" w:rsidRDefault="00F43F32" w:rsidP="00F43F32">
      <w:pPr>
        <w:pStyle w:val="break-words"/>
        <w:spacing w:before="0" w:beforeAutospacing="0" w:after="0" w:afterAutospacing="0"/>
        <w:jc w:val="both"/>
        <w:rPr>
          <w:rFonts w:ascii="Calibri" w:hAnsi="Calibri" w:cs="Calibri"/>
          <w:sz w:val="16"/>
          <w:szCs w:val="16"/>
        </w:rPr>
      </w:pPr>
    </w:p>
    <w:p w14:paraId="0255397C" w14:textId="77777777"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La Prioridad Estratégica para Conflicto Vertical y Regular (</w:t>
      </w:r>
      <w:proofErr w:type="spellStart"/>
      <w:r w:rsidRPr="00D97720">
        <w:rPr>
          <w:rFonts w:ascii="Calibri" w:hAnsi="Calibri" w:cs="Calibri"/>
          <w:sz w:val="16"/>
          <w:szCs w:val="16"/>
        </w:rPr>
        <w:t>Pev</w:t>
      </w:r>
      <w:proofErr w:type="spellEnd"/>
      <w:r w:rsidRPr="00D97720">
        <w:rPr>
          <w:rFonts w:ascii="Calibri" w:hAnsi="Calibri" w:cs="Calibri"/>
          <w:sz w:val="16"/>
          <w:szCs w:val="16"/>
        </w:rPr>
        <w:t xml:space="preserve">) clasifica la prioridad de proteger cada elemento de infraestructura crítica en el contexto de un conflicto armado de alta intensidad, vertical y regular, como guerras convencionales entre estados. </w:t>
      </w:r>
    </w:p>
    <w:p w14:paraId="5E1932CA" w14:textId="77777777" w:rsidR="00F43F32" w:rsidRPr="00D97720" w:rsidRDefault="00F43F32" w:rsidP="00F43F32">
      <w:pPr>
        <w:pStyle w:val="break-words"/>
        <w:spacing w:before="0" w:beforeAutospacing="0" w:after="0" w:afterAutospacing="0"/>
        <w:jc w:val="both"/>
        <w:rPr>
          <w:rFonts w:ascii="Calibri" w:hAnsi="Calibri" w:cs="Calibri"/>
          <w:sz w:val="16"/>
          <w:szCs w:val="16"/>
        </w:rPr>
      </w:pPr>
    </w:p>
    <w:p w14:paraId="2A2B7FF5" w14:textId="77777777"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Evalúa la importancia estratégica y la vulnerabilidad del elemento frente a ataques directos (ej. bombardeos, ataques físicos) comunes en este tipo de conflictos, permitiendo a tomadores de decisiones (ej. jefes militares) identificar rápidamente los activos más críticos a proteger. </w:t>
      </w:r>
    </w:p>
    <w:p w14:paraId="505BA3F1" w14:textId="77777777" w:rsidR="00F43F32" w:rsidRPr="00D97720" w:rsidRDefault="00F43F32" w:rsidP="00F43F32">
      <w:pPr>
        <w:pStyle w:val="break-words"/>
        <w:spacing w:before="0" w:beforeAutospacing="0" w:after="0" w:afterAutospacing="0"/>
        <w:jc w:val="both"/>
        <w:rPr>
          <w:rFonts w:ascii="Calibri" w:hAnsi="Calibri" w:cs="Calibri"/>
          <w:sz w:val="16"/>
          <w:szCs w:val="16"/>
        </w:rPr>
      </w:pPr>
    </w:p>
    <w:p w14:paraId="363211A6" w14:textId="61D8AC6C"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La </w:t>
      </w:r>
      <w:proofErr w:type="spellStart"/>
      <w:r w:rsidRPr="00D97720">
        <w:rPr>
          <w:rFonts w:ascii="Calibri" w:hAnsi="Calibri" w:cs="Calibri"/>
          <w:sz w:val="16"/>
          <w:szCs w:val="16"/>
        </w:rPr>
        <w:t>Pev</w:t>
      </w:r>
      <w:proofErr w:type="spellEnd"/>
      <w:r w:rsidRPr="00D97720">
        <w:rPr>
          <w:rFonts w:ascii="Calibri" w:hAnsi="Calibri" w:cs="Calibri"/>
          <w:sz w:val="16"/>
          <w:szCs w:val="16"/>
        </w:rPr>
        <w:t xml:space="preserve"> se presenta en una escala cualitativa de cinco categorías: Muy Alta, Alta, Media, Baja, y Muy Baja, donde "Muy Alta" indica la máxima prioridad estratégica.</w:t>
      </w:r>
    </w:p>
    <w:p w14:paraId="408D6166" w14:textId="77777777" w:rsidR="00F43F32" w:rsidRPr="00D97720" w:rsidRDefault="00F43F32" w:rsidP="00F43F32">
      <w:pPr>
        <w:pStyle w:val="break-words"/>
        <w:spacing w:before="0" w:beforeAutospacing="0" w:after="0" w:afterAutospacing="0"/>
        <w:jc w:val="both"/>
        <w:rPr>
          <w:rStyle w:val="Textoennegrita"/>
          <w:rFonts w:ascii="Calibri" w:eastAsiaTheme="majorEastAsia" w:hAnsi="Calibri" w:cs="Calibri"/>
          <w:sz w:val="16"/>
          <w:szCs w:val="16"/>
        </w:rPr>
      </w:pPr>
    </w:p>
    <w:p w14:paraId="37C28000" w14:textId="2C4079CC"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Cómo se Calcula</w:t>
      </w:r>
      <w:r w:rsidRPr="00D97720">
        <w:rPr>
          <w:rFonts w:ascii="Calibri" w:hAnsi="Calibri" w:cs="Calibri"/>
          <w:sz w:val="16"/>
          <w:szCs w:val="16"/>
        </w:rPr>
        <w:t>:</w:t>
      </w:r>
    </w:p>
    <w:p w14:paraId="0F5C8E04" w14:textId="77777777" w:rsidR="00F43F32" w:rsidRPr="00D97720" w:rsidRDefault="00F43F32" w:rsidP="00F43F32">
      <w:pPr>
        <w:pStyle w:val="break-words"/>
        <w:spacing w:before="0" w:beforeAutospacing="0" w:after="0" w:afterAutospacing="0"/>
        <w:jc w:val="both"/>
        <w:rPr>
          <w:rFonts w:ascii="Calibri" w:hAnsi="Calibri" w:cs="Calibri"/>
          <w:sz w:val="16"/>
          <w:szCs w:val="16"/>
        </w:rPr>
      </w:pPr>
    </w:p>
    <w:p w14:paraId="39DBE8F1" w14:textId="0ADE5B2D"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La </w:t>
      </w:r>
      <w:proofErr w:type="spellStart"/>
      <w:r w:rsidRPr="00D97720">
        <w:rPr>
          <w:rFonts w:ascii="Calibri" w:hAnsi="Calibri" w:cs="Calibri"/>
          <w:sz w:val="16"/>
          <w:szCs w:val="16"/>
        </w:rPr>
        <w:t>Pev</w:t>
      </w:r>
      <w:proofErr w:type="spellEnd"/>
      <w:r w:rsidRPr="00D97720">
        <w:rPr>
          <w:rFonts w:ascii="Calibri" w:hAnsi="Calibri" w:cs="Calibri"/>
          <w:sz w:val="16"/>
          <w:szCs w:val="16"/>
        </w:rPr>
        <w:t xml:space="preserve"> se calcula mediante una fórmula que combina la </w:t>
      </w:r>
      <w:r w:rsidRPr="00D97720">
        <w:rPr>
          <w:rStyle w:val="Textoennegrita"/>
          <w:rFonts w:ascii="Calibri" w:eastAsiaTheme="majorEastAsia" w:hAnsi="Calibri" w:cs="Calibri"/>
          <w:sz w:val="16"/>
          <w:szCs w:val="16"/>
        </w:rPr>
        <w:t>Importancia Base (IB)</w:t>
      </w:r>
      <w:r w:rsidRPr="00D97720">
        <w:rPr>
          <w:rFonts w:ascii="Calibri" w:hAnsi="Calibri" w:cs="Calibri"/>
          <w:sz w:val="16"/>
          <w:szCs w:val="16"/>
        </w:rPr>
        <w:t xml:space="preserve">, la </w:t>
      </w:r>
      <w:r w:rsidRPr="00D97720">
        <w:rPr>
          <w:rStyle w:val="Textoennegrita"/>
          <w:rFonts w:ascii="Calibri" w:eastAsiaTheme="majorEastAsia" w:hAnsi="Calibri" w:cs="Calibri"/>
          <w:sz w:val="16"/>
          <w:szCs w:val="16"/>
        </w:rPr>
        <w:t>Fragilidad ante Ataques No Convencionales (FANC)</w:t>
      </w:r>
      <w:r w:rsidRPr="00D97720">
        <w:rPr>
          <w:rFonts w:ascii="Calibri" w:hAnsi="Calibri" w:cs="Calibri"/>
          <w:sz w:val="16"/>
          <w:szCs w:val="16"/>
        </w:rPr>
        <w:t xml:space="preserve">, y el </w:t>
      </w:r>
      <w:r w:rsidRPr="00D97720">
        <w:rPr>
          <w:rStyle w:val="Textoennegrita"/>
          <w:rFonts w:ascii="Calibri" w:eastAsiaTheme="majorEastAsia" w:hAnsi="Calibri" w:cs="Calibri"/>
          <w:sz w:val="16"/>
          <w:szCs w:val="16"/>
        </w:rPr>
        <w:t>Factor de Vulnerabilidad Total (FVT)</w:t>
      </w:r>
      <w:r w:rsidRPr="00D97720">
        <w:rPr>
          <w:rFonts w:ascii="Calibri" w:hAnsi="Calibri" w:cs="Calibri"/>
          <w:sz w:val="16"/>
          <w:szCs w:val="16"/>
        </w:rPr>
        <w:t>, ponderando cada métrica según su relevancia en conflictos verticales:</w:t>
      </w:r>
    </w:p>
    <w:p w14:paraId="206E7ABF" w14:textId="77777777" w:rsidR="00F43F32" w:rsidRPr="00D97720" w:rsidRDefault="00F43F32" w:rsidP="00F43F32">
      <w:pPr>
        <w:pStyle w:val="break-words"/>
        <w:spacing w:before="0" w:beforeAutospacing="0" w:after="0" w:afterAutospacing="0"/>
        <w:jc w:val="both"/>
        <w:rPr>
          <w:rFonts w:ascii="Calibri" w:hAnsi="Calibri" w:cs="Calibri"/>
          <w:sz w:val="16"/>
          <w:szCs w:val="16"/>
        </w:rPr>
      </w:pPr>
    </w:p>
    <w:p w14:paraId="44844502" w14:textId="7B144EA2" w:rsidR="00F43F32" w:rsidRPr="00D97720" w:rsidRDefault="00BF1059" w:rsidP="00F43F32">
      <w:pPr>
        <w:jc w:val="both"/>
        <w:rPr>
          <w:rFonts w:ascii="Calibri" w:hAnsi="Calibri" w:cs="Calibri"/>
          <w:sz w:val="16"/>
          <w:szCs w:val="16"/>
        </w:rPr>
      </w:pPr>
      <m:oMathPara>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vertical</m:t>
              </m:r>
            </m:sub>
          </m:sSub>
          <m:r>
            <w:rPr>
              <w:rStyle w:val="katex-mathml"/>
              <w:rFonts w:ascii="Cambria Math" w:eastAsiaTheme="majorEastAsia" w:hAnsi="Cambria Math" w:cs="Calibri"/>
              <w:sz w:val="16"/>
              <w:szCs w:val="16"/>
            </w:rPr>
            <m:t>=0.5</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IB+0.3</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FAN</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C</m:t>
              </m:r>
            </m:e>
            <m:sub>
              <m:r>
                <w:rPr>
                  <w:rStyle w:val="katex-mathml"/>
                  <w:rFonts w:ascii="Cambria Math" w:eastAsiaTheme="majorEastAsia" w:hAnsi="Cambria Math" w:cs="Calibri"/>
                  <w:sz w:val="16"/>
                  <w:szCs w:val="16"/>
                </w:rPr>
                <m:t>num</m:t>
              </m:r>
            </m:sub>
          </m:sSub>
          <m:r>
            <w:rPr>
              <w:rStyle w:val="katex-mathml"/>
              <w:rFonts w:ascii="Cambria Math" w:eastAsiaTheme="majorEastAsia" w:hAnsi="Cambria Math" w:cs="Calibri"/>
              <w:sz w:val="16"/>
              <w:szCs w:val="16"/>
            </w:rPr>
            <m:t>+0.2</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FVT</m:t>
          </m:r>
        </m:oMath>
      </m:oMathPara>
    </w:p>
    <w:p w14:paraId="2C51343D" w14:textId="77777777" w:rsidR="00F43F32" w:rsidRPr="00D97720" w:rsidRDefault="00F43F32" w:rsidP="00F43F32">
      <w:pPr>
        <w:pStyle w:val="break-words"/>
        <w:spacing w:before="0" w:beforeAutospacing="0" w:after="0" w:afterAutospacing="0"/>
        <w:jc w:val="both"/>
        <w:rPr>
          <w:rFonts w:ascii="Calibri" w:hAnsi="Calibri" w:cs="Calibri"/>
          <w:sz w:val="16"/>
          <w:szCs w:val="16"/>
        </w:rPr>
      </w:pPr>
    </w:p>
    <w:p w14:paraId="2158474D" w14:textId="2A7F47B4" w:rsidR="00F43F32" w:rsidRPr="00D97720" w:rsidRDefault="00F43F32" w:rsidP="00F43F32">
      <w:pPr>
        <w:pStyle w:val="break-words"/>
        <w:spacing w:before="0" w:beforeAutospacing="0" w:after="0" w:afterAutospacing="0"/>
        <w:jc w:val="both"/>
        <w:rPr>
          <w:rFonts w:ascii="Calibri" w:hAnsi="Calibri" w:cs="Calibri"/>
          <w:b/>
          <w:bCs/>
          <w:sz w:val="16"/>
          <w:szCs w:val="16"/>
        </w:rPr>
      </w:pPr>
      <w:r w:rsidRPr="00D97720">
        <w:rPr>
          <w:rFonts w:ascii="Calibri" w:hAnsi="Calibri" w:cs="Calibri"/>
          <w:b/>
          <w:bCs/>
          <w:sz w:val="16"/>
          <w:szCs w:val="16"/>
        </w:rPr>
        <w:t>Donde</w:t>
      </w:r>
      <w:r w:rsidR="00D97720" w:rsidRPr="00D97720">
        <w:rPr>
          <w:rFonts w:ascii="Calibri" w:hAnsi="Calibri" w:cs="Calibri"/>
          <w:b/>
          <w:bCs/>
          <w:sz w:val="16"/>
          <w:szCs w:val="16"/>
        </w:rPr>
        <w:t>:</w:t>
      </w:r>
    </w:p>
    <w:p w14:paraId="3055CDD0" w14:textId="77777777" w:rsidR="00D97720" w:rsidRPr="00D97720" w:rsidRDefault="00D97720" w:rsidP="00F43F32">
      <w:pPr>
        <w:pStyle w:val="break-words"/>
        <w:spacing w:before="0" w:beforeAutospacing="0" w:after="0" w:afterAutospacing="0"/>
        <w:jc w:val="both"/>
        <w:rPr>
          <w:rFonts w:ascii="Calibri" w:hAnsi="Calibri" w:cs="Calibri"/>
          <w:sz w:val="16"/>
          <w:szCs w:val="16"/>
        </w:rPr>
      </w:pPr>
    </w:p>
    <w:p w14:paraId="52B42C30" w14:textId="77777777" w:rsidR="00F43F32" w:rsidRDefault="00F43F32" w:rsidP="00F43F32">
      <w:pPr>
        <w:pStyle w:val="break-words"/>
        <w:numPr>
          <w:ilvl w:val="0"/>
          <w:numId w:val="23"/>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IB</w:t>
      </w:r>
      <w:r w:rsidRPr="00D97720">
        <w:rPr>
          <w:rFonts w:ascii="Calibri" w:hAnsi="Calibri" w:cs="Calibri"/>
          <w:sz w:val="16"/>
          <w:szCs w:val="16"/>
        </w:rPr>
        <w:t>: Importancia Base, en una escala de 0 a 1.</w:t>
      </w:r>
    </w:p>
    <w:p w14:paraId="4C27DD79" w14:textId="77777777" w:rsidR="00D97720" w:rsidRPr="00D97720" w:rsidRDefault="00D97720" w:rsidP="00D97720">
      <w:pPr>
        <w:pStyle w:val="break-words"/>
        <w:spacing w:before="0" w:beforeAutospacing="0" w:after="0" w:afterAutospacing="0"/>
        <w:ind w:left="720"/>
        <w:jc w:val="both"/>
        <w:rPr>
          <w:rFonts w:ascii="Calibri" w:hAnsi="Calibri" w:cs="Calibri"/>
          <w:sz w:val="16"/>
          <w:szCs w:val="16"/>
        </w:rPr>
      </w:pPr>
    </w:p>
    <w:p w14:paraId="651017C2" w14:textId="3FD6592D" w:rsidR="00F43F32" w:rsidRDefault="00BF1059" w:rsidP="00F43F32">
      <w:pPr>
        <w:pStyle w:val="break-words"/>
        <w:numPr>
          <w:ilvl w:val="0"/>
          <w:numId w:val="23"/>
        </w:numPr>
        <w:spacing w:before="0" w:beforeAutospacing="0" w:after="0" w:afterAutospacing="0"/>
        <w:jc w:val="both"/>
        <w:rPr>
          <w:rFonts w:ascii="Calibri" w:hAnsi="Calibri" w:cs="Calibri"/>
          <w:sz w:val="16"/>
          <w:szCs w:val="16"/>
        </w:rPr>
      </w:pPr>
      <m:oMath>
        <m:r>
          <m:rPr>
            <m:sty m:val="bi"/>
          </m:rPr>
          <w:rPr>
            <w:rStyle w:val="Textoennegrita"/>
            <w:rFonts w:ascii="Cambria Math" w:eastAsiaTheme="majorEastAsia" w:hAnsi="Cambria Math" w:cs="Calibri"/>
            <w:sz w:val="16"/>
            <w:szCs w:val="16"/>
          </w:rPr>
          <m:t>FAN</m:t>
        </m:r>
        <m:sSub>
          <m:sSubPr>
            <m:ctrlPr>
              <w:rPr>
                <w:rStyle w:val="Textoennegrita"/>
                <w:rFonts w:ascii="Cambria Math" w:eastAsiaTheme="majorEastAsia" w:hAnsi="Cambria Math" w:cs="Calibri"/>
                <w:b w:val="0"/>
                <w:bCs w:val="0"/>
                <w:i/>
                <w:iCs/>
                <w:sz w:val="16"/>
                <w:szCs w:val="16"/>
              </w:rPr>
            </m:ctrlPr>
          </m:sSubPr>
          <m:e>
            <m:r>
              <m:rPr>
                <m:sty m:val="bi"/>
              </m:rPr>
              <w:rPr>
                <w:rStyle w:val="Textoennegrita"/>
                <w:rFonts w:ascii="Cambria Math" w:eastAsiaTheme="majorEastAsia" w:hAnsi="Cambria Math" w:cs="Calibri"/>
                <w:sz w:val="16"/>
                <w:szCs w:val="16"/>
              </w:rPr>
              <m:t>C</m:t>
            </m:r>
          </m:e>
          <m:sub>
            <m:r>
              <m:rPr>
                <m:sty m:val="bi"/>
              </m:rPr>
              <w:rPr>
                <w:rStyle w:val="Textoennegrita"/>
                <w:rFonts w:ascii="Cambria Math" w:eastAsiaTheme="majorEastAsia" w:hAnsi="Cambria Math" w:cs="Calibri"/>
                <w:sz w:val="16"/>
                <w:szCs w:val="16"/>
              </w:rPr>
              <m:t>num</m:t>
            </m:r>
          </m:sub>
        </m:sSub>
      </m:oMath>
      <w:r w:rsidR="00F43F32" w:rsidRPr="00D97720">
        <w:rPr>
          <w:rFonts w:ascii="Calibri" w:hAnsi="Calibri" w:cs="Calibri"/>
          <w:bCs/>
          <w:sz w:val="16"/>
          <w:szCs w:val="16"/>
        </w:rPr>
        <w:t>:</w:t>
      </w:r>
      <w:r w:rsidR="00F43F32" w:rsidRPr="00D97720">
        <w:rPr>
          <w:rFonts w:ascii="Calibri" w:hAnsi="Calibri" w:cs="Calibri"/>
          <w:sz w:val="16"/>
          <w:szCs w:val="16"/>
        </w:rPr>
        <w:t xml:space="preserve"> Fragilidad ante Ataques No Convencionales, convertida a escala numérica (Alta=3, Media=2, Baja=1).</w:t>
      </w:r>
    </w:p>
    <w:p w14:paraId="29D0E70B" w14:textId="77777777" w:rsidR="00D97720" w:rsidRPr="00D97720" w:rsidRDefault="00D97720" w:rsidP="00D97720">
      <w:pPr>
        <w:pStyle w:val="break-words"/>
        <w:spacing w:before="0" w:beforeAutospacing="0" w:after="0" w:afterAutospacing="0"/>
        <w:jc w:val="both"/>
        <w:rPr>
          <w:rFonts w:ascii="Calibri" w:hAnsi="Calibri" w:cs="Calibri"/>
          <w:sz w:val="16"/>
          <w:szCs w:val="16"/>
        </w:rPr>
      </w:pPr>
    </w:p>
    <w:p w14:paraId="356C6404" w14:textId="77777777" w:rsidR="00F43F32" w:rsidRPr="00D97720" w:rsidRDefault="00F43F32" w:rsidP="00F43F32">
      <w:pPr>
        <w:pStyle w:val="break-words"/>
        <w:numPr>
          <w:ilvl w:val="0"/>
          <w:numId w:val="23"/>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FVT</w:t>
      </w:r>
      <w:r w:rsidRPr="00D97720">
        <w:rPr>
          <w:rFonts w:ascii="Calibri" w:hAnsi="Calibri" w:cs="Calibri"/>
          <w:sz w:val="16"/>
          <w:szCs w:val="16"/>
        </w:rPr>
        <w:t>: Factor de Vulnerabilidad Total, en una escala de 0 a 1.</w:t>
      </w:r>
    </w:p>
    <w:p w14:paraId="3D26B6BD" w14:textId="77777777" w:rsidR="00F43F32" w:rsidRPr="00D97720" w:rsidRDefault="00F43F32" w:rsidP="00F43F32">
      <w:pPr>
        <w:pStyle w:val="break-words"/>
        <w:spacing w:before="0" w:beforeAutospacing="0" w:after="0" w:afterAutospacing="0"/>
        <w:jc w:val="both"/>
        <w:rPr>
          <w:rStyle w:val="Textoennegrita"/>
          <w:rFonts w:ascii="Calibri" w:eastAsiaTheme="majorEastAsia" w:hAnsi="Calibri" w:cs="Calibri"/>
          <w:sz w:val="16"/>
          <w:szCs w:val="16"/>
        </w:rPr>
      </w:pPr>
    </w:p>
    <w:p w14:paraId="75FE5213" w14:textId="77777777"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Normalización</w:t>
      </w:r>
      <w:r w:rsidRPr="00D97720">
        <w:rPr>
          <w:rFonts w:ascii="Calibri" w:hAnsi="Calibri" w:cs="Calibri"/>
          <w:sz w:val="16"/>
          <w:szCs w:val="16"/>
        </w:rPr>
        <w:t>:</w:t>
      </w:r>
      <w:r w:rsidRPr="00D97720">
        <w:rPr>
          <w:rFonts w:ascii="Calibri" w:hAnsi="Calibri" w:cs="Calibri"/>
          <w:sz w:val="16"/>
          <w:szCs w:val="16"/>
        </w:rPr>
        <w:br/>
      </w:r>
    </w:p>
    <w:p w14:paraId="2AA02386" w14:textId="7541484C" w:rsidR="00BF1059" w:rsidRPr="00D97720" w:rsidRDefault="00F43F32" w:rsidP="00F43F32">
      <w:pPr>
        <w:pStyle w:val="break-words"/>
        <w:spacing w:before="0" w:beforeAutospacing="0" w:after="0" w:afterAutospacing="0"/>
        <w:jc w:val="both"/>
        <w:rPr>
          <w:rStyle w:val="Textoennegrita"/>
          <w:rFonts w:ascii="Calibri" w:hAnsi="Calibri" w:cs="Calibri"/>
          <w:b w:val="0"/>
          <w:bCs w:val="0"/>
          <w:sz w:val="16"/>
          <w:szCs w:val="16"/>
        </w:rPr>
      </w:pPr>
      <w:r w:rsidRPr="00D97720">
        <w:rPr>
          <w:rFonts w:ascii="Calibri" w:hAnsi="Calibri" w:cs="Calibri"/>
          <w:sz w:val="16"/>
          <w:szCs w:val="16"/>
        </w:rPr>
        <w:t xml:space="preserve">El valor de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vertical</m:t>
            </m:r>
          </m:sub>
        </m:sSub>
      </m:oMath>
      <w:r w:rsidR="00BF1059" w:rsidRPr="00D97720">
        <w:rPr>
          <w:rFonts w:ascii="Calibri" w:hAnsi="Calibri" w:cs="Calibri"/>
          <w:sz w:val="16"/>
          <w:szCs w:val="16"/>
        </w:rPr>
        <w:t xml:space="preserve"> </w:t>
      </w:r>
      <w:r w:rsidRPr="00D97720">
        <w:rPr>
          <w:rFonts w:ascii="Calibri" w:hAnsi="Calibri" w:cs="Calibri"/>
          <w:sz w:val="16"/>
          <w:szCs w:val="16"/>
        </w:rPr>
        <w:t xml:space="preserve">se normaliza dividiendo por el máximo real observado en los datos </w:t>
      </w:r>
      <m:oMath>
        <m:d>
          <m:dPr>
            <m:ctrlPr>
              <w:rPr>
                <w:rStyle w:val="Textoennegrita"/>
                <w:rFonts w:ascii="Cambria Math" w:eastAsiaTheme="majorEastAsia" w:hAnsi="Cambria Math" w:cs="Calibri"/>
                <w:b w:val="0"/>
                <w:bCs w:val="0"/>
                <w:i/>
                <w:sz w:val="16"/>
                <w:szCs w:val="16"/>
              </w:rPr>
            </m:ctrlPr>
          </m:dPr>
          <m:e>
            <m:r>
              <w:rPr>
                <w:rStyle w:val="Textoennegrita"/>
                <w:rFonts w:ascii="Cambria Math" w:eastAsiaTheme="majorEastAsia" w:hAnsi="Cambria Math" w:cs="Calibri"/>
                <w:sz w:val="16"/>
                <w:szCs w:val="16"/>
              </w:rPr>
              <m:t>P</m:t>
            </m:r>
            <m:sSub>
              <m:sSubPr>
                <m:ctrlPr>
                  <w:rPr>
                    <w:rStyle w:val="Textoennegrita"/>
                    <w:rFonts w:ascii="Cambria Math" w:eastAsiaTheme="majorEastAsia" w:hAnsi="Cambria Math" w:cs="Calibri"/>
                    <w:b w:val="0"/>
                    <w:bCs w:val="0"/>
                    <w:i/>
                    <w:sz w:val="16"/>
                    <w:szCs w:val="16"/>
                  </w:rPr>
                </m:ctrlPr>
              </m:sSubPr>
              <m:e>
                <m:r>
                  <w:rPr>
                    <w:rStyle w:val="Textoennegrita"/>
                    <w:rFonts w:ascii="Cambria Math" w:eastAsiaTheme="majorEastAsia" w:hAnsi="Cambria Math" w:cs="Calibri"/>
                    <w:sz w:val="16"/>
                    <w:szCs w:val="16"/>
                  </w:rPr>
                  <m:t>E</m:t>
                </m:r>
              </m:e>
              <m:sub>
                <m:r>
                  <w:rPr>
                    <w:rStyle w:val="Textoennegrita"/>
                    <w:rFonts w:ascii="Cambria Math" w:eastAsiaTheme="majorEastAsia" w:hAnsi="Cambria Math" w:cs="Calibri"/>
                    <w:sz w:val="16"/>
                    <w:szCs w:val="16"/>
                  </w:rPr>
                  <m:t>vertical</m:t>
                </m:r>
              </m:sub>
            </m:sSub>
          </m:e>
        </m:d>
        <m:r>
          <m:rPr>
            <m:sty m:val="p"/>
          </m:rPr>
          <w:rPr>
            <w:rStyle w:val="Textoennegrita"/>
            <w:rFonts w:ascii="Cambria Math" w:eastAsiaTheme="majorEastAsia" w:hAnsi="Cambria Math" w:cs="Calibri"/>
            <w:sz w:val="16"/>
            <w:szCs w:val="16"/>
          </w:rPr>
          <m:t>≈</m:t>
        </m:r>
        <m:r>
          <w:rPr>
            <w:rStyle w:val="Textoennegrita"/>
            <w:rFonts w:ascii="Cambria Math" w:eastAsiaTheme="majorEastAsia" w:hAnsi="Cambria Math" w:cs="Calibri"/>
            <w:sz w:val="16"/>
            <w:szCs w:val="16"/>
          </w:rPr>
          <m:t>1.61</m:t>
        </m:r>
      </m:oMath>
    </w:p>
    <w:p w14:paraId="77E21B82" w14:textId="77777777" w:rsidR="00BF1059" w:rsidRPr="00D97720" w:rsidRDefault="00BF10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2476B7A0" w14:textId="40374323" w:rsidR="00BF1059" w:rsidRPr="00D97720" w:rsidRDefault="00BF1059" w:rsidP="00BF1059">
      <w:pPr>
        <w:rPr>
          <w:sz w:val="16"/>
          <w:szCs w:val="16"/>
        </w:rPr>
      </w:pPr>
      <m:oMathPara>
        <m:oMath>
          <m:r>
            <w:rPr>
              <w:rStyle w:val="katex-mathml"/>
              <w:rFonts w:ascii="Cambria Math" w:eastAsiaTheme="majorEastAsia" w:hAnsi="Cambria Math"/>
              <w:sz w:val="16"/>
              <w:szCs w:val="16"/>
            </w:rPr>
            <m:t>P</m:t>
          </m:r>
          <m:sSub>
            <m:sSubPr>
              <m:ctrlPr>
                <w:rPr>
                  <w:rStyle w:val="katex-mathml"/>
                  <w:rFonts w:ascii="Cambria Math" w:eastAsiaTheme="majorEastAsia" w:hAnsi="Cambria Math"/>
                  <w:i/>
                  <w:iCs/>
                  <w:sz w:val="16"/>
                  <w:szCs w:val="16"/>
                </w:rPr>
              </m:ctrlPr>
            </m:sSubPr>
            <m:e>
              <m:r>
                <w:rPr>
                  <w:rStyle w:val="katex-mathml"/>
                  <w:rFonts w:ascii="Cambria Math" w:eastAsiaTheme="majorEastAsia" w:hAnsi="Cambria Math"/>
                  <w:sz w:val="16"/>
                  <w:szCs w:val="16"/>
                </w:rPr>
                <m:t>E</m:t>
              </m:r>
            </m:e>
            <m:sub>
              <m:r>
                <w:rPr>
                  <w:rStyle w:val="katex-mathml"/>
                  <w:rFonts w:ascii="Cambria Math" w:eastAsiaTheme="majorEastAsia" w:hAnsi="Cambria Math"/>
                  <w:sz w:val="16"/>
                  <w:szCs w:val="16"/>
                </w:rPr>
                <m:t>vertica</m:t>
              </m:r>
              <m:sSub>
                <m:sSubPr>
                  <m:ctrlPr>
                    <w:rPr>
                      <w:rStyle w:val="katex-mathml"/>
                      <w:rFonts w:ascii="Cambria Math" w:eastAsiaTheme="majorEastAsia" w:hAnsi="Cambria Math"/>
                      <w:i/>
                      <w:iCs/>
                      <w:sz w:val="16"/>
                      <w:szCs w:val="16"/>
                    </w:rPr>
                  </m:ctrlPr>
                </m:sSubPr>
                <m:e>
                  <m:r>
                    <w:rPr>
                      <w:rStyle w:val="katex-mathml"/>
                      <w:rFonts w:ascii="Cambria Math" w:eastAsiaTheme="majorEastAsia" w:hAnsi="Cambria Math"/>
                      <w:sz w:val="16"/>
                      <w:szCs w:val="16"/>
                    </w:rPr>
                    <m:t>l</m:t>
                  </m:r>
                </m:e>
                <m:sub>
                  <m:r>
                    <w:rPr>
                      <w:rStyle w:val="katex-mathml"/>
                      <w:rFonts w:ascii="Cambria Math" w:eastAsiaTheme="majorEastAsia" w:hAnsi="Cambria Math"/>
                      <w:sz w:val="16"/>
                      <w:szCs w:val="16"/>
                    </w:rPr>
                    <m:t>norm</m:t>
                  </m:r>
                </m:sub>
              </m:sSub>
            </m:sub>
          </m:sSub>
          <m:r>
            <w:rPr>
              <w:rStyle w:val="katex-mathml"/>
              <w:rFonts w:ascii="Cambria Math" w:eastAsiaTheme="majorEastAsia" w:hAnsi="Cambria Math"/>
              <w:sz w:val="16"/>
              <w:szCs w:val="16"/>
            </w:rPr>
            <m:t>=</m:t>
          </m:r>
          <m:f>
            <m:fPr>
              <m:ctrlPr>
                <w:rPr>
                  <w:rStyle w:val="katex-mathml"/>
                  <w:rFonts w:ascii="Cambria Math" w:eastAsiaTheme="majorEastAsia" w:hAnsi="Cambria Math"/>
                  <w:iCs/>
                  <w:sz w:val="16"/>
                  <w:szCs w:val="16"/>
                </w:rPr>
              </m:ctrlPr>
            </m:fPr>
            <m:num>
              <m:r>
                <w:rPr>
                  <w:rStyle w:val="katex-mathml"/>
                  <w:rFonts w:ascii="Cambria Math" w:eastAsiaTheme="majorEastAsia" w:hAnsi="Cambria Math"/>
                  <w:sz w:val="16"/>
                  <w:szCs w:val="16"/>
                </w:rPr>
                <m:t>P</m:t>
              </m:r>
              <m:sSub>
                <m:sSubPr>
                  <m:ctrlPr>
                    <w:rPr>
                      <w:rStyle w:val="katex-mathml"/>
                      <w:rFonts w:ascii="Cambria Math" w:eastAsiaTheme="majorEastAsia" w:hAnsi="Cambria Math"/>
                      <w:i/>
                      <w:iCs/>
                      <w:sz w:val="16"/>
                      <w:szCs w:val="16"/>
                    </w:rPr>
                  </m:ctrlPr>
                </m:sSubPr>
                <m:e>
                  <m:r>
                    <w:rPr>
                      <w:rStyle w:val="katex-mathml"/>
                      <w:rFonts w:ascii="Cambria Math" w:eastAsiaTheme="majorEastAsia" w:hAnsi="Cambria Math"/>
                      <w:sz w:val="16"/>
                      <w:szCs w:val="16"/>
                    </w:rPr>
                    <m:t>E</m:t>
                  </m:r>
                </m:e>
                <m:sub>
                  <m:r>
                    <w:rPr>
                      <w:rStyle w:val="katex-mathml"/>
                      <w:rFonts w:ascii="Cambria Math" w:eastAsiaTheme="majorEastAsia" w:hAnsi="Cambria Math"/>
                      <w:sz w:val="16"/>
                      <w:szCs w:val="16"/>
                    </w:rPr>
                    <m:t>vertical</m:t>
                  </m:r>
                </m:sub>
              </m:sSub>
              <m:ctrlPr>
                <w:rPr>
                  <w:rStyle w:val="katex-mathml"/>
                  <w:rFonts w:ascii="Cambria Math" w:eastAsiaTheme="majorEastAsia" w:hAnsi="Cambria Math"/>
                  <w:i/>
                  <w:iCs/>
                  <w:sz w:val="16"/>
                  <w:szCs w:val="16"/>
                </w:rPr>
              </m:ctrlPr>
            </m:num>
            <m:den>
              <m:func>
                <m:funcPr>
                  <m:ctrlPr>
                    <w:rPr>
                      <w:rStyle w:val="katex-mathml"/>
                      <w:rFonts w:ascii="Cambria Math" w:eastAsiaTheme="majorEastAsia" w:hAnsi="Cambria Math"/>
                      <w:iCs/>
                      <w:sz w:val="16"/>
                      <w:szCs w:val="16"/>
                    </w:rPr>
                  </m:ctrlPr>
                </m:funcPr>
                <m:fName>
                  <m:r>
                    <m:rPr>
                      <m:sty m:val="p"/>
                    </m:rPr>
                    <w:rPr>
                      <w:rStyle w:val="katex-mathml"/>
                      <w:rFonts w:ascii="Cambria Math" w:eastAsiaTheme="majorEastAsia" w:hAnsi="Cambria Math"/>
                      <w:sz w:val="16"/>
                      <w:szCs w:val="16"/>
                    </w:rPr>
                    <m:t>max</m:t>
                  </m:r>
                  <m:ctrlPr>
                    <w:rPr>
                      <w:rStyle w:val="katex-mathml"/>
                      <w:rFonts w:ascii="Cambria Math" w:eastAsiaTheme="majorEastAsia" w:hAnsi="Cambria Math"/>
                      <w:i/>
                      <w:iCs/>
                      <w:sz w:val="16"/>
                      <w:szCs w:val="16"/>
                    </w:rPr>
                  </m:ctrlPr>
                </m:fName>
                <m:e>
                  <m:d>
                    <m:dPr>
                      <m:ctrlPr>
                        <w:rPr>
                          <w:rStyle w:val="katex-mathml"/>
                          <w:rFonts w:ascii="Cambria Math" w:eastAsiaTheme="majorEastAsia" w:hAnsi="Cambria Math"/>
                          <w:i/>
                          <w:iCs/>
                          <w:sz w:val="16"/>
                          <w:szCs w:val="16"/>
                        </w:rPr>
                      </m:ctrlPr>
                    </m:dPr>
                    <m:e>
                      <m:r>
                        <w:rPr>
                          <w:rStyle w:val="katex-mathml"/>
                          <w:rFonts w:ascii="Cambria Math" w:eastAsiaTheme="majorEastAsia" w:hAnsi="Cambria Math"/>
                          <w:sz w:val="16"/>
                          <w:szCs w:val="16"/>
                        </w:rPr>
                        <m:t>P</m:t>
                      </m:r>
                      <m:sSub>
                        <m:sSubPr>
                          <m:ctrlPr>
                            <w:rPr>
                              <w:rStyle w:val="katex-mathml"/>
                              <w:rFonts w:ascii="Cambria Math" w:eastAsiaTheme="majorEastAsia" w:hAnsi="Cambria Math"/>
                              <w:i/>
                              <w:iCs/>
                              <w:sz w:val="16"/>
                              <w:szCs w:val="16"/>
                            </w:rPr>
                          </m:ctrlPr>
                        </m:sSubPr>
                        <m:e>
                          <m:r>
                            <w:rPr>
                              <w:rStyle w:val="katex-mathml"/>
                              <w:rFonts w:ascii="Cambria Math" w:eastAsiaTheme="majorEastAsia" w:hAnsi="Cambria Math"/>
                              <w:sz w:val="16"/>
                              <w:szCs w:val="16"/>
                            </w:rPr>
                            <m:t>E</m:t>
                          </m:r>
                        </m:e>
                        <m:sub>
                          <m:r>
                            <w:rPr>
                              <w:rStyle w:val="katex-mathml"/>
                              <w:rFonts w:ascii="Cambria Math" w:eastAsiaTheme="majorEastAsia" w:hAnsi="Cambria Math"/>
                              <w:sz w:val="16"/>
                              <w:szCs w:val="16"/>
                            </w:rPr>
                            <m:t>vertical</m:t>
                          </m:r>
                        </m:sub>
                      </m:sSub>
                    </m:e>
                  </m:d>
                </m:e>
              </m:func>
              <m:ctrlPr>
                <w:rPr>
                  <w:rStyle w:val="katex-mathml"/>
                  <w:rFonts w:ascii="Cambria Math" w:eastAsiaTheme="majorEastAsia" w:hAnsi="Cambria Math"/>
                  <w:i/>
                  <w:iCs/>
                  <w:sz w:val="16"/>
                  <w:szCs w:val="16"/>
                </w:rPr>
              </m:ctrlPr>
            </m:den>
          </m:f>
        </m:oMath>
      </m:oMathPara>
    </w:p>
    <w:p w14:paraId="5D272359" w14:textId="77777777" w:rsidR="00BF1059" w:rsidRPr="00D97720" w:rsidRDefault="00BF10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7D2B6A70" w14:textId="77777777" w:rsidR="00BF1059" w:rsidRPr="00D97720" w:rsidRDefault="00BF10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482BDF7A" w14:textId="77777777" w:rsidR="00BF1059" w:rsidRPr="00D97720" w:rsidRDefault="00BF10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0DAD107A" w14:textId="77777777" w:rsidR="00BF1059" w:rsidRPr="00D97720"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Clasificación</w:t>
      </w:r>
      <w:r w:rsidRPr="00D97720">
        <w:rPr>
          <w:rFonts w:ascii="Calibri" w:hAnsi="Calibri" w:cs="Calibri"/>
          <w:sz w:val="16"/>
          <w:szCs w:val="16"/>
        </w:rPr>
        <w:t>:</w:t>
      </w:r>
      <w:r w:rsidRPr="00D97720">
        <w:rPr>
          <w:rFonts w:ascii="Calibri" w:hAnsi="Calibri" w:cs="Calibri"/>
          <w:sz w:val="16"/>
          <w:szCs w:val="16"/>
        </w:rPr>
        <w:br/>
      </w:r>
    </w:p>
    <w:p w14:paraId="7BF0E5D7" w14:textId="35475C4F" w:rsidR="00F43F32"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La clasificación cualitativa se asigna según los siguientes umbrales:</w:t>
      </w:r>
    </w:p>
    <w:p w14:paraId="609B9667" w14:textId="77777777" w:rsidR="00D97720" w:rsidRPr="00D97720" w:rsidRDefault="00D97720" w:rsidP="00F43F32">
      <w:pPr>
        <w:pStyle w:val="break-words"/>
        <w:spacing w:before="0" w:beforeAutospacing="0" w:after="0" w:afterAutospacing="0"/>
        <w:jc w:val="both"/>
        <w:rPr>
          <w:rFonts w:ascii="Calibri" w:hAnsi="Calibri" w:cs="Calibri"/>
          <w:sz w:val="16"/>
          <w:szCs w:val="16"/>
        </w:rPr>
      </w:pPr>
    </w:p>
    <w:p w14:paraId="63AE553A" w14:textId="6669D862" w:rsidR="00F43F32" w:rsidRPr="00D97720" w:rsidRDefault="00F43F32" w:rsidP="00F43F32">
      <w:pPr>
        <w:pStyle w:val="break-words"/>
        <w:numPr>
          <w:ilvl w:val="0"/>
          <w:numId w:val="24"/>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Muy Alta</w:t>
      </w:r>
      <w:r w:rsidRPr="00D97720">
        <w:rPr>
          <w:rFonts w:ascii="Calibri" w:hAnsi="Calibri" w:cs="Calibri"/>
          <w:sz w:val="16"/>
          <w:szCs w:val="16"/>
        </w:rPr>
        <w:t>:</w:t>
      </w:r>
      <w:r w:rsidRPr="00D97720">
        <w:rPr>
          <w:rStyle w:val="katex-mathml"/>
          <w:rFonts w:ascii="Calibri" w:eastAsiaTheme="majorEastAsia"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vertica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w:rPr>
            <w:rStyle w:val="katex-mathml"/>
            <w:rFonts w:ascii="Cambria Math" w:eastAsiaTheme="majorEastAsia" w:hAnsi="Cambria Math" w:cs="Calibri"/>
            <w:sz w:val="16"/>
            <w:szCs w:val="16"/>
          </w:rPr>
          <m:t> &gt; 0.96</m:t>
        </m:r>
      </m:oMath>
      <w:r w:rsidRPr="00D97720">
        <w:rPr>
          <w:rStyle w:val="katex-mathml"/>
          <w:rFonts w:ascii="Calibri" w:eastAsiaTheme="majorEastAsia" w:hAnsi="Calibri" w:cs="Calibri"/>
          <w:sz w:val="16"/>
          <w:szCs w:val="16"/>
        </w:rPr>
        <w:t xml:space="preserve"> </w:t>
      </w:r>
    </w:p>
    <w:p w14:paraId="3208701B" w14:textId="3E4AE118" w:rsidR="00F43F32" w:rsidRPr="00D97720" w:rsidRDefault="00F43F32" w:rsidP="00F43F32">
      <w:pPr>
        <w:pStyle w:val="break-words"/>
        <w:numPr>
          <w:ilvl w:val="0"/>
          <w:numId w:val="24"/>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Alta</w:t>
      </w:r>
      <w:r w:rsidRPr="00D97720">
        <w:rPr>
          <w:rFonts w:ascii="Calibri"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vertica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0.96</m:t>
        </m:r>
      </m:oMath>
    </w:p>
    <w:p w14:paraId="08C19414" w14:textId="48B83DD4" w:rsidR="00F43F32" w:rsidRPr="00D97720" w:rsidRDefault="00F43F32" w:rsidP="00F43F32">
      <w:pPr>
        <w:pStyle w:val="break-words"/>
        <w:numPr>
          <w:ilvl w:val="0"/>
          <w:numId w:val="24"/>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Media</w:t>
      </w:r>
      <w:r w:rsidRPr="00D97720">
        <w:rPr>
          <w:rFonts w:ascii="Calibri"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vertica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0.85</m:t>
        </m:r>
      </m:oMath>
    </w:p>
    <w:p w14:paraId="055A75B2" w14:textId="64A08383" w:rsidR="00F43F32" w:rsidRPr="00D97720" w:rsidRDefault="00F43F32" w:rsidP="00F43F32">
      <w:pPr>
        <w:pStyle w:val="break-words"/>
        <w:numPr>
          <w:ilvl w:val="0"/>
          <w:numId w:val="24"/>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Baja</w:t>
      </w:r>
      <w:r w:rsidRPr="00D97720">
        <w:rPr>
          <w:rFonts w:ascii="Calibri"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vertica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0.70</m:t>
        </m:r>
      </m:oMath>
    </w:p>
    <w:p w14:paraId="59B57BCA" w14:textId="291C3C7A" w:rsidR="00BF1059" w:rsidRPr="00D97720" w:rsidRDefault="00F43F32" w:rsidP="00144C1D">
      <w:pPr>
        <w:pStyle w:val="break-words"/>
        <w:numPr>
          <w:ilvl w:val="0"/>
          <w:numId w:val="24"/>
        </w:numPr>
        <w:spacing w:before="0" w:beforeAutospacing="0" w:after="0" w:afterAutospacing="0"/>
        <w:jc w:val="both"/>
        <w:rPr>
          <w:rStyle w:val="katex-mathml"/>
          <w:rFonts w:ascii="Calibri" w:hAnsi="Calibri" w:cs="Calibri"/>
          <w:sz w:val="16"/>
          <w:szCs w:val="16"/>
        </w:rPr>
      </w:pPr>
      <w:r w:rsidRPr="00D97720">
        <w:rPr>
          <w:rStyle w:val="Textoennegrita"/>
          <w:rFonts w:ascii="Calibri" w:eastAsiaTheme="majorEastAsia" w:hAnsi="Calibri" w:cs="Calibri"/>
          <w:sz w:val="16"/>
          <w:szCs w:val="16"/>
        </w:rPr>
        <w:t>Muy Baja</w:t>
      </w:r>
      <w:r w:rsidRPr="00D97720">
        <w:rPr>
          <w:rFonts w:ascii="Calibri"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vertica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0.50</m:t>
        </m:r>
      </m:oMath>
      <w:r w:rsidRPr="00D97720">
        <w:rPr>
          <w:rStyle w:val="katex-mathml"/>
          <w:rFonts w:ascii="Calibri" w:eastAsiaTheme="majorEastAsia" w:hAnsi="Calibri" w:cs="Calibri"/>
          <w:sz w:val="16"/>
          <w:szCs w:val="16"/>
        </w:rPr>
        <w:t xml:space="preserve"> </w:t>
      </w:r>
    </w:p>
    <w:p w14:paraId="196E4396" w14:textId="141E6A6C" w:rsidR="00F43F32" w:rsidRPr="00D97720" w:rsidRDefault="00F43F32" w:rsidP="00144C1D">
      <w:pPr>
        <w:pStyle w:val="break-words"/>
        <w:numPr>
          <w:ilvl w:val="0"/>
          <w:numId w:val="24"/>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Ejemplo</w:t>
      </w:r>
      <w:r w:rsidRPr="00D97720">
        <w:rPr>
          <w:rFonts w:ascii="Calibri" w:hAnsi="Calibri" w:cs="Calibri"/>
          <w:sz w:val="16"/>
          <w:szCs w:val="16"/>
        </w:rPr>
        <w:t>:</w:t>
      </w:r>
      <w:r w:rsidR="00BF1059" w:rsidRPr="00D97720">
        <w:rPr>
          <w:rFonts w:ascii="Calibri" w:hAnsi="Calibri" w:cs="Calibri"/>
          <w:sz w:val="16"/>
          <w:szCs w:val="16"/>
        </w:rPr>
        <w:t xml:space="preserve"> </w:t>
      </w:r>
      <w:r w:rsidRPr="00D97720">
        <w:rPr>
          <w:rFonts w:ascii="Calibri" w:hAnsi="Calibri" w:cs="Calibri"/>
          <w:sz w:val="16"/>
          <w:szCs w:val="16"/>
        </w:rPr>
        <w:t>Para "Reactores Nucleares" (</w:t>
      </w:r>
      <w:proofErr w:type="spellStart"/>
      <w:r w:rsidRPr="00D97720">
        <w:rPr>
          <w:rFonts w:ascii="Calibri" w:hAnsi="Calibri" w:cs="Calibri"/>
          <w:sz w:val="16"/>
          <w:szCs w:val="16"/>
        </w:rPr>
        <w:t>N°</w:t>
      </w:r>
      <w:proofErr w:type="spellEnd"/>
      <w:r w:rsidRPr="00D97720">
        <w:rPr>
          <w:rFonts w:ascii="Calibri" w:hAnsi="Calibri" w:cs="Calibri"/>
          <w:sz w:val="16"/>
          <w:szCs w:val="16"/>
        </w:rPr>
        <w:t xml:space="preserve"> 133):</w:t>
      </w:r>
    </w:p>
    <w:p w14:paraId="36239A8C" w14:textId="77777777" w:rsidR="00F43F32" w:rsidRPr="00D97720" w:rsidRDefault="00F43F32" w:rsidP="00F43F32">
      <w:pPr>
        <w:pStyle w:val="break-words"/>
        <w:numPr>
          <w:ilvl w:val="0"/>
          <w:numId w:val="25"/>
        </w:numPr>
        <w:spacing w:before="0" w:beforeAutospacing="0" w:after="0" w:afterAutospacing="0"/>
        <w:jc w:val="both"/>
        <w:rPr>
          <w:rFonts w:ascii="Calibri" w:hAnsi="Calibri" w:cs="Calibri"/>
          <w:sz w:val="16"/>
          <w:szCs w:val="16"/>
        </w:rPr>
      </w:pPr>
      <w:r w:rsidRPr="00D97720">
        <w:rPr>
          <w:rFonts w:ascii="Calibri" w:hAnsi="Calibri" w:cs="Calibri"/>
          <w:sz w:val="16"/>
          <w:szCs w:val="16"/>
        </w:rPr>
        <w:t>IB = 0.95, FANC = Alta (3), FVT = 0.87.</w:t>
      </w:r>
    </w:p>
    <w:p w14:paraId="76C9CE87" w14:textId="77777777" w:rsidR="00D97720" w:rsidRPr="00D97720" w:rsidRDefault="00F43F32" w:rsidP="00F43F32">
      <w:pPr>
        <w:pStyle w:val="break-words"/>
        <w:numPr>
          <w:ilvl w:val="0"/>
          <w:numId w:val="25"/>
        </w:numPr>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Cálculo: </w:t>
      </w:r>
    </w:p>
    <w:p w14:paraId="5948319A" w14:textId="77777777" w:rsidR="00D97720" w:rsidRPr="00D97720" w:rsidRDefault="00D97720" w:rsidP="00D97720">
      <w:pPr>
        <w:pStyle w:val="break-words"/>
        <w:spacing w:before="0" w:beforeAutospacing="0" w:after="0" w:afterAutospacing="0"/>
        <w:ind w:left="720"/>
        <w:jc w:val="both"/>
        <w:rPr>
          <w:rFonts w:ascii="Calibri" w:hAnsi="Calibri" w:cs="Calibri"/>
          <w:sz w:val="16"/>
          <w:szCs w:val="16"/>
        </w:rPr>
      </w:pPr>
    </w:p>
    <w:p w14:paraId="79478655" w14:textId="1F4FF502" w:rsidR="00D97720" w:rsidRPr="00D97720" w:rsidRDefault="00D97720" w:rsidP="00D97720">
      <w:pPr>
        <w:pStyle w:val="break-words"/>
        <w:spacing w:before="0" w:beforeAutospacing="0" w:after="0" w:afterAutospacing="0"/>
        <w:ind w:left="720"/>
        <w:jc w:val="both"/>
        <w:rPr>
          <w:rStyle w:val="katex-mathml"/>
          <w:rFonts w:ascii="Calibri" w:eastAsiaTheme="majorEastAsia" w:hAnsi="Calibri" w:cs="Calibri"/>
          <w:sz w:val="16"/>
          <w:szCs w:val="16"/>
        </w:rPr>
      </w:pPr>
      <m:oMathPara>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vertical</m:t>
              </m:r>
            </m:sub>
          </m:sSub>
          <m:r>
            <w:rPr>
              <w:rStyle w:val="katex-mathml"/>
              <w:rFonts w:ascii="Cambria Math" w:eastAsiaTheme="majorEastAsia" w:hAnsi="Cambria Math" w:cs="Calibri"/>
              <w:sz w:val="16"/>
              <w:szCs w:val="16"/>
            </w:rPr>
            <m:t>=0.5</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0.95+0.3</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3+0.2</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0.87=0.475+0.9+0.174=1.549</m:t>
          </m:r>
        </m:oMath>
      </m:oMathPara>
    </w:p>
    <w:p w14:paraId="456E634F" w14:textId="77777777" w:rsidR="00D97720" w:rsidRPr="00D97720" w:rsidRDefault="00D97720" w:rsidP="00D97720">
      <w:pPr>
        <w:pStyle w:val="break-words"/>
        <w:spacing w:before="0" w:beforeAutospacing="0" w:after="0" w:afterAutospacing="0"/>
        <w:ind w:left="720"/>
        <w:jc w:val="both"/>
        <w:rPr>
          <w:rStyle w:val="katex-mathml"/>
          <w:rFonts w:ascii="Calibri" w:eastAsiaTheme="majorEastAsia" w:hAnsi="Calibri" w:cs="Calibri"/>
          <w:sz w:val="16"/>
          <w:szCs w:val="16"/>
        </w:rPr>
      </w:pPr>
    </w:p>
    <w:p w14:paraId="27516122" w14:textId="77777777" w:rsidR="00D97720" w:rsidRPr="00D97720" w:rsidRDefault="00F43F32" w:rsidP="00F43F32">
      <w:pPr>
        <w:pStyle w:val="break-words"/>
        <w:numPr>
          <w:ilvl w:val="0"/>
          <w:numId w:val="25"/>
        </w:numPr>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Normalización: </w:t>
      </w:r>
    </w:p>
    <w:p w14:paraId="68C8AD5B" w14:textId="77777777" w:rsidR="00D97720" w:rsidRPr="00D97720" w:rsidRDefault="00D97720" w:rsidP="00D97720">
      <w:pPr>
        <w:pStyle w:val="break-words"/>
        <w:spacing w:before="0" w:beforeAutospacing="0" w:after="0" w:afterAutospacing="0"/>
        <w:ind w:left="720"/>
        <w:jc w:val="both"/>
        <w:rPr>
          <w:rFonts w:ascii="Calibri" w:hAnsi="Calibri" w:cs="Calibri"/>
          <w:sz w:val="16"/>
          <w:szCs w:val="16"/>
        </w:rPr>
      </w:pPr>
    </w:p>
    <w:p w14:paraId="1CEC967A" w14:textId="463DF1D8" w:rsidR="00D97720" w:rsidRPr="00D97720" w:rsidRDefault="00D97720" w:rsidP="00D97720">
      <w:pPr>
        <w:pStyle w:val="break-words"/>
        <w:spacing w:before="0" w:beforeAutospacing="0" w:after="0" w:afterAutospacing="0"/>
        <w:ind w:left="720"/>
        <w:jc w:val="both"/>
        <w:rPr>
          <w:rStyle w:val="katex-mathml"/>
          <w:rFonts w:ascii="Calibri" w:eastAsiaTheme="majorEastAsia" w:hAnsi="Calibri" w:cs="Calibri"/>
          <w:sz w:val="16"/>
          <w:szCs w:val="16"/>
        </w:rPr>
      </w:pPr>
      <m:oMathPara>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vertica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w:rPr>
              <w:rStyle w:val="katex-mathml"/>
              <w:rFonts w:ascii="Cambria Math" w:eastAsiaTheme="majorEastAsia" w:hAnsi="Cambria Math" w:cs="Calibri"/>
              <w:sz w:val="16"/>
              <w:szCs w:val="16"/>
            </w:rPr>
            <m:t>=</m:t>
          </m:r>
          <m:f>
            <m:fPr>
              <m:ctrlPr>
                <w:rPr>
                  <w:rStyle w:val="katex-mathml"/>
                  <w:rFonts w:ascii="Cambria Math" w:eastAsiaTheme="majorEastAsia" w:hAnsi="Cambria Math" w:cs="Calibri"/>
                  <w:sz w:val="16"/>
                  <w:szCs w:val="16"/>
                </w:rPr>
              </m:ctrlPr>
            </m:fPr>
            <m:num>
              <m:r>
                <w:rPr>
                  <w:rStyle w:val="katex-mathml"/>
                  <w:rFonts w:ascii="Cambria Math" w:eastAsiaTheme="majorEastAsia" w:hAnsi="Cambria Math" w:cs="Calibri"/>
                  <w:sz w:val="16"/>
                  <w:szCs w:val="16"/>
                </w:rPr>
                <m:t>1.549</m:t>
              </m:r>
              <m:ctrlPr>
                <w:rPr>
                  <w:rStyle w:val="katex-mathml"/>
                  <w:rFonts w:ascii="Cambria Math" w:eastAsiaTheme="majorEastAsia" w:hAnsi="Cambria Math" w:cs="Calibri"/>
                  <w:i/>
                  <w:sz w:val="16"/>
                  <w:szCs w:val="16"/>
                </w:rPr>
              </m:ctrlPr>
            </m:num>
            <m:den>
              <m:r>
                <w:rPr>
                  <w:rStyle w:val="katex-mathml"/>
                  <w:rFonts w:ascii="Cambria Math" w:eastAsiaTheme="majorEastAsia" w:hAnsi="Cambria Math" w:cs="Calibri"/>
                  <w:sz w:val="16"/>
                  <w:szCs w:val="16"/>
                </w:rPr>
                <m:t>1.61</m:t>
              </m:r>
              <m:ctrlPr>
                <w:rPr>
                  <w:rStyle w:val="katex-mathml"/>
                  <w:rFonts w:ascii="Cambria Math" w:eastAsiaTheme="majorEastAsia" w:hAnsi="Cambria Math" w:cs="Calibri"/>
                  <w:i/>
                  <w:sz w:val="16"/>
                  <w:szCs w:val="16"/>
                </w:rPr>
              </m:ctrlPr>
            </m:den>
          </m:f>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0.9615</m:t>
          </m:r>
        </m:oMath>
      </m:oMathPara>
    </w:p>
    <w:p w14:paraId="2D222C1B" w14:textId="37218B5F" w:rsidR="00F43F32" w:rsidRPr="00D97720" w:rsidRDefault="00F43F32" w:rsidP="00D97720">
      <w:pPr>
        <w:pStyle w:val="break-words"/>
        <w:spacing w:before="0" w:beforeAutospacing="0" w:after="0" w:afterAutospacing="0"/>
        <w:ind w:left="720"/>
        <w:jc w:val="both"/>
        <w:rPr>
          <w:rFonts w:ascii="Calibri" w:hAnsi="Calibri" w:cs="Calibri"/>
          <w:sz w:val="16"/>
          <w:szCs w:val="16"/>
        </w:rPr>
      </w:pPr>
      <w:r w:rsidRPr="00D97720">
        <w:rPr>
          <w:rFonts w:ascii="Calibri" w:hAnsi="Calibri" w:cs="Calibri"/>
          <w:sz w:val="16"/>
          <w:szCs w:val="16"/>
        </w:rPr>
        <w:t xml:space="preserve"> </w:t>
      </w:r>
    </w:p>
    <w:p w14:paraId="1302CED8" w14:textId="1703F6E1" w:rsidR="00F43F32" w:rsidRPr="00D97720" w:rsidRDefault="00F43F32" w:rsidP="00F43F32">
      <w:pPr>
        <w:pStyle w:val="break-words"/>
        <w:numPr>
          <w:ilvl w:val="0"/>
          <w:numId w:val="25"/>
        </w:numPr>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Clasificación: </w:t>
      </w:r>
      <w:r w:rsidRPr="00D97720">
        <w:rPr>
          <w:rStyle w:val="Textoennegrita"/>
          <w:rFonts w:ascii="Calibri" w:eastAsiaTheme="majorEastAsia" w:hAnsi="Calibri" w:cs="Calibri"/>
          <w:sz w:val="16"/>
          <w:szCs w:val="16"/>
        </w:rPr>
        <w:t>Muy Alta</w:t>
      </w:r>
      <w:r w:rsidRPr="00D97720">
        <w:rPr>
          <w:rFonts w:ascii="Calibri" w:hAnsi="Calibri" w:cs="Calibri"/>
          <w:sz w:val="16"/>
          <w:szCs w:val="16"/>
        </w:rPr>
        <w:t xml:space="preserve"> (</w:t>
      </w:r>
      <w:r w:rsidRPr="00D97720">
        <w:rPr>
          <w:rStyle w:val="katex-mathml"/>
          <w:rFonts w:ascii="Calibri" w:eastAsiaTheme="majorEastAsia" w:hAnsi="Calibri" w:cs="Calibri"/>
          <w:sz w:val="16"/>
          <w:szCs w:val="16"/>
        </w:rPr>
        <w:t>0.9615 &gt; 0.96</w:t>
      </w:r>
      <w:r w:rsidR="00D97720" w:rsidRPr="00D97720">
        <w:rPr>
          <w:rStyle w:val="katex-mathml"/>
          <w:rFonts w:ascii="Calibri" w:eastAsiaTheme="majorEastAsia" w:hAnsi="Calibri" w:cs="Calibri"/>
          <w:sz w:val="16"/>
          <w:szCs w:val="16"/>
        </w:rPr>
        <w:t>)</w:t>
      </w:r>
    </w:p>
    <w:p w14:paraId="265124B9" w14:textId="77777777" w:rsidR="00D97720" w:rsidRPr="00D97720" w:rsidRDefault="00D97720" w:rsidP="00F43F32">
      <w:pPr>
        <w:pStyle w:val="break-words"/>
        <w:spacing w:before="0" w:beforeAutospacing="0" w:after="0" w:afterAutospacing="0"/>
        <w:jc w:val="both"/>
        <w:rPr>
          <w:rStyle w:val="Textoennegrita"/>
          <w:rFonts w:ascii="Calibri" w:eastAsiaTheme="majorEastAsia" w:hAnsi="Calibri" w:cs="Calibri"/>
          <w:sz w:val="16"/>
          <w:szCs w:val="16"/>
        </w:rPr>
      </w:pPr>
    </w:p>
    <w:p w14:paraId="436F4CA7" w14:textId="77777777" w:rsidR="00D97720" w:rsidRPr="00D97720"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Relación con las Ponderaciones</w:t>
      </w:r>
      <w:r w:rsidRPr="00D97720">
        <w:rPr>
          <w:rFonts w:ascii="Calibri" w:hAnsi="Calibri" w:cs="Calibri"/>
          <w:sz w:val="16"/>
          <w:szCs w:val="16"/>
        </w:rPr>
        <w:t>:</w:t>
      </w:r>
    </w:p>
    <w:p w14:paraId="69E34A69" w14:textId="77777777" w:rsidR="00D97720" w:rsidRPr="00D97720" w:rsidRDefault="00D97720" w:rsidP="00F43F32">
      <w:pPr>
        <w:pStyle w:val="break-words"/>
        <w:spacing w:before="0" w:beforeAutospacing="0" w:after="0" w:afterAutospacing="0"/>
        <w:jc w:val="both"/>
        <w:rPr>
          <w:rFonts w:ascii="Calibri" w:hAnsi="Calibri" w:cs="Calibri"/>
          <w:sz w:val="16"/>
          <w:szCs w:val="16"/>
        </w:rPr>
      </w:pPr>
    </w:p>
    <w:p w14:paraId="6DC5EF6F" w14:textId="1FDC84E7"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La </w:t>
      </w:r>
      <w:proofErr w:type="spellStart"/>
      <w:r w:rsidRPr="00D97720">
        <w:rPr>
          <w:rFonts w:ascii="Calibri" w:hAnsi="Calibri" w:cs="Calibri"/>
          <w:sz w:val="16"/>
          <w:szCs w:val="16"/>
        </w:rPr>
        <w:t>Pev</w:t>
      </w:r>
      <w:proofErr w:type="spellEnd"/>
      <w:r w:rsidRPr="00D97720">
        <w:rPr>
          <w:rFonts w:ascii="Calibri" w:hAnsi="Calibri" w:cs="Calibri"/>
          <w:sz w:val="16"/>
          <w:szCs w:val="16"/>
        </w:rPr>
        <w:t xml:space="preserve"> está influenciada por la ponderación </w:t>
      </w:r>
      <w:r w:rsidRPr="00D97720">
        <w:rPr>
          <w:rStyle w:val="Textoennegrita"/>
          <w:rFonts w:ascii="Calibri" w:eastAsiaTheme="majorEastAsia" w:hAnsi="Calibri" w:cs="Calibri"/>
          <w:sz w:val="16"/>
          <w:szCs w:val="16"/>
        </w:rPr>
        <w:t>CAMO (Capacidad Militar Objetiva, 0.25)</w:t>
      </w:r>
      <w:r w:rsidRPr="00D97720">
        <w:rPr>
          <w:rFonts w:ascii="Calibri" w:hAnsi="Calibri" w:cs="Calibri"/>
          <w:sz w:val="16"/>
          <w:szCs w:val="16"/>
        </w:rPr>
        <w:t xml:space="preserve">, ya que los conflictos verticales involucran capacidades militares convencionales que afectan el FANC (ej. bombardeos, sabotajes físicos). También se relaciona con </w:t>
      </w:r>
      <w:r w:rsidRPr="00D97720">
        <w:rPr>
          <w:rStyle w:val="Textoennegrita"/>
          <w:rFonts w:ascii="Calibri" w:eastAsiaTheme="majorEastAsia" w:hAnsi="Calibri" w:cs="Calibri"/>
          <w:sz w:val="16"/>
          <w:szCs w:val="16"/>
        </w:rPr>
        <w:t>PNT (Poder Nacional Total, 0.1)</w:t>
      </w:r>
      <w:r w:rsidRPr="00D97720">
        <w:rPr>
          <w:rFonts w:ascii="Calibri" w:hAnsi="Calibri" w:cs="Calibri"/>
          <w:sz w:val="16"/>
          <w:szCs w:val="16"/>
        </w:rPr>
        <w:t xml:space="preserve">, ya que los elementos con alto IB (como reactores nucleares) son esenciales para la estabilidad nacional. La </w:t>
      </w:r>
      <w:proofErr w:type="spellStart"/>
      <w:r w:rsidRPr="00D97720">
        <w:rPr>
          <w:rFonts w:ascii="Calibri" w:hAnsi="Calibri" w:cs="Calibri"/>
          <w:sz w:val="16"/>
          <w:szCs w:val="16"/>
        </w:rPr>
        <w:t>Pev</w:t>
      </w:r>
      <w:proofErr w:type="spellEnd"/>
      <w:r w:rsidRPr="00D97720">
        <w:rPr>
          <w:rFonts w:ascii="Calibri" w:hAnsi="Calibri" w:cs="Calibri"/>
          <w:sz w:val="16"/>
          <w:szCs w:val="16"/>
        </w:rPr>
        <w:t xml:space="preserve"> contribuye al análisis global del IRMD, identificando elementos cuyo fallo podría escalar un conflicto convencional.</w:t>
      </w:r>
    </w:p>
    <w:p w14:paraId="5F4A50D9" w14:textId="77777777" w:rsidR="00D97720" w:rsidRPr="00D97720" w:rsidRDefault="00D97720" w:rsidP="00F43F32">
      <w:pPr>
        <w:pStyle w:val="break-words"/>
        <w:spacing w:before="0" w:beforeAutospacing="0" w:after="0" w:afterAutospacing="0"/>
        <w:jc w:val="both"/>
        <w:rPr>
          <w:rStyle w:val="Textoennegrita"/>
          <w:rFonts w:ascii="Calibri" w:eastAsiaTheme="majorEastAsia" w:hAnsi="Calibri" w:cs="Calibri"/>
          <w:sz w:val="16"/>
          <w:szCs w:val="16"/>
        </w:rPr>
      </w:pPr>
    </w:p>
    <w:p w14:paraId="5D7F73A7" w14:textId="4FAA9CB3"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Fuentes de Datos</w:t>
      </w:r>
      <w:r w:rsidRPr="00D97720">
        <w:rPr>
          <w:rFonts w:ascii="Calibri" w:hAnsi="Calibri" w:cs="Calibri"/>
          <w:sz w:val="16"/>
          <w:szCs w:val="16"/>
        </w:rPr>
        <w:t>:</w:t>
      </w:r>
    </w:p>
    <w:p w14:paraId="6B4E2975" w14:textId="77777777" w:rsidR="00D97720" w:rsidRPr="00D97720" w:rsidRDefault="00D97720" w:rsidP="00F43F32">
      <w:pPr>
        <w:pStyle w:val="break-words"/>
        <w:spacing w:before="0" w:beforeAutospacing="0" w:after="0" w:afterAutospacing="0"/>
        <w:jc w:val="both"/>
        <w:rPr>
          <w:rFonts w:ascii="Calibri" w:hAnsi="Calibri" w:cs="Calibri"/>
          <w:sz w:val="16"/>
          <w:szCs w:val="16"/>
        </w:rPr>
      </w:pPr>
    </w:p>
    <w:p w14:paraId="7D84B118" w14:textId="77777777" w:rsidR="00F43F32" w:rsidRPr="00D97720" w:rsidRDefault="00F43F32" w:rsidP="00D97720">
      <w:pPr>
        <w:pStyle w:val="break-words"/>
        <w:numPr>
          <w:ilvl w:val="0"/>
          <w:numId w:val="26"/>
        </w:numPr>
        <w:spacing w:before="0" w:beforeAutospacing="0" w:after="0" w:afterAutospacing="0"/>
        <w:rPr>
          <w:rFonts w:ascii="Calibri" w:hAnsi="Calibri" w:cs="Calibri"/>
          <w:sz w:val="16"/>
          <w:szCs w:val="16"/>
        </w:rPr>
      </w:pPr>
      <w:hyperlink r:id="rId23" w:tgtFrame="_blank" w:history="1">
        <w:r w:rsidRPr="00D97720">
          <w:rPr>
            <w:rStyle w:val="Hipervnculo"/>
            <w:rFonts w:ascii="Calibri" w:hAnsi="Calibri" w:cs="Calibri"/>
            <w:sz w:val="16"/>
            <w:szCs w:val="16"/>
          </w:rPr>
          <w:t xml:space="preserve">U.S. </w:t>
        </w:r>
        <w:proofErr w:type="spellStart"/>
        <w:r w:rsidRPr="00D97720">
          <w:rPr>
            <w:rStyle w:val="Hipervnculo"/>
            <w:rFonts w:ascii="Calibri" w:hAnsi="Calibri" w:cs="Calibri"/>
            <w:sz w:val="16"/>
            <w:szCs w:val="16"/>
          </w:rPr>
          <w:t>Department</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of</w:t>
        </w:r>
        <w:proofErr w:type="spellEnd"/>
        <w:r w:rsidRPr="00D97720">
          <w:rPr>
            <w:rStyle w:val="Hipervnculo"/>
            <w:rFonts w:ascii="Calibri" w:hAnsi="Calibri" w:cs="Calibri"/>
            <w:sz w:val="16"/>
            <w:szCs w:val="16"/>
          </w:rPr>
          <w:t xml:space="preserve"> Defense </w:t>
        </w:r>
        <w:proofErr w:type="spellStart"/>
        <w:r w:rsidRPr="00D97720">
          <w:rPr>
            <w:rStyle w:val="Hipervnculo"/>
            <w:rFonts w:ascii="Calibri" w:hAnsi="Calibri" w:cs="Calibri"/>
            <w:sz w:val="16"/>
            <w:szCs w:val="16"/>
          </w:rPr>
          <w:t>Annual</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Report</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to</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Congress</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Military</w:t>
        </w:r>
        <w:proofErr w:type="spellEnd"/>
        <w:r w:rsidRPr="00D97720">
          <w:rPr>
            <w:rStyle w:val="Hipervnculo"/>
            <w:rFonts w:ascii="Calibri" w:hAnsi="Calibri" w:cs="Calibri"/>
            <w:sz w:val="16"/>
            <w:szCs w:val="16"/>
          </w:rPr>
          <w:t xml:space="preserve"> and Security </w:t>
        </w:r>
        <w:proofErr w:type="spellStart"/>
        <w:r w:rsidRPr="00D97720">
          <w:rPr>
            <w:rStyle w:val="Hipervnculo"/>
            <w:rFonts w:ascii="Calibri" w:hAnsi="Calibri" w:cs="Calibri"/>
            <w:sz w:val="16"/>
            <w:szCs w:val="16"/>
          </w:rPr>
          <w:t>Developments</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Involving</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the</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People's</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Republic</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of</w:t>
        </w:r>
        <w:proofErr w:type="spellEnd"/>
        <w:r w:rsidRPr="00D97720">
          <w:rPr>
            <w:rStyle w:val="Hipervnculo"/>
            <w:rFonts w:ascii="Calibri" w:hAnsi="Calibri" w:cs="Calibri"/>
            <w:sz w:val="16"/>
            <w:szCs w:val="16"/>
          </w:rPr>
          <w:t xml:space="preserve"> China 2023</w:t>
        </w:r>
      </w:hyperlink>
      <w:r w:rsidRPr="00D97720">
        <w:rPr>
          <w:rFonts w:ascii="Calibri" w:hAnsi="Calibri" w:cs="Calibri"/>
          <w:sz w:val="16"/>
          <w:szCs w:val="16"/>
        </w:rPr>
        <w:t>: Informes sobre tácticas militares convencionales, útiles para evaluar el impacto de ataques físicos en el FANC.</w:t>
      </w:r>
    </w:p>
    <w:p w14:paraId="668AE758" w14:textId="77777777" w:rsidR="00F43F32" w:rsidRPr="00D97720" w:rsidRDefault="00F43F32" w:rsidP="00D97720">
      <w:pPr>
        <w:pStyle w:val="break-words"/>
        <w:numPr>
          <w:ilvl w:val="0"/>
          <w:numId w:val="26"/>
        </w:numPr>
        <w:spacing w:before="0" w:beforeAutospacing="0" w:after="0" w:afterAutospacing="0"/>
        <w:rPr>
          <w:rFonts w:ascii="Calibri" w:hAnsi="Calibri" w:cs="Calibri"/>
          <w:sz w:val="16"/>
          <w:szCs w:val="16"/>
        </w:rPr>
      </w:pPr>
      <w:hyperlink r:id="rId24" w:tgtFrame="_blank" w:history="1">
        <w:proofErr w:type="spellStart"/>
        <w:r w:rsidRPr="00D97720">
          <w:rPr>
            <w:rStyle w:val="Hipervnculo"/>
            <w:rFonts w:ascii="Calibri" w:hAnsi="Calibri" w:cs="Calibri"/>
            <w:sz w:val="16"/>
            <w:szCs w:val="16"/>
          </w:rPr>
          <w:t>United</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Nations</w:t>
        </w:r>
        <w:proofErr w:type="spellEnd"/>
        <w:r w:rsidRPr="00D97720">
          <w:rPr>
            <w:rStyle w:val="Hipervnculo"/>
            <w:rFonts w:ascii="Calibri" w:hAnsi="Calibri" w:cs="Calibri"/>
            <w:sz w:val="16"/>
            <w:szCs w:val="16"/>
          </w:rPr>
          <w:t xml:space="preserve"> Office </w:t>
        </w:r>
        <w:proofErr w:type="spellStart"/>
        <w:r w:rsidRPr="00D97720">
          <w:rPr>
            <w:rStyle w:val="Hipervnculo"/>
            <w:rFonts w:ascii="Calibri" w:hAnsi="Calibri" w:cs="Calibri"/>
            <w:sz w:val="16"/>
            <w:szCs w:val="16"/>
          </w:rPr>
          <w:t>of</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Counter-Terrorism</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Protection</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of</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Critical</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Infrastructure</w:t>
        </w:r>
        <w:proofErr w:type="spellEnd"/>
      </w:hyperlink>
      <w:r w:rsidRPr="00D97720">
        <w:rPr>
          <w:rFonts w:ascii="Calibri" w:hAnsi="Calibri" w:cs="Calibri"/>
          <w:sz w:val="16"/>
          <w:szCs w:val="16"/>
        </w:rPr>
        <w:t>: Directrices sobre la protección de infraestructura crítica en conflictos armados, que respaldan la priorización estratégica.</w:t>
      </w:r>
    </w:p>
    <w:p w14:paraId="79D9FE18" w14:textId="77777777" w:rsidR="00F43F32" w:rsidRDefault="00F43F32" w:rsidP="00D97720">
      <w:pPr>
        <w:pStyle w:val="break-words"/>
        <w:numPr>
          <w:ilvl w:val="0"/>
          <w:numId w:val="26"/>
        </w:numPr>
        <w:spacing w:before="0" w:beforeAutospacing="0" w:after="0" w:afterAutospacing="0"/>
        <w:rPr>
          <w:rFonts w:ascii="Calibri" w:hAnsi="Calibri" w:cs="Calibri"/>
          <w:sz w:val="16"/>
          <w:szCs w:val="16"/>
        </w:rPr>
      </w:pPr>
      <w:hyperlink r:id="rId25" w:tgtFrame="_blank" w:history="1">
        <w:r w:rsidRPr="00D97720">
          <w:rPr>
            <w:rStyle w:val="Hipervnculo"/>
            <w:rFonts w:ascii="Calibri" w:hAnsi="Calibri" w:cs="Calibri"/>
            <w:sz w:val="16"/>
            <w:szCs w:val="16"/>
          </w:rPr>
          <w:t xml:space="preserve">Global </w:t>
        </w:r>
        <w:proofErr w:type="spellStart"/>
        <w:r w:rsidRPr="00D97720">
          <w:rPr>
            <w:rStyle w:val="Hipervnculo"/>
            <w:rFonts w:ascii="Calibri" w:hAnsi="Calibri" w:cs="Calibri"/>
            <w:sz w:val="16"/>
            <w:szCs w:val="16"/>
          </w:rPr>
          <w:t>Terrorism</w:t>
        </w:r>
        <w:proofErr w:type="spellEnd"/>
        <w:r w:rsidRPr="00D97720">
          <w:rPr>
            <w:rStyle w:val="Hipervnculo"/>
            <w:rFonts w:ascii="Calibri" w:hAnsi="Calibri" w:cs="Calibri"/>
            <w:sz w:val="16"/>
            <w:szCs w:val="16"/>
          </w:rPr>
          <w:t xml:space="preserve"> </w:t>
        </w:r>
        <w:proofErr w:type="spellStart"/>
        <w:r w:rsidRPr="00D97720">
          <w:rPr>
            <w:rStyle w:val="Hipervnculo"/>
            <w:rFonts w:ascii="Calibri" w:hAnsi="Calibri" w:cs="Calibri"/>
            <w:sz w:val="16"/>
            <w:szCs w:val="16"/>
          </w:rPr>
          <w:t>Database</w:t>
        </w:r>
        <w:proofErr w:type="spellEnd"/>
        <w:r w:rsidRPr="00D97720">
          <w:rPr>
            <w:rStyle w:val="Hipervnculo"/>
            <w:rFonts w:ascii="Calibri" w:hAnsi="Calibri" w:cs="Calibri"/>
            <w:sz w:val="16"/>
            <w:szCs w:val="16"/>
          </w:rPr>
          <w:t xml:space="preserve"> (GTD)</w:t>
        </w:r>
      </w:hyperlink>
      <w:r w:rsidRPr="00D97720">
        <w:rPr>
          <w:rFonts w:ascii="Calibri" w:hAnsi="Calibri" w:cs="Calibri"/>
          <w:sz w:val="16"/>
          <w:szCs w:val="16"/>
        </w:rPr>
        <w:t>: Datos históricos de ataques a infraestructuras críticas, que informan la relevancia del FANC en conflictos verticales.</w:t>
      </w:r>
    </w:p>
    <w:p w14:paraId="22E4D8BF" w14:textId="77777777" w:rsidR="00D97720" w:rsidRDefault="00D97720" w:rsidP="00D97720">
      <w:pPr>
        <w:pStyle w:val="break-words"/>
        <w:spacing w:before="0" w:beforeAutospacing="0" w:after="0" w:afterAutospacing="0"/>
        <w:rPr>
          <w:rFonts w:ascii="Calibri" w:hAnsi="Calibri" w:cs="Calibri"/>
          <w:sz w:val="16"/>
          <w:szCs w:val="16"/>
        </w:rPr>
      </w:pPr>
    </w:p>
    <w:p w14:paraId="0E1958E9" w14:textId="77777777" w:rsidR="00D97720" w:rsidRDefault="00D97720" w:rsidP="00D97720">
      <w:pPr>
        <w:pStyle w:val="break-words"/>
        <w:spacing w:before="0" w:beforeAutospacing="0" w:after="0" w:afterAutospacing="0"/>
        <w:rPr>
          <w:rFonts w:ascii="Calibri" w:hAnsi="Calibri" w:cs="Calibri"/>
          <w:sz w:val="16"/>
          <w:szCs w:val="16"/>
        </w:rPr>
      </w:pPr>
    </w:p>
    <w:p w14:paraId="149062B1" w14:textId="77777777" w:rsidR="00D97720" w:rsidRDefault="00D97720">
      <w:pPr>
        <w:spacing w:after="160" w:line="278" w:lineRule="auto"/>
        <w:rPr>
          <w:rFonts w:ascii="Calibri" w:eastAsiaTheme="minorHAnsi" w:hAnsi="Calibri" w:cs="Calibri"/>
          <w:b/>
          <w:bCs/>
          <w:color w:val="002060"/>
          <w:sz w:val="20"/>
          <w:szCs w:val="20"/>
          <w:lang w:val="es-MX" w:eastAsia="en-US"/>
          <w14:ligatures w14:val="standardContextual"/>
        </w:rPr>
      </w:pPr>
      <w:r>
        <w:br w:type="page"/>
      </w:r>
    </w:p>
    <w:p w14:paraId="3AF5EAD6" w14:textId="32F5A38F" w:rsidR="00F43F32" w:rsidRPr="00F43F32" w:rsidRDefault="00F43F32" w:rsidP="00D97720">
      <w:pPr>
        <w:pStyle w:val="TtulosVariable"/>
      </w:pPr>
      <w:r w:rsidRPr="00F43F32">
        <w:lastRenderedPageBreak/>
        <w:t>12. Prioridad Estratégica para Conflicto Horizontal e Irregular (Peh)</w:t>
      </w:r>
    </w:p>
    <w:p w14:paraId="38C53016" w14:textId="77777777" w:rsidR="00F43F32" w:rsidRDefault="00F43F32" w:rsidP="00F43F32">
      <w:pPr>
        <w:pStyle w:val="break-words"/>
        <w:spacing w:before="0" w:beforeAutospacing="0" w:after="0" w:afterAutospacing="0"/>
        <w:jc w:val="both"/>
        <w:rPr>
          <w:rStyle w:val="Textoennegrita"/>
          <w:rFonts w:ascii="Calibri" w:eastAsiaTheme="majorEastAsia" w:hAnsi="Calibri" w:cs="Calibri"/>
          <w:sz w:val="20"/>
          <w:szCs w:val="20"/>
        </w:rPr>
      </w:pPr>
    </w:p>
    <w:p w14:paraId="0F7A1759" w14:textId="77777777" w:rsidR="00D97720" w:rsidRPr="00D97720"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Significado</w:t>
      </w:r>
      <w:r w:rsidRPr="00D97720">
        <w:rPr>
          <w:rFonts w:ascii="Calibri" w:hAnsi="Calibri" w:cs="Calibri"/>
          <w:sz w:val="16"/>
          <w:szCs w:val="16"/>
        </w:rPr>
        <w:t>:</w:t>
      </w:r>
    </w:p>
    <w:p w14:paraId="073EE0FF" w14:textId="394E64B4"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br/>
        <w:t>La Prioridad Estratégica para Conflicto Horizontal e Irregular (</w:t>
      </w:r>
      <w:proofErr w:type="spellStart"/>
      <w:r w:rsidRPr="00D97720">
        <w:rPr>
          <w:rFonts w:ascii="Calibri" w:hAnsi="Calibri" w:cs="Calibri"/>
          <w:sz w:val="16"/>
          <w:szCs w:val="16"/>
        </w:rPr>
        <w:t>Peh</w:t>
      </w:r>
      <w:proofErr w:type="spellEnd"/>
      <w:r w:rsidRPr="00D97720">
        <w:rPr>
          <w:rFonts w:ascii="Calibri" w:hAnsi="Calibri" w:cs="Calibri"/>
          <w:sz w:val="16"/>
          <w:szCs w:val="16"/>
        </w:rPr>
        <w:t xml:space="preserve">) clasifica la prioridad de proteger cada elemento en el contexto de un conflicto armado de alta intensidad, horizontal e irregular, como guerras asimétricas, sabotajes, o ciberataques por actores no estatales (ej. grupos terroristas, hackers). Evalúa la vulnerabilidad del elemento a tácticas no convencionales (ej. ciberataques a sistemas SCADA, explosivos en torres de comunicación), ayudando a identificar activos críticos en escenarios de conflicto no tradicional. La </w:t>
      </w:r>
      <w:proofErr w:type="spellStart"/>
      <w:r w:rsidRPr="00D97720">
        <w:rPr>
          <w:rFonts w:ascii="Calibri" w:hAnsi="Calibri" w:cs="Calibri"/>
          <w:sz w:val="16"/>
          <w:szCs w:val="16"/>
        </w:rPr>
        <w:t>Peh</w:t>
      </w:r>
      <w:proofErr w:type="spellEnd"/>
      <w:r w:rsidRPr="00D97720">
        <w:rPr>
          <w:rFonts w:ascii="Calibri" w:hAnsi="Calibri" w:cs="Calibri"/>
          <w:sz w:val="16"/>
          <w:szCs w:val="16"/>
        </w:rPr>
        <w:t xml:space="preserve"> usa una escala cualitativa de cinco categorías: Muy Alta, Alta, Media, Baja, y Muy Baja.</w:t>
      </w:r>
    </w:p>
    <w:p w14:paraId="1E7D9AC3" w14:textId="77777777" w:rsidR="00D97720" w:rsidRDefault="00D97720" w:rsidP="00F43F32">
      <w:pPr>
        <w:pStyle w:val="break-words"/>
        <w:spacing w:before="0" w:beforeAutospacing="0" w:after="0" w:afterAutospacing="0"/>
        <w:jc w:val="both"/>
        <w:rPr>
          <w:rStyle w:val="Textoennegrita"/>
          <w:rFonts w:ascii="Calibri" w:eastAsiaTheme="majorEastAsia" w:hAnsi="Calibri" w:cs="Calibri"/>
          <w:sz w:val="16"/>
          <w:szCs w:val="16"/>
        </w:rPr>
      </w:pPr>
    </w:p>
    <w:p w14:paraId="124A5488" w14:textId="46FB538C" w:rsidR="00F43F32"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Cómo se Calcula</w:t>
      </w:r>
      <w:r w:rsidRPr="00D97720">
        <w:rPr>
          <w:rFonts w:ascii="Calibri" w:hAnsi="Calibri" w:cs="Calibri"/>
          <w:sz w:val="16"/>
          <w:szCs w:val="16"/>
        </w:rPr>
        <w:t>:</w:t>
      </w:r>
      <w:r w:rsidR="00D97720">
        <w:rPr>
          <w:rFonts w:ascii="Calibri" w:hAnsi="Calibri" w:cs="Calibri"/>
          <w:sz w:val="16"/>
          <w:szCs w:val="16"/>
        </w:rPr>
        <w:t xml:space="preserve"> </w:t>
      </w:r>
      <w:r w:rsidRPr="00D97720">
        <w:rPr>
          <w:rFonts w:ascii="Calibri" w:hAnsi="Calibri" w:cs="Calibri"/>
          <w:sz w:val="16"/>
          <w:szCs w:val="16"/>
        </w:rPr>
        <w:t xml:space="preserve">La </w:t>
      </w:r>
      <w:proofErr w:type="spellStart"/>
      <w:r w:rsidRPr="00D97720">
        <w:rPr>
          <w:rFonts w:ascii="Calibri" w:hAnsi="Calibri" w:cs="Calibri"/>
          <w:sz w:val="16"/>
          <w:szCs w:val="16"/>
        </w:rPr>
        <w:t>Peh</w:t>
      </w:r>
      <w:proofErr w:type="spellEnd"/>
      <w:r w:rsidRPr="00D97720">
        <w:rPr>
          <w:rFonts w:ascii="Calibri" w:hAnsi="Calibri" w:cs="Calibri"/>
          <w:sz w:val="16"/>
          <w:szCs w:val="16"/>
        </w:rPr>
        <w:t xml:space="preserve"> combina la </w:t>
      </w:r>
      <w:r w:rsidRPr="00D97720">
        <w:rPr>
          <w:rStyle w:val="Textoennegrita"/>
          <w:rFonts w:ascii="Calibri" w:eastAsiaTheme="majorEastAsia" w:hAnsi="Calibri" w:cs="Calibri"/>
          <w:sz w:val="16"/>
          <w:szCs w:val="16"/>
        </w:rPr>
        <w:t>Fragilidad ante Ataques No Convencionales (FANC)</w:t>
      </w:r>
      <w:r w:rsidRPr="00D97720">
        <w:rPr>
          <w:rFonts w:ascii="Calibri" w:hAnsi="Calibri" w:cs="Calibri"/>
          <w:sz w:val="16"/>
          <w:szCs w:val="16"/>
        </w:rPr>
        <w:t xml:space="preserve">, la </w:t>
      </w:r>
      <w:r w:rsidRPr="00D97720">
        <w:rPr>
          <w:rStyle w:val="Textoennegrita"/>
          <w:rFonts w:ascii="Calibri" w:eastAsiaTheme="majorEastAsia" w:hAnsi="Calibri" w:cs="Calibri"/>
          <w:sz w:val="16"/>
          <w:szCs w:val="16"/>
        </w:rPr>
        <w:t>Vulnerabilidad Tecnológica (VT)</w:t>
      </w:r>
      <w:r w:rsidRPr="00D97720">
        <w:rPr>
          <w:rFonts w:ascii="Calibri" w:hAnsi="Calibri" w:cs="Calibri"/>
          <w:sz w:val="16"/>
          <w:szCs w:val="16"/>
        </w:rPr>
        <w:t xml:space="preserve">, y el </w:t>
      </w:r>
      <w:r w:rsidRPr="00D97720">
        <w:rPr>
          <w:rStyle w:val="Textoennegrita"/>
          <w:rFonts w:ascii="Calibri" w:eastAsiaTheme="majorEastAsia" w:hAnsi="Calibri" w:cs="Calibri"/>
          <w:sz w:val="16"/>
          <w:szCs w:val="16"/>
        </w:rPr>
        <w:t>Factor de Vulnerabilidad Total (FVT)</w:t>
      </w:r>
      <w:r w:rsidRPr="00D97720">
        <w:rPr>
          <w:rFonts w:ascii="Calibri" w:hAnsi="Calibri" w:cs="Calibri"/>
          <w:sz w:val="16"/>
          <w:szCs w:val="16"/>
        </w:rPr>
        <w:t>, con ponderaciones que reflejan la importancia de las tácticas digitales y tecnológicas en conflictos irregulares:</w:t>
      </w:r>
    </w:p>
    <w:p w14:paraId="3267BDF9" w14:textId="77777777" w:rsidR="00D97720" w:rsidRPr="00D97720" w:rsidRDefault="00D97720" w:rsidP="00F43F32">
      <w:pPr>
        <w:pStyle w:val="break-words"/>
        <w:spacing w:before="0" w:beforeAutospacing="0" w:after="0" w:afterAutospacing="0"/>
        <w:jc w:val="both"/>
        <w:rPr>
          <w:rFonts w:ascii="Calibri" w:hAnsi="Calibri" w:cs="Calibri"/>
          <w:sz w:val="16"/>
          <w:szCs w:val="16"/>
        </w:rPr>
      </w:pPr>
    </w:p>
    <w:p w14:paraId="48999A3B" w14:textId="70AAA8C9" w:rsidR="00F43F32" w:rsidRPr="00D97720" w:rsidRDefault="00D97720" w:rsidP="00F43F32">
      <w:pPr>
        <w:jc w:val="both"/>
        <w:rPr>
          <w:rFonts w:ascii="Calibri" w:hAnsi="Calibri" w:cs="Calibri"/>
          <w:sz w:val="16"/>
          <w:szCs w:val="16"/>
        </w:rPr>
      </w:pPr>
      <m:oMathPara>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horizontal</m:t>
              </m:r>
            </m:sub>
          </m:sSub>
          <m:r>
            <w:rPr>
              <w:rStyle w:val="katex-mathml"/>
              <w:rFonts w:ascii="Cambria Math" w:eastAsiaTheme="majorEastAsia" w:hAnsi="Cambria Math" w:cs="Calibri"/>
              <w:sz w:val="16"/>
              <w:szCs w:val="16"/>
            </w:rPr>
            <m:t>=0.5</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FAN</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C</m:t>
              </m:r>
            </m:e>
            <m:sub>
              <m:r>
                <w:rPr>
                  <w:rStyle w:val="katex-mathml"/>
                  <w:rFonts w:ascii="Cambria Math" w:eastAsiaTheme="majorEastAsia" w:hAnsi="Cambria Math" w:cs="Calibri"/>
                  <w:sz w:val="16"/>
                  <w:szCs w:val="16"/>
                </w:rPr>
                <m:t>num</m:t>
              </m:r>
            </m:sub>
          </m:sSub>
          <m:r>
            <w:rPr>
              <w:rStyle w:val="katex-mathml"/>
              <w:rFonts w:ascii="Cambria Math" w:eastAsiaTheme="majorEastAsia" w:hAnsi="Cambria Math" w:cs="Calibri"/>
              <w:sz w:val="16"/>
              <w:szCs w:val="16"/>
            </w:rPr>
            <m:t>+0.3</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VT+0.2</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FVT</m:t>
          </m:r>
        </m:oMath>
      </m:oMathPara>
    </w:p>
    <w:p w14:paraId="1B33A02A" w14:textId="77777777" w:rsidR="00D97720" w:rsidRDefault="00D97720" w:rsidP="00F43F32">
      <w:pPr>
        <w:pStyle w:val="break-words"/>
        <w:spacing w:before="0" w:beforeAutospacing="0" w:after="0" w:afterAutospacing="0"/>
        <w:jc w:val="both"/>
        <w:rPr>
          <w:rFonts w:ascii="Calibri" w:hAnsi="Calibri" w:cs="Calibri"/>
          <w:sz w:val="16"/>
          <w:szCs w:val="16"/>
        </w:rPr>
      </w:pPr>
    </w:p>
    <w:p w14:paraId="47BEA572" w14:textId="50EFD10C"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Donde:</w:t>
      </w:r>
    </w:p>
    <w:p w14:paraId="77DDE259" w14:textId="77777777" w:rsidR="00F43F32" w:rsidRPr="00D97720" w:rsidRDefault="00F43F32" w:rsidP="00F43F32">
      <w:pPr>
        <w:pStyle w:val="break-words"/>
        <w:numPr>
          <w:ilvl w:val="0"/>
          <w:numId w:val="27"/>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FANC_{</w:t>
      </w:r>
      <w:proofErr w:type="spellStart"/>
      <w:r w:rsidRPr="00D97720">
        <w:rPr>
          <w:rStyle w:val="Textoennegrita"/>
          <w:rFonts w:ascii="Calibri" w:eastAsiaTheme="majorEastAsia" w:hAnsi="Calibri" w:cs="Calibri"/>
          <w:sz w:val="16"/>
          <w:szCs w:val="16"/>
        </w:rPr>
        <w:t>num</w:t>
      </w:r>
      <w:proofErr w:type="spellEnd"/>
      <w:r w:rsidRPr="00D97720">
        <w:rPr>
          <w:rStyle w:val="Textoennegrita"/>
          <w:rFonts w:ascii="Calibri" w:eastAsiaTheme="majorEastAsia" w:hAnsi="Calibri" w:cs="Calibri"/>
          <w:sz w:val="16"/>
          <w:szCs w:val="16"/>
        </w:rPr>
        <w:t>}</w:t>
      </w:r>
      <w:r w:rsidRPr="00D97720">
        <w:rPr>
          <w:rFonts w:ascii="Calibri" w:hAnsi="Calibri" w:cs="Calibri"/>
          <w:sz w:val="16"/>
          <w:szCs w:val="16"/>
        </w:rPr>
        <w:t>: Fragilidad ante Ataques No Convencionales (Alta=3, Media=2, Baja=1).</w:t>
      </w:r>
    </w:p>
    <w:p w14:paraId="16416BAB" w14:textId="77777777" w:rsidR="00F43F32" w:rsidRPr="00D97720" w:rsidRDefault="00F43F32" w:rsidP="00F43F32">
      <w:pPr>
        <w:pStyle w:val="break-words"/>
        <w:numPr>
          <w:ilvl w:val="0"/>
          <w:numId w:val="27"/>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VT</w:t>
      </w:r>
      <w:r w:rsidRPr="00D97720">
        <w:rPr>
          <w:rFonts w:ascii="Calibri" w:hAnsi="Calibri" w:cs="Calibri"/>
          <w:sz w:val="16"/>
          <w:szCs w:val="16"/>
        </w:rPr>
        <w:t>: Vulnerabilidad Tecnológica, en una escala de 0 a 1.</w:t>
      </w:r>
    </w:p>
    <w:p w14:paraId="66CC31FF" w14:textId="77777777" w:rsidR="00F43F32" w:rsidRPr="00D97720" w:rsidRDefault="00F43F32" w:rsidP="00F43F32">
      <w:pPr>
        <w:pStyle w:val="break-words"/>
        <w:numPr>
          <w:ilvl w:val="0"/>
          <w:numId w:val="27"/>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FVT</w:t>
      </w:r>
      <w:r w:rsidRPr="00D97720">
        <w:rPr>
          <w:rFonts w:ascii="Calibri" w:hAnsi="Calibri" w:cs="Calibri"/>
          <w:sz w:val="16"/>
          <w:szCs w:val="16"/>
        </w:rPr>
        <w:t>: Factor de Vulnerabilidad Total, en una escala de 0 a 1.</w:t>
      </w:r>
    </w:p>
    <w:p w14:paraId="0B6F4007" w14:textId="77777777" w:rsidR="00D97720" w:rsidRDefault="00D97720" w:rsidP="00F43F32">
      <w:pPr>
        <w:pStyle w:val="break-words"/>
        <w:spacing w:before="0" w:beforeAutospacing="0" w:after="0" w:afterAutospacing="0"/>
        <w:jc w:val="both"/>
        <w:rPr>
          <w:rStyle w:val="Textoennegrita"/>
          <w:rFonts w:ascii="Calibri" w:eastAsiaTheme="majorEastAsia" w:hAnsi="Calibri" w:cs="Calibri"/>
          <w:sz w:val="16"/>
          <w:szCs w:val="16"/>
        </w:rPr>
      </w:pPr>
    </w:p>
    <w:p w14:paraId="42A6EA4A" w14:textId="490694C2"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Normalización</w:t>
      </w:r>
      <w:r w:rsidRPr="00D97720">
        <w:rPr>
          <w:rFonts w:ascii="Calibri" w:hAnsi="Calibri" w:cs="Calibri"/>
          <w:sz w:val="16"/>
          <w:szCs w:val="16"/>
        </w:rPr>
        <w:t>:</w:t>
      </w:r>
      <w:r w:rsidR="00D97720">
        <w:rPr>
          <w:rFonts w:ascii="Calibri" w:hAnsi="Calibri" w:cs="Calibri"/>
          <w:sz w:val="16"/>
          <w:szCs w:val="16"/>
        </w:rPr>
        <w:t xml:space="preserve"> </w:t>
      </w:r>
      <w:r w:rsidRPr="00D97720">
        <w:rPr>
          <w:rFonts w:ascii="Calibri" w:hAnsi="Calibri" w:cs="Calibri"/>
          <w:sz w:val="16"/>
          <w:szCs w:val="16"/>
        </w:rPr>
        <w:t xml:space="preserve">El valor de </w:t>
      </w:r>
      <m:oMath>
        <m:r>
          <w:rPr>
            <w:rStyle w:val="katex-mathml"/>
            <w:rFonts w:ascii="Cambria Math" w:eastAsiaTheme="majorEastAsia" w:hAnsi="Cambria Math" w:cs="Calibri"/>
            <w:sz w:val="16"/>
            <w:szCs w:val="16"/>
          </w:rPr>
          <m:t xml:space="preserve">PE_{horizontal}) </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1.94</m:t>
        </m:r>
      </m:oMath>
    </w:p>
    <w:p w14:paraId="64128121" w14:textId="77777777" w:rsidR="00D97720" w:rsidRDefault="00D97720" w:rsidP="00F43F32">
      <w:pPr>
        <w:jc w:val="both"/>
        <w:rPr>
          <w:rStyle w:val="katex-mathml"/>
          <w:rFonts w:ascii="Calibri" w:eastAsiaTheme="majorEastAsia" w:hAnsi="Calibri" w:cs="Calibri"/>
          <w:sz w:val="16"/>
          <w:szCs w:val="16"/>
        </w:rPr>
      </w:pPr>
    </w:p>
    <w:p w14:paraId="1876ECE1" w14:textId="14065F94" w:rsidR="00F43F32" w:rsidRPr="00B66E42" w:rsidRDefault="00D97720" w:rsidP="00F43F32">
      <w:pPr>
        <w:jc w:val="both"/>
        <w:rPr>
          <w:rFonts w:ascii="Calibri" w:hAnsi="Calibri" w:cs="Calibri"/>
          <w:sz w:val="16"/>
          <w:szCs w:val="16"/>
        </w:rPr>
      </w:pPr>
      <m:oMathPara>
        <m:oMathParaPr>
          <m:jc m:val="center"/>
        </m:oMathParaP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horizonta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w:rPr>
              <w:rStyle w:val="katex-mathml"/>
              <w:rFonts w:ascii="Cambria Math" w:eastAsiaTheme="majorEastAsia" w:hAnsi="Cambria Math" w:cs="Calibri"/>
              <w:sz w:val="16"/>
              <w:szCs w:val="16"/>
            </w:rPr>
            <m:t>=</m:t>
          </m:r>
          <m:f>
            <m:fPr>
              <m:ctrlPr>
                <w:rPr>
                  <w:rStyle w:val="katex-mathml"/>
                  <w:rFonts w:ascii="Cambria Math" w:eastAsiaTheme="majorEastAsia" w:hAnsi="Cambria Math" w:cs="Calibri"/>
                  <w:sz w:val="16"/>
                  <w:szCs w:val="16"/>
                </w:rPr>
              </m:ctrlPr>
            </m:fPr>
            <m:num>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horizontal</m:t>
                  </m:r>
                </m:sub>
              </m:sSub>
              <m:ctrlPr>
                <w:rPr>
                  <w:rStyle w:val="katex-mathml"/>
                  <w:rFonts w:ascii="Cambria Math" w:eastAsiaTheme="majorEastAsia" w:hAnsi="Cambria Math" w:cs="Calibri"/>
                  <w:i/>
                  <w:sz w:val="16"/>
                  <w:szCs w:val="16"/>
                </w:rPr>
              </m:ctrlPr>
            </m:num>
            <m:den>
              <m:func>
                <m:funcPr>
                  <m:ctrlPr>
                    <w:rPr>
                      <w:rStyle w:val="katex-mathml"/>
                      <w:rFonts w:ascii="Cambria Math" w:eastAsiaTheme="majorEastAsia" w:hAnsi="Cambria Math" w:cs="Calibri"/>
                      <w:sz w:val="16"/>
                      <w:szCs w:val="16"/>
                    </w:rPr>
                  </m:ctrlPr>
                </m:funcPr>
                <m:fName>
                  <m:r>
                    <m:rPr>
                      <m:sty m:val="p"/>
                    </m:rPr>
                    <w:rPr>
                      <w:rStyle w:val="katex-mathml"/>
                      <w:rFonts w:ascii="Cambria Math" w:eastAsiaTheme="majorEastAsia" w:hAnsi="Cambria Math" w:cs="Calibri"/>
                      <w:sz w:val="16"/>
                      <w:szCs w:val="16"/>
                    </w:rPr>
                    <m:t>max</m:t>
                  </m:r>
                  <m:ctrlPr>
                    <w:rPr>
                      <w:rStyle w:val="katex-mathml"/>
                      <w:rFonts w:ascii="Cambria Math" w:eastAsiaTheme="majorEastAsia" w:hAnsi="Cambria Math" w:cs="Calibri"/>
                      <w:i/>
                      <w:sz w:val="16"/>
                      <w:szCs w:val="16"/>
                    </w:rPr>
                  </m:ctrlPr>
                </m:fName>
                <m:e>
                  <m:d>
                    <m:dPr>
                      <m:ctrlPr>
                        <w:rPr>
                          <w:rStyle w:val="katex-mathml"/>
                          <w:rFonts w:ascii="Cambria Math" w:eastAsiaTheme="majorEastAsia" w:hAnsi="Cambria Math" w:cs="Calibri"/>
                          <w:i/>
                          <w:sz w:val="16"/>
                          <w:szCs w:val="16"/>
                        </w:rPr>
                      </m:ctrlPr>
                    </m:dPr>
                    <m:e>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horizontal</m:t>
                          </m:r>
                        </m:sub>
                      </m:sSub>
                    </m:e>
                  </m:d>
                </m:e>
              </m:func>
              <m:ctrlPr>
                <w:rPr>
                  <w:rStyle w:val="katex-mathml"/>
                  <w:rFonts w:ascii="Cambria Math" w:eastAsiaTheme="majorEastAsia" w:hAnsi="Cambria Math" w:cs="Calibri"/>
                  <w:i/>
                  <w:sz w:val="16"/>
                  <w:szCs w:val="16"/>
                </w:rPr>
              </m:ctrlPr>
            </m:den>
          </m:f>
        </m:oMath>
      </m:oMathPara>
    </w:p>
    <w:p w14:paraId="35F1411A" w14:textId="77777777" w:rsidR="00D97720" w:rsidRDefault="00D97720" w:rsidP="00F43F32">
      <w:pPr>
        <w:pStyle w:val="break-words"/>
        <w:spacing w:before="0" w:beforeAutospacing="0" w:after="0" w:afterAutospacing="0"/>
        <w:jc w:val="both"/>
        <w:rPr>
          <w:rStyle w:val="Textoennegrita"/>
          <w:rFonts w:ascii="Calibri" w:eastAsiaTheme="majorEastAsia" w:hAnsi="Calibri" w:cs="Calibri"/>
          <w:sz w:val="16"/>
          <w:szCs w:val="16"/>
        </w:rPr>
      </w:pPr>
    </w:p>
    <w:p w14:paraId="256A3EF8" w14:textId="3D064E29" w:rsidR="00F43F32"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Clasificación</w:t>
      </w:r>
      <w:r w:rsidRPr="00D97720">
        <w:rPr>
          <w:rFonts w:ascii="Calibri" w:hAnsi="Calibri" w:cs="Calibri"/>
          <w:sz w:val="16"/>
          <w:szCs w:val="16"/>
        </w:rPr>
        <w:t>:</w:t>
      </w:r>
    </w:p>
    <w:p w14:paraId="4E232B30" w14:textId="77777777" w:rsidR="00D97720" w:rsidRPr="00D97720" w:rsidRDefault="00D97720" w:rsidP="00F43F32">
      <w:pPr>
        <w:pStyle w:val="break-words"/>
        <w:spacing w:before="0" w:beforeAutospacing="0" w:after="0" w:afterAutospacing="0"/>
        <w:jc w:val="both"/>
        <w:rPr>
          <w:rFonts w:ascii="Calibri" w:hAnsi="Calibri" w:cs="Calibri"/>
          <w:sz w:val="16"/>
          <w:szCs w:val="16"/>
        </w:rPr>
      </w:pPr>
    </w:p>
    <w:p w14:paraId="77FE71A7" w14:textId="2FD2A47E" w:rsidR="00F43F32" w:rsidRPr="00D97720" w:rsidRDefault="00F43F32" w:rsidP="00F43F32">
      <w:pPr>
        <w:pStyle w:val="break-words"/>
        <w:numPr>
          <w:ilvl w:val="0"/>
          <w:numId w:val="28"/>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Muy Alta</w:t>
      </w:r>
      <w:r w:rsidRPr="00D97720">
        <w:rPr>
          <w:rFonts w:ascii="Calibri" w:hAnsi="Calibri" w:cs="Calibri"/>
          <w:sz w:val="16"/>
          <w:szCs w:val="16"/>
        </w:rPr>
        <w:t>:</w:t>
      </w:r>
      <w:r w:rsidR="00D97720">
        <w:rPr>
          <w:rStyle w:val="katex-mathml"/>
          <w:rFonts w:ascii="Calibri" w:eastAsiaTheme="majorEastAsia"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horizonta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w:rPr>
            <w:rStyle w:val="katex-mathml"/>
            <w:rFonts w:ascii="Cambria Math" w:eastAsiaTheme="majorEastAsia" w:hAnsi="Cambria Math" w:cs="Calibri"/>
            <w:sz w:val="16"/>
            <w:szCs w:val="16"/>
          </w:rPr>
          <m:t>&gt;0.96</m:t>
        </m:r>
      </m:oMath>
    </w:p>
    <w:p w14:paraId="37B1DF65" w14:textId="31E54AC9" w:rsidR="00D97720" w:rsidRPr="00D97720" w:rsidRDefault="00F43F32" w:rsidP="00CD2A9D">
      <w:pPr>
        <w:pStyle w:val="break-words"/>
        <w:numPr>
          <w:ilvl w:val="0"/>
          <w:numId w:val="28"/>
        </w:numPr>
        <w:spacing w:before="0" w:beforeAutospacing="0" w:after="0" w:afterAutospacing="0"/>
        <w:jc w:val="both"/>
        <w:rPr>
          <w:rStyle w:val="katex-mathml"/>
          <w:rFonts w:ascii="Calibri" w:hAnsi="Calibri" w:cs="Calibri"/>
          <w:sz w:val="16"/>
          <w:szCs w:val="16"/>
        </w:rPr>
      </w:pPr>
      <w:r w:rsidRPr="00D97720">
        <w:rPr>
          <w:rStyle w:val="Textoennegrita"/>
          <w:rFonts w:ascii="Calibri" w:eastAsiaTheme="majorEastAsia" w:hAnsi="Calibri" w:cs="Calibri"/>
          <w:sz w:val="16"/>
          <w:szCs w:val="16"/>
        </w:rPr>
        <w:t>Alta</w:t>
      </w:r>
      <w:r w:rsidR="00D97720" w:rsidRPr="00D97720">
        <w:rPr>
          <w:rFonts w:ascii="Calibri"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horizonta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0.96</m:t>
        </m:r>
      </m:oMath>
    </w:p>
    <w:p w14:paraId="7BB74819" w14:textId="3A6B8F95" w:rsidR="00F43F32" w:rsidRPr="00D97720" w:rsidRDefault="00F43F32" w:rsidP="00CD2A9D">
      <w:pPr>
        <w:pStyle w:val="break-words"/>
        <w:numPr>
          <w:ilvl w:val="0"/>
          <w:numId w:val="28"/>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Media</w:t>
      </w:r>
      <w:r w:rsidRPr="00D97720">
        <w:rPr>
          <w:rFonts w:ascii="Calibri" w:hAnsi="Calibri" w:cs="Calibri"/>
          <w:sz w:val="16"/>
          <w:szCs w:val="16"/>
        </w:rPr>
        <w:t>:</w:t>
      </w:r>
      <w:r w:rsidR="00D97720">
        <w:rPr>
          <w:rStyle w:val="katex-mathml"/>
          <w:rFonts w:ascii="Calibri" w:eastAsiaTheme="majorEastAsia"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horizonta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0.85</m:t>
        </m:r>
      </m:oMath>
    </w:p>
    <w:p w14:paraId="4155E363" w14:textId="39A1B19B" w:rsidR="00F43F32" w:rsidRPr="00D97720" w:rsidRDefault="00F43F32" w:rsidP="00F43F32">
      <w:pPr>
        <w:pStyle w:val="break-words"/>
        <w:numPr>
          <w:ilvl w:val="0"/>
          <w:numId w:val="28"/>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Baja</w:t>
      </w:r>
      <w:r w:rsidR="00D97720">
        <w:rPr>
          <w:rFonts w:ascii="Calibri" w:hAnsi="Calibri" w:cs="Calibri"/>
          <w:sz w:val="16"/>
          <w:szCs w:val="16"/>
        </w:rPr>
        <w:t>:</w:t>
      </w:r>
      <w:r w:rsidRPr="00D97720">
        <w:rPr>
          <w:rStyle w:val="katex-mathml"/>
          <w:rFonts w:ascii="Calibri" w:eastAsiaTheme="majorEastAsia"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horizonta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0.70</m:t>
        </m:r>
      </m:oMath>
    </w:p>
    <w:p w14:paraId="170133FE" w14:textId="22199EBB" w:rsidR="00F43F32" w:rsidRPr="00D97720" w:rsidRDefault="00F43F32" w:rsidP="00F43F32">
      <w:pPr>
        <w:pStyle w:val="break-words"/>
        <w:numPr>
          <w:ilvl w:val="0"/>
          <w:numId w:val="28"/>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Muy Baja</w:t>
      </w:r>
      <w:r w:rsidR="00D97720">
        <w:rPr>
          <w:rFonts w:ascii="Calibri" w:hAnsi="Calibri" w:cs="Calibri"/>
          <w:sz w:val="16"/>
          <w:szCs w:val="16"/>
        </w:rPr>
        <w:t>:</w:t>
      </w:r>
      <w:r w:rsidRPr="00D97720">
        <w:rPr>
          <w:rStyle w:val="katex-mathml"/>
          <w:rFonts w:ascii="Calibri" w:eastAsiaTheme="majorEastAsia"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horizonta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0.50</m:t>
        </m:r>
      </m:oMath>
    </w:p>
    <w:p w14:paraId="5785812F" w14:textId="77777777" w:rsidR="00D97720" w:rsidRDefault="00D97720" w:rsidP="00F43F32">
      <w:pPr>
        <w:pStyle w:val="break-words"/>
        <w:spacing w:before="0" w:beforeAutospacing="0" w:after="0" w:afterAutospacing="0"/>
        <w:jc w:val="both"/>
        <w:rPr>
          <w:rStyle w:val="Textoennegrita"/>
          <w:rFonts w:ascii="Calibri" w:eastAsiaTheme="majorEastAsia" w:hAnsi="Calibri" w:cs="Calibri"/>
          <w:sz w:val="16"/>
          <w:szCs w:val="16"/>
        </w:rPr>
      </w:pPr>
    </w:p>
    <w:p w14:paraId="3AEAE7BE" w14:textId="77777777" w:rsidR="00D97720"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Ejemplo</w:t>
      </w:r>
      <w:r w:rsidRPr="00D97720">
        <w:rPr>
          <w:rFonts w:ascii="Calibri" w:hAnsi="Calibri" w:cs="Calibri"/>
          <w:sz w:val="16"/>
          <w:szCs w:val="16"/>
        </w:rPr>
        <w:t>:</w:t>
      </w:r>
    </w:p>
    <w:p w14:paraId="243467C0" w14:textId="242502D8" w:rsidR="00F43F32"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br/>
        <w:t>Para "Sistemas de Monitoreo y Control (SCADA)" (</w:t>
      </w:r>
      <w:proofErr w:type="spellStart"/>
      <w:r w:rsidRPr="00D97720">
        <w:rPr>
          <w:rFonts w:ascii="Calibri" w:hAnsi="Calibri" w:cs="Calibri"/>
          <w:sz w:val="16"/>
          <w:szCs w:val="16"/>
        </w:rPr>
        <w:t>N°</w:t>
      </w:r>
      <w:proofErr w:type="spellEnd"/>
      <w:r w:rsidRPr="00D97720">
        <w:rPr>
          <w:rFonts w:ascii="Calibri" w:hAnsi="Calibri" w:cs="Calibri"/>
          <w:sz w:val="16"/>
          <w:szCs w:val="16"/>
        </w:rPr>
        <w:t xml:space="preserve"> 129):</w:t>
      </w:r>
    </w:p>
    <w:p w14:paraId="6B2BCCDE" w14:textId="77777777" w:rsidR="00D97720" w:rsidRPr="00D97720" w:rsidRDefault="00D97720" w:rsidP="00F43F32">
      <w:pPr>
        <w:pStyle w:val="break-words"/>
        <w:spacing w:before="0" w:beforeAutospacing="0" w:after="0" w:afterAutospacing="0"/>
        <w:jc w:val="both"/>
        <w:rPr>
          <w:rFonts w:ascii="Calibri" w:hAnsi="Calibri" w:cs="Calibri"/>
          <w:sz w:val="16"/>
          <w:szCs w:val="16"/>
        </w:rPr>
      </w:pPr>
    </w:p>
    <w:p w14:paraId="097CE760" w14:textId="77777777" w:rsidR="00F43F32" w:rsidRDefault="00F43F32" w:rsidP="00F43F32">
      <w:pPr>
        <w:pStyle w:val="break-words"/>
        <w:numPr>
          <w:ilvl w:val="0"/>
          <w:numId w:val="29"/>
        </w:numPr>
        <w:spacing w:before="0" w:beforeAutospacing="0" w:after="0" w:afterAutospacing="0"/>
        <w:jc w:val="both"/>
        <w:rPr>
          <w:rFonts w:ascii="Calibri" w:hAnsi="Calibri" w:cs="Calibri"/>
          <w:sz w:val="16"/>
          <w:szCs w:val="16"/>
        </w:rPr>
      </w:pPr>
      <w:r w:rsidRPr="00D97720">
        <w:rPr>
          <w:rFonts w:ascii="Calibri" w:hAnsi="Calibri" w:cs="Calibri"/>
          <w:sz w:val="16"/>
          <w:szCs w:val="16"/>
        </w:rPr>
        <w:t>FANC = Alta (3), VT = 0.9, FVT = 0.8.</w:t>
      </w:r>
    </w:p>
    <w:p w14:paraId="2459CD52" w14:textId="77777777" w:rsidR="00D97720" w:rsidRPr="00D97720" w:rsidRDefault="00D97720" w:rsidP="00D97720">
      <w:pPr>
        <w:pStyle w:val="break-words"/>
        <w:spacing w:before="0" w:beforeAutospacing="0" w:after="0" w:afterAutospacing="0"/>
        <w:ind w:left="360"/>
        <w:jc w:val="both"/>
        <w:rPr>
          <w:rFonts w:ascii="Calibri" w:hAnsi="Calibri" w:cs="Calibri"/>
          <w:sz w:val="16"/>
          <w:szCs w:val="16"/>
        </w:rPr>
      </w:pPr>
    </w:p>
    <w:p w14:paraId="17C51150" w14:textId="51784334" w:rsidR="00F43F32" w:rsidRPr="006F7759" w:rsidRDefault="00F43F32" w:rsidP="006F7759">
      <w:pPr>
        <w:pStyle w:val="break-words"/>
        <w:numPr>
          <w:ilvl w:val="0"/>
          <w:numId w:val="29"/>
        </w:numPr>
        <w:spacing w:before="0" w:beforeAutospacing="0" w:after="0" w:afterAutospacing="0"/>
        <w:jc w:val="both"/>
        <w:rPr>
          <w:rFonts w:ascii="Calibri" w:hAnsi="Calibri" w:cs="Calibri"/>
          <w:sz w:val="16"/>
          <w:szCs w:val="16"/>
        </w:rPr>
      </w:pPr>
      <w:r w:rsidRPr="00D97720">
        <w:rPr>
          <w:rFonts w:ascii="Calibri" w:hAnsi="Calibri" w:cs="Calibri"/>
          <w:sz w:val="16"/>
          <w:szCs w:val="16"/>
        </w:rPr>
        <w:t>Cálculo:</w:t>
      </w:r>
      <w:r w:rsidR="006F7759">
        <w:rPr>
          <w:rFonts w:ascii="Calibri"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horizontal</m:t>
            </m:r>
          </m:sub>
        </m:sSub>
        <m:r>
          <w:rPr>
            <w:rStyle w:val="katex-mathml"/>
            <w:rFonts w:ascii="Cambria Math" w:eastAsiaTheme="majorEastAsia" w:hAnsi="Cambria Math" w:cs="Calibri"/>
            <w:sz w:val="16"/>
            <w:szCs w:val="16"/>
          </w:rPr>
          <m:t>=0.5</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3+0.3</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0.9+0.2</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0.8=1.5+0.27+0.16=1.93</m:t>
        </m:r>
      </m:oMath>
    </w:p>
    <w:p w14:paraId="0DA35028" w14:textId="77777777" w:rsidR="00D97720" w:rsidRPr="00D97720" w:rsidRDefault="00D97720" w:rsidP="00D97720">
      <w:pPr>
        <w:pStyle w:val="break-words"/>
        <w:spacing w:before="0" w:beforeAutospacing="0" w:after="0" w:afterAutospacing="0"/>
        <w:ind w:left="720"/>
        <w:jc w:val="both"/>
        <w:rPr>
          <w:rFonts w:ascii="Calibri" w:hAnsi="Calibri" w:cs="Calibri"/>
          <w:sz w:val="16"/>
          <w:szCs w:val="16"/>
        </w:rPr>
      </w:pPr>
    </w:p>
    <w:p w14:paraId="60AA72FC" w14:textId="1E9BCCDC" w:rsidR="006F7759" w:rsidRPr="006F7759" w:rsidRDefault="00F43F32" w:rsidP="006F7759">
      <w:pPr>
        <w:pStyle w:val="break-words"/>
        <w:numPr>
          <w:ilvl w:val="0"/>
          <w:numId w:val="29"/>
        </w:numPr>
        <w:spacing w:before="0" w:beforeAutospacing="0" w:after="0" w:afterAutospacing="0"/>
        <w:jc w:val="both"/>
        <w:rPr>
          <w:rStyle w:val="katex-mathml"/>
          <w:rFonts w:ascii="Calibri" w:hAnsi="Calibri" w:cs="Calibri"/>
          <w:sz w:val="16"/>
          <w:szCs w:val="16"/>
        </w:rPr>
      </w:pPr>
      <w:r w:rsidRPr="00D97720">
        <w:rPr>
          <w:rFonts w:ascii="Calibri" w:hAnsi="Calibri" w:cs="Calibri"/>
          <w:sz w:val="16"/>
          <w:szCs w:val="16"/>
        </w:rPr>
        <w:t>Normalización:</w:t>
      </w:r>
      <w:r w:rsidR="006F7759">
        <w:rPr>
          <w:rFonts w:ascii="Calibri" w:hAnsi="Calibri" w:cs="Calibri"/>
          <w:sz w:val="16"/>
          <w:szCs w:val="16"/>
        </w:rPr>
        <w:t xml:space="preserve"> </w:t>
      </w:r>
      <w:r w:rsidRPr="006F7759">
        <w:rPr>
          <w:rFonts w:ascii="Calibri"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horizonta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w:rPr>
            <w:rStyle w:val="katex-mathml"/>
            <w:rFonts w:ascii="Cambria Math" w:eastAsiaTheme="majorEastAsia" w:hAnsi="Cambria Math" w:cs="Calibri"/>
            <w:sz w:val="16"/>
            <w:szCs w:val="16"/>
          </w:rPr>
          <m:t>=</m:t>
        </m:r>
        <m:f>
          <m:fPr>
            <m:ctrlPr>
              <w:rPr>
                <w:rStyle w:val="katex-mathml"/>
                <w:rFonts w:ascii="Cambria Math" w:eastAsiaTheme="majorEastAsia" w:hAnsi="Cambria Math" w:cs="Calibri"/>
                <w:sz w:val="16"/>
                <w:szCs w:val="16"/>
              </w:rPr>
            </m:ctrlPr>
          </m:fPr>
          <m:num>
            <m:r>
              <w:rPr>
                <w:rStyle w:val="katex-mathml"/>
                <w:rFonts w:ascii="Cambria Math" w:eastAsiaTheme="majorEastAsia" w:hAnsi="Cambria Math" w:cs="Calibri"/>
                <w:sz w:val="16"/>
                <w:szCs w:val="16"/>
              </w:rPr>
              <m:t>1.93</m:t>
            </m:r>
            <m:ctrlPr>
              <w:rPr>
                <w:rStyle w:val="katex-mathml"/>
                <w:rFonts w:ascii="Cambria Math" w:eastAsiaTheme="majorEastAsia" w:hAnsi="Cambria Math" w:cs="Calibri"/>
                <w:i/>
                <w:sz w:val="16"/>
                <w:szCs w:val="16"/>
              </w:rPr>
            </m:ctrlPr>
          </m:num>
          <m:den>
            <m:r>
              <w:rPr>
                <w:rStyle w:val="katex-mathml"/>
                <w:rFonts w:ascii="Cambria Math" w:eastAsiaTheme="majorEastAsia" w:hAnsi="Cambria Math" w:cs="Calibri"/>
                <w:sz w:val="16"/>
                <w:szCs w:val="16"/>
              </w:rPr>
              <m:t>1.94</m:t>
            </m:r>
            <m:ctrlPr>
              <w:rPr>
                <w:rStyle w:val="katex-mathml"/>
                <w:rFonts w:ascii="Cambria Math" w:eastAsiaTheme="majorEastAsia" w:hAnsi="Cambria Math" w:cs="Calibri"/>
                <w:i/>
                <w:sz w:val="16"/>
                <w:szCs w:val="16"/>
              </w:rPr>
            </m:ctrlPr>
          </m:den>
        </m:f>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0.9948</m:t>
        </m:r>
      </m:oMath>
    </w:p>
    <w:p w14:paraId="7E35EFD1" w14:textId="1575BB98" w:rsidR="00F43F32" w:rsidRPr="00D97720" w:rsidRDefault="00F43F32" w:rsidP="006F7759">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 </w:t>
      </w:r>
    </w:p>
    <w:p w14:paraId="763E293F" w14:textId="32506ED4" w:rsidR="00F43F32" w:rsidRPr="00D97720" w:rsidRDefault="00F43F32" w:rsidP="00F43F32">
      <w:pPr>
        <w:pStyle w:val="break-words"/>
        <w:numPr>
          <w:ilvl w:val="0"/>
          <w:numId w:val="29"/>
        </w:numPr>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Clasificación: </w:t>
      </w:r>
      <w:r w:rsidRPr="00D97720">
        <w:rPr>
          <w:rStyle w:val="Textoennegrita"/>
          <w:rFonts w:ascii="Calibri" w:eastAsiaTheme="majorEastAsia" w:hAnsi="Calibri" w:cs="Calibri"/>
          <w:sz w:val="16"/>
          <w:szCs w:val="16"/>
        </w:rPr>
        <w:t>Muy Alta</w:t>
      </w:r>
      <w:r w:rsidR="006F7759">
        <w:rPr>
          <w:rFonts w:ascii="Calibri" w:hAnsi="Calibri" w:cs="Calibri"/>
          <w:sz w:val="16"/>
          <w:szCs w:val="16"/>
        </w:rPr>
        <w:t xml:space="preserve"> </w:t>
      </w:r>
      <w:r w:rsidR="006F7759">
        <w:rPr>
          <w:rStyle w:val="katex-mathml"/>
          <w:rFonts w:ascii="Calibri" w:eastAsiaTheme="majorEastAsia" w:hAnsi="Calibri" w:cs="Calibri"/>
          <w:sz w:val="16"/>
          <w:szCs w:val="16"/>
        </w:rPr>
        <w:t>(</w:t>
      </w:r>
      <w:r w:rsidRPr="00D97720">
        <w:rPr>
          <w:rStyle w:val="katex-mathml"/>
          <w:rFonts w:ascii="Calibri" w:eastAsiaTheme="majorEastAsia" w:hAnsi="Calibri" w:cs="Calibri"/>
          <w:sz w:val="16"/>
          <w:szCs w:val="16"/>
        </w:rPr>
        <w:t>0.9948 &gt; 0.96</w:t>
      </w:r>
      <w:r w:rsidR="006F7759">
        <w:rPr>
          <w:rStyle w:val="katex-mathml"/>
          <w:rFonts w:ascii="Calibri" w:eastAsiaTheme="majorEastAsia" w:hAnsi="Calibri" w:cs="Calibri"/>
          <w:sz w:val="16"/>
          <w:szCs w:val="16"/>
        </w:rPr>
        <w:t>)</w:t>
      </w:r>
    </w:p>
    <w:p w14:paraId="16293ABA" w14:textId="77777777" w:rsidR="006F7759" w:rsidRDefault="006F77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294AF1F2" w14:textId="77777777" w:rsidR="006F7759"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Relación con las Ponderaciones</w:t>
      </w:r>
      <w:r w:rsidRPr="00D97720">
        <w:rPr>
          <w:rFonts w:ascii="Calibri" w:hAnsi="Calibri" w:cs="Calibri"/>
          <w:sz w:val="16"/>
          <w:szCs w:val="16"/>
        </w:rPr>
        <w:t>:</w:t>
      </w:r>
    </w:p>
    <w:p w14:paraId="53D46E24" w14:textId="77777777" w:rsidR="006F7759" w:rsidRDefault="006F7759" w:rsidP="00F43F32">
      <w:pPr>
        <w:pStyle w:val="break-words"/>
        <w:spacing w:before="0" w:beforeAutospacing="0" w:after="0" w:afterAutospacing="0"/>
        <w:jc w:val="both"/>
        <w:rPr>
          <w:rFonts w:ascii="Calibri" w:hAnsi="Calibri" w:cs="Calibri"/>
          <w:sz w:val="16"/>
          <w:szCs w:val="16"/>
        </w:rPr>
      </w:pPr>
    </w:p>
    <w:p w14:paraId="49C14DB2" w14:textId="3B30A270"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La </w:t>
      </w:r>
      <w:proofErr w:type="spellStart"/>
      <w:r w:rsidRPr="00D97720">
        <w:rPr>
          <w:rFonts w:ascii="Calibri" w:hAnsi="Calibri" w:cs="Calibri"/>
          <w:sz w:val="16"/>
          <w:szCs w:val="16"/>
        </w:rPr>
        <w:t>Peh</w:t>
      </w:r>
      <w:proofErr w:type="spellEnd"/>
      <w:r w:rsidRPr="00D97720">
        <w:rPr>
          <w:rFonts w:ascii="Calibri" w:hAnsi="Calibri" w:cs="Calibri"/>
          <w:sz w:val="16"/>
          <w:szCs w:val="16"/>
        </w:rPr>
        <w:t xml:space="preserve"> está fuertemente influenciada por </w:t>
      </w:r>
      <w:r w:rsidRPr="00D97720">
        <w:rPr>
          <w:rStyle w:val="Textoennegrita"/>
          <w:rFonts w:ascii="Calibri" w:eastAsiaTheme="majorEastAsia" w:hAnsi="Calibri" w:cs="Calibri"/>
          <w:sz w:val="16"/>
          <w:szCs w:val="16"/>
        </w:rPr>
        <w:t>CAMO (0.25)</w:t>
      </w:r>
      <w:r w:rsidRPr="00D97720">
        <w:rPr>
          <w:rFonts w:ascii="Calibri" w:hAnsi="Calibri" w:cs="Calibri"/>
          <w:sz w:val="16"/>
          <w:szCs w:val="16"/>
        </w:rPr>
        <w:t xml:space="preserve">, ya que los conflictos irregulares dependen de tácticas no convencionales como ciberataques, que afectan el FANC y VT. También se relaciona con </w:t>
      </w:r>
      <w:r w:rsidRPr="00D97720">
        <w:rPr>
          <w:rStyle w:val="Textoennegrita"/>
          <w:rFonts w:ascii="Calibri" w:eastAsiaTheme="majorEastAsia" w:hAnsi="Calibri" w:cs="Calibri"/>
          <w:sz w:val="16"/>
          <w:szCs w:val="16"/>
        </w:rPr>
        <w:t>PNT (0.1)</w:t>
      </w:r>
      <w:r w:rsidRPr="00D97720">
        <w:rPr>
          <w:rFonts w:ascii="Calibri" w:hAnsi="Calibri" w:cs="Calibri"/>
          <w:sz w:val="16"/>
          <w:szCs w:val="16"/>
        </w:rPr>
        <w:t xml:space="preserve">, ya que la interrupción de elementos tecnológicos (ej. SCADA) puede debilitar la estabilidad nacional. La </w:t>
      </w:r>
      <w:proofErr w:type="spellStart"/>
      <w:r w:rsidRPr="00D97720">
        <w:rPr>
          <w:rFonts w:ascii="Calibri" w:hAnsi="Calibri" w:cs="Calibri"/>
          <w:sz w:val="16"/>
          <w:szCs w:val="16"/>
        </w:rPr>
        <w:t>Peh</w:t>
      </w:r>
      <w:proofErr w:type="spellEnd"/>
      <w:r w:rsidRPr="00D97720">
        <w:rPr>
          <w:rFonts w:ascii="Calibri" w:hAnsi="Calibri" w:cs="Calibri"/>
          <w:sz w:val="16"/>
          <w:szCs w:val="16"/>
        </w:rPr>
        <w:t xml:space="preserve"> contribuye al IRMD, destacando elementos cuya vulnerabilidad a sabotajes puede escalar conflictos asimétricos.</w:t>
      </w:r>
    </w:p>
    <w:p w14:paraId="5E8392DC" w14:textId="77777777" w:rsidR="006F7759" w:rsidRDefault="006F77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17CE9097" w14:textId="78A5FB4D"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Fuentes de Datos</w:t>
      </w:r>
      <w:r w:rsidRPr="00D97720">
        <w:rPr>
          <w:rFonts w:ascii="Calibri" w:hAnsi="Calibri" w:cs="Calibri"/>
          <w:sz w:val="16"/>
          <w:szCs w:val="16"/>
        </w:rPr>
        <w:t>:</w:t>
      </w:r>
    </w:p>
    <w:p w14:paraId="6A8DAC0C" w14:textId="77777777" w:rsidR="00F43F32" w:rsidRPr="00D97720" w:rsidRDefault="00F43F32" w:rsidP="00F43F32">
      <w:pPr>
        <w:pStyle w:val="break-words"/>
        <w:numPr>
          <w:ilvl w:val="0"/>
          <w:numId w:val="30"/>
        </w:numPr>
        <w:spacing w:before="0" w:beforeAutospacing="0" w:after="0" w:afterAutospacing="0"/>
        <w:jc w:val="both"/>
        <w:rPr>
          <w:rFonts w:ascii="Calibri" w:hAnsi="Calibri" w:cs="Calibri"/>
          <w:sz w:val="16"/>
          <w:szCs w:val="16"/>
        </w:rPr>
      </w:pPr>
      <w:hyperlink r:id="rId26" w:tgtFrame="_blank" w:history="1">
        <w:r w:rsidRPr="00D97720">
          <w:rPr>
            <w:rStyle w:val="Hipervnculo"/>
            <w:rFonts w:ascii="Calibri" w:hAnsi="Calibri" w:cs="Calibri"/>
            <w:b/>
            <w:bCs/>
            <w:sz w:val="16"/>
            <w:szCs w:val="16"/>
          </w:rPr>
          <w:t xml:space="preserve">ENISA </w:t>
        </w:r>
        <w:proofErr w:type="spellStart"/>
        <w:r w:rsidRPr="00D97720">
          <w:rPr>
            <w:rStyle w:val="Hipervnculo"/>
            <w:rFonts w:ascii="Calibri" w:hAnsi="Calibri" w:cs="Calibri"/>
            <w:b/>
            <w:bCs/>
            <w:sz w:val="16"/>
            <w:szCs w:val="16"/>
          </w:rPr>
          <w:t>Threat</w:t>
        </w:r>
        <w:proofErr w:type="spellEnd"/>
        <w:r w:rsidRPr="00D97720">
          <w:rPr>
            <w:rStyle w:val="Hipervnculo"/>
            <w:rFonts w:ascii="Calibri" w:hAnsi="Calibri" w:cs="Calibri"/>
            <w:b/>
            <w:bCs/>
            <w:sz w:val="16"/>
            <w:szCs w:val="16"/>
          </w:rPr>
          <w:t xml:space="preserve"> </w:t>
        </w:r>
        <w:proofErr w:type="spellStart"/>
        <w:r w:rsidRPr="00D97720">
          <w:rPr>
            <w:rStyle w:val="Hipervnculo"/>
            <w:rFonts w:ascii="Calibri" w:hAnsi="Calibri" w:cs="Calibri"/>
            <w:b/>
            <w:bCs/>
            <w:sz w:val="16"/>
            <w:szCs w:val="16"/>
          </w:rPr>
          <w:t>Landscape</w:t>
        </w:r>
        <w:proofErr w:type="spellEnd"/>
        <w:r w:rsidRPr="00D97720">
          <w:rPr>
            <w:rStyle w:val="Hipervnculo"/>
            <w:rFonts w:ascii="Calibri" w:hAnsi="Calibri" w:cs="Calibri"/>
            <w:b/>
            <w:bCs/>
            <w:sz w:val="16"/>
            <w:szCs w:val="16"/>
          </w:rPr>
          <w:t xml:space="preserve"> 2023</w:t>
        </w:r>
      </w:hyperlink>
      <w:r w:rsidRPr="00D97720">
        <w:rPr>
          <w:rFonts w:ascii="Calibri" w:hAnsi="Calibri" w:cs="Calibri"/>
          <w:sz w:val="16"/>
          <w:szCs w:val="16"/>
        </w:rPr>
        <w:t>: Informes sobre ciberataques a sistemas SCADA y otras infraestructuras tecnológicas, que informan el VT y FANC.</w:t>
      </w:r>
    </w:p>
    <w:p w14:paraId="580E353B" w14:textId="77777777" w:rsidR="00F43F32" w:rsidRPr="00D97720" w:rsidRDefault="00F43F32" w:rsidP="00F43F32">
      <w:pPr>
        <w:pStyle w:val="break-words"/>
        <w:numPr>
          <w:ilvl w:val="0"/>
          <w:numId w:val="30"/>
        </w:numPr>
        <w:spacing w:before="0" w:beforeAutospacing="0" w:after="0" w:afterAutospacing="0"/>
        <w:jc w:val="both"/>
        <w:rPr>
          <w:rFonts w:ascii="Calibri" w:hAnsi="Calibri" w:cs="Calibri"/>
          <w:sz w:val="16"/>
          <w:szCs w:val="16"/>
        </w:rPr>
      </w:pPr>
      <w:hyperlink r:id="rId27" w:tgtFrame="_blank" w:history="1">
        <w:r w:rsidRPr="00D97720">
          <w:rPr>
            <w:rStyle w:val="Hipervnculo"/>
            <w:rFonts w:ascii="Calibri" w:hAnsi="Calibri" w:cs="Calibri"/>
            <w:b/>
            <w:bCs/>
            <w:sz w:val="16"/>
            <w:szCs w:val="16"/>
          </w:rPr>
          <w:t xml:space="preserve">Global </w:t>
        </w:r>
        <w:proofErr w:type="spellStart"/>
        <w:r w:rsidRPr="00D97720">
          <w:rPr>
            <w:rStyle w:val="Hipervnculo"/>
            <w:rFonts w:ascii="Calibri" w:hAnsi="Calibri" w:cs="Calibri"/>
            <w:b/>
            <w:bCs/>
            <w:sz w:val="16"/>
            <w:szCs w:val="16"/>
          </w:rPr>
          <w:t>Terrorism</w:t>
        </w:r>
        <w:proofErr w:type="spellEnd"/>
        <w:r w:rsidRPr="00D97720">
          <w:rPr>
            <w:rStyle w:val="Hipervnculo"/>
            <w:rFonts w:ascii="Calibri" w:hAnsi="Calibri" w:cs="Calibri"/>
            <w:b/>
            <w:bCs/>
            <w:sz w:val="16"/>
            <w:szCs w:val="16"/>
          </w:rPr>
          <w:t xml:space="preserve"> </w:t>
        </w:r>
        <w:proofErr w:type="spellStart"/>
        <w:r w:rsidRPr="00D97720">
          <w:rPr>
            <w:rStyle w:val="Hipervnculo"/>
            <w:rFonts w:ascii="Calibri" w:hAnsi="Calibri" w:cs="Calibri"/>
            <w:b/>
            <w:bCs/>
            <w:sz w:val="16"/>
            <w:szCs w:val="16"/>
          </w:rPr>
          <w:t>Database</w:t>
        </w:r>
        <w:proofErr w:type="spellEnd"/>
        <w:r w:rsidRPr="00D97720">
          <w:rPr>
            <w:rStyle w:val="Hipervnculo"/>
            <w:rFonts w:ascii="Calibri" w:hAnsi="Calibri" w:cs="Calibri"/>
            <w:b/>
            <w:bCs/>
            <w:sz w:val="16"/>
            <w:szCs w:val="16"/>
          </w:rPr>
          <w:t xml:space="preserve"> (GTD)</w:t>
        </w:r>
      </w:hyperlink>
      <w:r w:rsidRPr="00D97720">
        <w:rPr>
          <w:rFonts w:ascii="Calibri" w:hAnsi="Calibri" w:cs="Calibri"/>
          <w:sz w:val="16"/>
          <w:szCs w:val="16"/>
        </w:rPr>
        <w:t>: Datos de sabotajes y ataques terroristas, que respaldan la evaluación del FANC.</w:t>
      </w:r>
    </w:p>
    <w:p w14:paraId="341CEF5A" w14:textId="77777777" w:rsidR="00F43F32" w:rsidRDefault="00F43F32" w:rsidP="00F43F32">
      <w:pPr>
        <w:pStyle w:val="break-words"/>
        <w:numPr>
          <w:ilvl w:val="0"/>
          <w:numId w:val="30"/>
        </w:numPr>
        <w:spacing w:before="0" w:beforeAutospacing="0" w:after="0" w:afterAutospacing="0"/>
        <w:jc w:val="both"/>
        <w:rPr>
          <w:rFonts w:ascii="Calibri" w:hAnsi="Calibri" w:cs="Calibri"/>
          <w:sz w:val="16"/>
          <w:szCs w:val="16"/>
        </w:rPr>
      </w:pPr>
      <w:hyperlink r:id="rId28" w:tgtFrame="_blank" w:history="1">
        <w:r w:rsidRPr="00D97720">
          <w:rPr>
            <w:rStyle w:val="Hipervnculo"/>
            <w:rFonts w:ascii="Calibri" w:hAnsi="Calibri" w:cs="Calibri"/>
            <w:b/>
            <w:bCs/>
            <w:sz w:val="16"/>
            <w:szCs w:val="16"/>
          </w:rPr>
          <w:t xml:space="preserve">CSIS: </w:t>
        </w:r>
        <w:proofErr w:type="spellStart"/>
        <w:r w:rsidRPr="00D97720">
          <w:rPr>
            <w:rStyle w:val="Hipervnculo"/>
            <w:rFonts w:ascii="Calibri" w:hAnsi="Calibri" w:cs="Calibri"/>
            <w:b/>
            <w:bCs/>
            <w:sz w:val="16"/>
            <w:szCs w:val="16"/>
          </w:rPr>
          <w:t>Significant</w:t>
        </w:r>
        <w:proofErr w:type="spellEnd"/>
        <w:r w:rsidRPr="00D97720">
          <w:rPr>
            <w:rStyle w:val="Hipervnculo"/>
            <w:rFonts w:ascii="Calibri" w:hAnsi="Calibri" w:cs="Calibri"/>
            <w:b/>
            <w:bCs/>
            <w:sz w:val="16"/>
            <w:szCs w:val="16"/>
          </w:rPr>
          <w:t xml:space="preserve"> </w:t>
        </w:r>
        <w:proofErr w:type="spellStart"/>
        <w:r w:rsidRPr="00D97720">
          <w:rPr>
            <w:rStyle w:val="Hipervnculo"/>
            <w:rFonts w:ascii="Calibri" w:hAnsi="Calibri" w:cs="Calibri"/>
            <w:b/>
            <w:bCs/>
            <w:sz w:val="16"/>
            <w:szCs w:val="16"/>
          </w:rPr>
          <w:t>Cyber</w:t>
        </w:r>
        <w:proofErr w:type="spellEnd"/>
        <w:r w:rsidRPr="00D97720">
          <w:rPr>
            <w:rStyle w:val="Hipervnculo"/>
            <w:rFonts w:ascii="Calibri" w:hAnsi="Calibri" w:cs="Calibri"/>
            <w:b/>
            <w:bCs/>
            <w:sz w:val="16"/>
            <w:szCs w:val="16"/>
          </w:rPr>
          <w:t xml:space="preserve"> </w:t>
        </w:r>
        <w:proofErr w:type="spellStart"/>
        <w:r w:rsidRPr="00D97720">
          <w:rPr>
            <w:rStyle w:val="Hipervnculo"/>
            <w:rFonts w:ascii="Calibri" w:hAnsi="Calibri" w:cs="Calibri"/>
            <w:b/>
            <w:bCs/>
            <w:sz w:val="16"/>
            <w:szCs w:val="16"/>
          </w:rPr>
          <w:t>Incidents</w:t>
        </w:r>
        <w:proofErr w:type="spellEnd"/>
      </w:hyperlink>
      <w:r w:rsidRPr="00D97720">
        <w:rPr>
          <w:rFonts w:ascii="Calibri" w:hAnsi="Calibri" w:cs="Calibri"/>
          <w:sz w:val="16"/>
          <w:szCs w:val="16"/>
        </w:rPr>
        <w:t>: Análisis de conflictos asimétricos y ciberataques, que validan la priorización de elementos vulnerables a tácticas no convencionales.</w:t>
      </w:r>
    </w:p>
    <w:p w14:paraId="078C1B13" w14:textId="77777777" w:rsidR="00932FB8" w:rsidRDefault="00932FB8" w:rsidP="00932FB8">
      <w:pPr>
        <w:pStyle w:val="break-words"/>
        <w:spacing w:before="0" w:beforeAutospacing="0" w:after="0" w:afterAutospacing="0"/>
        <w:ind w:left="360"/>
        <w:jc w:val="both"/>
        <w:rPr>
          <w:rFonts w:ascii="Calibri" w:hAnsi="Calibri" w:cs="Calibri"/>
          <w:sz w:val="16"/>
          <w:szCs w:val="16"/>
        </w:rPr>
      </w:pPr>
    </w:p>
    <w:p w14:paraId="0A5F3356" w14:textId="77777777" w:rsidR="006F7759" w:rsidRPr="00D97720" w:rsidRDefault="006F7759" w:rsidP="006F7759">
      <w:pPr>
        <w:pStyle w:val="break-words"/>
        <w:spacing w:before="0" w:beforeAutospacing="0" w:after="0" w:afterAutospacing="0"/>
        <w:jc w:val="both"/>
        <w:rPr>
          <w:rFonts w:ascii="Calibri" w:hAnsi="Calibri" w:cs="Calibri"/>
          <w:sz w:val="16"/>
          <w:szCs w:val="16"/>
        </w:rPr>
      </w:pPr>
    </w:p>
    <w:p w14:paraId="55171E25" w14:textId="77777777" w:rsidR="00F43F32" w:rsidRPr="00D97720" w:rsidRDefault="00F43F32" w:rsidP="00932FB8">
      <w:pPr>
        <w:pStyle w:val="TtulosVariable"/>
      </w:pPr>
      <w:r w:rsidRPr="00D97720">
        <w:lastRenderedPageBreak/>
        <w:t>13. Prioridad Estratégica para Desastres Naturales (Pen)</w:t>
      </w:r>
    </w:p>
    <w:p w14:paraId="0662EA71" w14:textId="77777777" w:rsidR="006F7759" w:rsidRDefault="006F77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7D36EB5F" w14:textId="77777777" w:rsidR="006F7759"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Significado</w:t>
      </w:r>
      <w:r w:rsidRPr="00D97720">
        <w:rPr>
          <w:rFonts w:ascii="Calibri" w:hAnsi="Calibri" w:cs="Calibri"/>
          <w:sz w:val="16"/>
          <w:szCs w:val="16"/>
        </w:rPr>
        <w:t>:</w:t>
      </w:r>
      <w:r w:rsidRPr="00D97720">
        <w:rPr>
          <w:rFonts w:ascii="Calibri" w:hAnsi="Calibri" w:cs="Calibri"/>
          <w:sz w:val="16"/>
          <w:szCs w:val="16"/>
        </w:rPr>
        <w:br/>
      </w:r>
    </w:p>
    <w:p w14:paraId="72EC5219" w14:textId="1BC8B0E4"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La Prioridad Estratégica para Desastres Naturales (Pen) clasifica la prioridad de proteger cada elemento frente a desastres naturales, como alertas meteorológicas, volcánicas, sísmicas, u otras. Evalúa la vulnerabilidad del elemento a eventos naturales (ej. inundaciones, terremotos) y su importancia para la resiliencia post-desastre, ayudando a planificadores de emergencias a priorizar activos esenciales para la recuperación (ej. agua potable, energía). La Pen usa una escala cualitativa de cinco categorías: Muy Alta, Alta, Media, Baja, y Muy Baja.</w:t>
      </w:r>
    </w:p>
    <w:p w14:paraId="31169BD8" w14:textId="77777777" w:rsidR="006F7759" w:rsidRDefault="006F77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10275D55" w14:textId="4E0ABED8" w:rsidR="006F7759"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Cómo se Calcula</w:t>
      </w:r>
      <w:r w:rsidRPr="00D97720">
        <w:rPr>
          <w:rFonts w:ascii="Calibri" w:hAnsi="Calibri" w:cs="Calibri"/>
          <w:sz w:val="16"/>
          <w:szCs w:val="16"/>
        </w:rPr>
        <w:t>:</w:t>
      </w:r>
    </w:p>
    <w:p w14:paraId="25FE8038" w14:textId="77777777" w:rsidR="006F7759" w:rsidRDefault="006F7759" w:rsidP="00F43F32">
      <w:pPr>
        <w:pStyle w:val="break-words"/>
        <w:spacing w:before="0" w:beforeAutospacing="0" w:after="0" w:afterAutospacing="0"/>
        <w:jc w:val="both"/>
        <w:rPr>
          <w:rFonts w:ascii="Calibri" w:hAnsi="Calibri" w:cs="Calibri"/>
          <w:sz w:val="16"/>
          <w:szCs w:val="16"/>
        </w:rPr>
      </w:pPr>
    </w:p>
    <w:p w14:paraId="6F166F0F" w14:textId="4B65818A"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La Pen combina la </w:t>
      </w:r>
      <w:r w:rsidRPr="00D97720">
        <w:rPr>
          <w:rStyle w:val="Textoennegrita"/>
          <w:rFonts w:ascii="Calibri" w:eastAsiaTheme="majorEastAsia" w:hAnsi="Calibri" w:cs="Calibri"/>
          <w:sz w:val="16"/>
          <w:szCs w:val="16"/>
        </w:rPr>
        <w:t>Fragilidad ante Eventos Naturales (FEN)</w:t>
      </w:r>
      <w:r w:rsidRPr="00D97720">
        <w:rPr>
          <w:rFonts w:ascii="Calibri" w:hAnsi="Calibri" w:cs="Calibri"/>
          <w:sz w:val="16"/>
          <w:szCs w:val="16"/>
        </w:rPr>
        <w:t xml:space="preserve">, la </w:t>
      </w:r>
      <w:r w:rsidRPr="00D97720">
        <w:rPr>
          <w:rStyle w:val="Textoennegrita"/>
          <w:rFonts w:ascii="Calibri" w:eastAsiaTheme="majorEastAsia" w:hAnsi="Calibri" w:cs="Calibri"/>
          <w:sz w:val="16"/>
          <w:szCs w:val="16"/>
        </w:rPr>
        <w:t>Importancia Base (IB)</w:t>
      </w:r>
      <w:r w:rsidRPr="00D97720">
        <w:rPr>
          <w:rFonts w:ascii="Calibri" w:hAnsi="Calibri" w:cs="Calibri"/>
          <w:sz w:val="16"/>
          <w:szCs w:val="16"/>
        </w:rPr>
        <w:t xml:space="preserve">, y el </w:t>
      </w:r>
      <w:r w:rsidRPr="00D97720">
        <w:rPr>
          <w:rStyle w:val="Textoennegrita"/>
          <w:rFonts w:ascii="Calibri" w:eastAsiaTheme="majorEastAsia" w:hAnsi="Calibri" w:cs="Calibri"/>
          <w:sz w:val="16"/>
          <w:szCs w:val="16"/>
        </w:rPr>
        <w:t>Factor de Vulnerabilidad Total (FVT)</w:t>
      </w:r>
      <w:r w:rsidRPr="00D97720">
        <w:rPr>
          <w:rFonts w:ascii="Calibri" w:hAnsi="Calibri" w:cs="Calibri"/>
          <w:sz w:val="16"/>
          <w:szCs w:val="16"/>
        </w:rPr>
        <w:t>, con ponderaciones que enfatizan la vulnerabilidad a desastres y la relevancia estratégica:</w:t>
      </w:r>
    </w:p>
    <w:p w14:paraId="500CDD46" w14:textId="77777777" w:rsidR="006F7759" w:rsidRDefault="006F7759" w:rsidP="00F43F32">
      <w:pPr>
        <w:jc w:val="both"/>
        <w:rPr>
          <w:rStyle w:val="katex-mathml"/>
          <w:rFonts w:ascii="Calibri" w:eastAsiaTheme="majorEastAsia" w:hAnsi="Calibri" w:cs="Calibri"/>
          <w:sz w:val="16"/>
          <w:szCs w:val="16"/>
        </w:rPr>
      </w:pPr>
    </w:p>
    <w:p w14:paraId="4AAF7488" w14:textId="4F857E9C" w:rsidR="00F43F32" w:rsidRPr="00D97720" w:rsidRDefault="006F7759" w:rsidP="00F43F32">
      <w:pPr>
        <w:jc w:val="both"/>
        <w:rPr>
          <w:rFonts w:ascii="Calibri" w:hAnsi="Calibri" w:cs="Calibri"/>
          <w:sz w:val="16"/>
          <w:szCs w:val="16"/>
        </w:rPr>
      </w:pPr>
      <m:oMathPara>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natural</m:t>
              </m:r>
            </m:sub>
          </m:sSub>
          <m:r>
            <w:rPr>
              <w:rStyle w:val="katex-mathml"/>
              <w:rFonts w:ascii="Cambria Math" w:eastAsiaTheme="majorEastAsia" w:hAnsi="Cambria Math" w:cs="Calibri"/>
              <w:sz w:val="16"/>
              <w:szCs w:val="16"/>
            </w:rPr>
            <m:t>=0.5</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FE</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N</m:t>
              </m:r>
            </m:e>
            <m:sub>
              <m:r>
                <w:rPr>
                  <w:rStyle w:val="katex-mathml"/>
                  <w:rFonts w:ascii="Cambria Math" w:eastAsiaTheme="majorEastAsia" w:hAnsi="Cambria Math" w:cs="Calibri"/>
                  <w:sz w:val="16"/>
                  <w:szCs w:val="16"/>
                </w:rPr>
                <m:t>num</m:t>
              </m:r>
            </m:sub>
          </m:sSub>
          <m:r>
            <w:rPr>
              <w:rStyle w:val="katex-mathml"/>
              <w:rFonts w:ascii="Cambria Math" w:eastAsiaTheme="majorEastAsia" w:hAnsi="Cambria Math" w:cs="Calibri"/>
              <w:sz w:val="16"/>
              <w:szCs w:val="16"/>
            </w:rPr>
            <m:t>+0.3</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IB+0.2</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FVT</m:t>
          </m:r>
        </m:oMath>
      </m:oMathPara>
    </w:p>
    <w:p w14:paraId="5D077887" w14:textId="77777777" w:rsidR="006F7759" w:rsidRDefault="006F7759" w:rsidP="00F43F32">
      <w:pPr>
        <w:pStyle w:val="break-words"/>
        <w:spacing w:before="0" w:beforeAutospacing="0" w:after="0" w:afterAutospacing="0"/>
        <w:jc w:val="both"/>
        <w:rPr>
          <w:rFonts w:ascii="Calibri" w:hAnsi="Calibri" w:cs="Calibri"/>
          <w:sz w:val="16"/>
          <w:szCs w:val="16"/>
        </w:rPr>
      </w:pPr>
    </w:p>
    <w:p w14:paraId="48165667" w14:textId="51344352"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Donde:</w:t>
      </w:r>
    </w:p>
    <w:p w14:paraId="1BFD94D2" w14:textId="77777777" w:rsidR="00F43F32" w:rsidRPr="00D97720" w:rsidRDefault="00F43F32" w:rsidP="00F43F32">
      <w:pPr>
        <w:pStyle w:val="break-words"/>
        <w:numPr>
          <w:ilvl w:val="0"/>
          <w:numId w:val="31"/>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FEN_{</w:t>
      </w:r>
      <w:proofErr w:type="spellStart"/>
      <w:r w:rsidRPr="00D97720">
        <w:rPr>
          <w:rStyle w:val="Textoennegrita"/>
          <w:rFonts w:ascii="Calibri" w:eastAsiaTheme="majorEastAsia" w:hAnsi="Calibri" w:cs="Calibri"/>
          <w:sz w:val="16"/>
          <w:szCs w:val="16"/>
        </w:rPr>
        <w:t>num</w:t>
      </w:r>
      <w:proofErr w:type="spellEnd"/>
      <w:r w:rsidRPr="00D97720">
        <w:rPr>
          <w:rStyle w:val="Textoennegrita"/>
          <w:rFonts w:ascii="Calibri" w:eastAsiaTheme="majorEastAsia" w:hAnsi="Calibri" w:cs="Calibri"/>
          <w:sz w:val="16"/>
          <w:szCs w:val="16"/>
        </w:rPr>
        <w:t>}</w:t>
      </w:r>
      <w:r w:rsidRPr="00D97720">
        <w:rPr>
          <w:rFonts w:ascii="Calibri" w:hAnsi="Calibri" w:cs="Calibri"/>
          <w:sz w:val="16"/>
          <w:szCs w:val="16"/>
        </w:rPr>
        <w:t>: Fragilidad ante Eventos Naturales (Alta=3, Media=2, Baja=1).</w:t>
      </w:r>
    </w:p>
    <w:p w14:paraId="6A43093D" w14:textId="77777777" w:rsidR="00F43F32" w:rsidRPr="00D97720" w:rsidRDefault="00F43F32" w:rsidP="00F43F32">
      <w:pPr>
        <w:pStyle w:val="break-words"/>
        <w:numPr>
          <w:ilvl w:val="0"/>
          <w:numId w:val="31"/>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IB</w:t>
      </w:r>
      <w:r w:rsidRPr="00D97720">
        <w:rPr>
          <w:rFonts w:ascii="Calibri" w:hAnsi="Calibri" w:cs="Calibri"/>
          <w:sz w:val="16"/>
          <w:szCs w:val="16"/>
        </w:rPr>
        <w:t>: Importancia Base, en una escala de 0 a 1.</w:t>
      </w:r>
    </w:p>
    <w:p w14:paraId="28C657E8" w14:textId="77777777" w:rsidR="00F43F32" w:rsidRPr="00D97720" w:rsidRDefault="00F43F32" w:rsidP="00F43F32">
      <w:pPr>
        <w:pStyle w:val="break-words"/>
        <w:numPr>
          <w:ilvl w:val="0"/>
          <w:numId w:val="31"/>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FVT</w:t>
      </w:r>
      <w:r w:rsidRPr="00D97720">
        <w:rPr>
          <w:rFonts w:ascii="Calibri" w:hAnsi="Calibri" w:cs="Calibri"/>
          <w:sz w:val="16"/>
          <w:szCs w:val="16"/>
        </w:rPr>
        <w:t>: Factor de Vulnerabilidad Total, en una escala de 0 a 1.</w:t>
      </w:r>
    </w:p>
    <w:p w14:paraId="79A81D58" w14:textId="77777777" w:rsidR="006F7759" w:rsidRDefault="006F77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18CEBBE3" w14:textId="77777777" w:rsidR="006F7759"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Normalización</w:t>
      </w:r>
      <w:r w:rsidRPr="00D97720">
        <w:rPr>
          <w:rFonts w:ascii="Calibri" w:hAnsi="Calibri" w:cs="Calibri"/>
          <w:sz w:val="16"/>
          <w:szCs w:val="16"/>
        </w:rPr>
        <w:t>:</w:t>
      </w:r>
      <w:r w:rsidRPr="00D97720">
        <w:rPr>
          <w:rFonts w:ascii="Calibri" w:hAnsi="Calibri" w:cs="Calibri"/>
          <w:sz w:val="16"/>
          <w:szCs w:val="16"/>
        </w:rPr>
        <w:br/>
      </w:r>
    </w:p>
    <w:p w14:paraId="5C272497" w14:textId="0396208D" w:rsidR="006F7759" w:rsidRPr="00D97720" w:rsidRDefault="00F43F32" w:rsidP="006F7759">
      <w:pPr>
        <w:pStyle w:val="break-words"/>
        <w:spacing w:before="0" w:beforeAutospacing="0" w:after="0" w:afterAutospacing="0"/>
        <w:jc w:val="both"/>
        <w:rPr>
          <w:rStyle w:val="katex-mathml"/>
          <w:rFonts w:ascii="Calibri" w:eastAsiaTheme="majorEastAsia" w:hAnsi="Calibri" w:cs="Calibri"/>
          <w:sz w:val="16"/>
          <w:szCs w:val="16"/>
        </w:rPr>
      </w:pPr>
      <w:r w:rsidRPr="00D97720">
        <w:rPr>
          <w:rFonts w:ascii="Calibri" w:hAnsi="Calibri" w:cs="Calibri"/>
          <w:sz w:val="16"/>
          <w:szCs w:val="16"/>
        </w:rPr>
        <w:t xml:space="preserve">El valor de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natural</m:t>
            </m:r>
          </m:sub>
        </m:sSub>
      </m:oMath>
      <w:r w:rsidRPr="00D97720">
        <w:rPr>
          <w:rStyle w:val="katex-mathml"/>
          <w:rFonts w:ascii="Calibri" w:eastAsiaTheme="majorEastAsia" w:hAnsi="Calibri" w:cs="Calibri"/>
          <w:sz w:val="16"/>
          <w:szCs w:val="16"/>
        </w:rPr>
        <w:t xml:space="preserve"> </w:t>
      </w:r>
      <w:r w:rsidRPr="00D97720">
        <w:rPr>
          <w:rFonts w:ascii="Calibri" w:hAnsi="Calibri" w:cs="Calibri"/>
          <w:sz w:val="16"/>
          <w:szCs w:val="16"/>
        </w:rPr>
        <w:t>se normaliza dividiendo por el máximo real</w:t>
      </w:r>
      <w:r w:rsidR="006F7759">
        <w:rPr>
          <w:rFonts w:ascii="Calibri" w:hAnsi="Calibri" w:cs="Calibri"/>
          <w:sz w:val="16"/>
          <w:szCs w:val="16"/>
        </w:rPr>
        <w:t xml:space="preserve"> </w:t>
      </w:r>
      <m:oMath>
        <m:d>
          <m:dPr>
            <m:ctrlPr>
              <w:rPr>
                <w:rStyle w:val="katex-mathml"/>
                <w:rFonts w:ascii="Cambria Math" w:eastAsiaTheme="majorEastAsia" w:hAnsi="Cambria Math" w:cs="Calibri"/>
                <w:i/>
                <w:sz w:val="16"/>
                <w:szCs w:val="16"/>
              </w:rPr>
            </m:ctrlPr>
          </m:dPr>
          <m:e>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natural</m:t>
                </m:r>
              </m:sub>
            </m:sSub>
          </m:e>
        </m:d>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1.87</m:t>
        </m:r>
      </m:oMath>
      <w:r w:rsidRPr="00D97720">
        <w:rPr>
          <w:rStyle w:val="katex-mathml"/>
          <w:rFonts w:ascii="Calibri" w:eastAsiaTheme="majorEastAsia" w:hAnsi="Calibri" w:cs="Calibri"/>
          <w:sz w:val="16"/>
          <w:szCs w:val="16"/>
        </w:rPr>
        <w:t xml:space="preserve"> </w:t>
      </w:r>
    </w:p>
    <w:p w14:paraId="0C23B8C1" w14:textId="77777777" w:rsidR="006F7759" w:rsidRDefault="006F7759" w:rsidP="00F43F32">
      <w:pPr>
        <w:jc w:val="both"/>
        <w:rPr>
          <w:rStyle w:val="katex-mathml"/>
          <w:rFonts w:ascii="Calibri" w:eastAsiaTheme="majorEastAsia" w:hAnsi="Calibri" w:cs="Calibri"/>
          <w:sz w:val="16"/>
          <w:szCs w:val="16"/>
        </w:rPr>
      </w:pPr>
    </w:p>
    <w:p w14:paraId="64B38F5E" w14:textId="40B3820B" w:rsidR="00F43F32" w:rsidRPr="00D97720" w:rsidRDefault="006F7759" w:rsidP="00F43F32">
      <w:pPr>
        <w:jc w:val="both"/>
        <w:rPr>
          <w:rFonts w:ascii="Calibri" w:hAnsi="Calibri" w:cs="Calibri"/>
          <w:sz w:val="16"/>
          <w:szCs w:val="16"/>
        </w:rPr>
      </w:pPr>
      <m:oMathPara>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w:rPr>
              <w:rStyle w:val="katex-mathml"/>
              <w:rFonts w:ascii="Cambria Math" w:eastAsiaTheme="majorEastAsia" w:hAnsi="Cambria Math" w:cs="Calibri"/>
              <w:sz w:val="16"/>
              <w:szCs w:val="16"/>
            </w:rPr>
            <m:t>=</m:t>
          </m:r>
          <m:f>
            <m:fPr>
              <m:ctrlPr>
                <w:rPr>
                  <w:rStyle w:val="katex-mathml"/>
                  <w:rFonts w:ascii="Cambria Math" w:eastAsiaTheme="majorEastAsia" w:hAnsi="Cambria Math" w:cs="Calibri"/>
                  <w:sz w:val="16"/>
                  <w:szCs w:val="16"/>
                </w:rPr>
              </m:ctrlPr>
            </m:fPr>
            <m:num>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natural</m:t>
                  </m:r>
                </m:sub>
              </m:sSub>
              <m:ctrlPr>
                <w:rPr>
                  <w:rStyle w:val="katex-mathml"/>
                  <w:rFonts w:ascii="Cambria Math" w:eastAsiaTheme="majorEastAsia" w:hAnsi="Cambria Math" w:cs="Calibri"/>
                  <w:i/>
                  <w:sz w:val="16"/>
                  <w:szCs w:val="16"/>
                </w:rPr>
              </m:ctrlPr>
            </m:num>
            <m:den>
              <m:func>
                <m:funcPr>
                  <m:ctrlPr>
                    <w:rPr>
                      <w:rStyle w:val="katex-mathml"/>
                      <w:rFonts w:ascii="Cambria Math" w:eastAsiaTheme="majorEastAsia" w:hAnsi="Cambria Math" w:cs="Calibri"/>
                      <w:sz w:val="16"/>
                      <w:szCs w:val="16"/>
                    </w:rPr>
                  </m:ctrlPr>
                </m:funcPr>
                <m:fName>
                  <m:r>
                    <m:rPr>
                      <m:sty m:val="p"/>
                    </m:rPr>
                    <w:rPr>
                      <w:rStyle w:val="katex-mathml"/>
                      <w:rFonts w:ascii="Cambria Math" w:eastAsiaTheme="majorEastAsia" w:hAnsi="Cambria Math" w:cs="Calibri"/>
                      <w:sz w:val="16"/>
                      <w:szCs w:val="16"/>
                    </w:rPr>
                    <m:t>max</m:t>
                  </m:r>
                  <m:ctrlPr>
                    <w:rPr>
                      <w:rStyle w:val="katex-mathml"/>
                      <w:rFonts w:ascii="Cambria Math" w:eastAsiaTheme="majorEastAsia" w:hAnsi="Cambria Math" w:cs="Calibri"/>
                      <w:i/>
                      <w:sz w:val="16"/>
                      <w:szCs w:val="16"/>
                    </w:rPr>
                  </m:ctrlPr>
                </m:fName>
                <m:e>
                  <m:d>
                    <m:dPr>
                      <m:ctrlPr>
                        <w:rPr>
                          <w:rStyle w:val="katex-mathml"/>
                          <w:rFonts w:ascii="Cambria Math" w:eastAsiaTheme="majorEastAsia" w:hAnsi="Cambria Math" w:cs="Calibri"/>
                          <w:i/>
                          <w:sz w:val="16"/>
                          <w:szCs w:val="16"/>
                        </w:rPr>
                      </m:ctrlPr>
                    </m:dPr>
                    <m:e>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natural</m:t>
                          </m:r>
                        </m:sub>
                      </m:sSub>
                    </m:e>
                  </m:d>
                </m:e>
              </m:func>
              <m:ctrlPr>
                <w:rPr>
                  <w:rStyle w:val="katex-mathml"/>
                  <w:rFonts w:ascii="Cambria Math" w:eastAsiaTheme="majorEastAsia" w:hAnsi="Cambria Math" w:cs="Calibri"/>
                  <w:i/>
                  <w:sz w:val="16"/>
                  <w:szCs w:val="16"/>
                </w:rPr>
              </m:ctrlPr>
            </m:den>
          </m:f>
        </m:oMath>
      </m:oMathPara>
    </w:p>
    <w:p w14:paraId="54FC3652" w14:textId="77777777" w:rsidR="006F7759" w:rsidRDefault="006F77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578FF32C" w14:textId="5173727E"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Clasificación</w:t>
      </w:r>
      <w:r w:rsidRPr="00D97720">
        <w:rPr>
          <w:rFonts w:ascii="Calibri" w:hAnsi="Calibri" w:cs="Calibri"/>
          <w:sz w:val="16"/>
          <w:szCs w:val="16"/>
        </w:rPr>
        <w:t>:</w:t>
      </w:r>
    </w:p>
    <w:p w14:paraId="4870B9A6" w14:textId="353C6678" w:rsidR="00F43F32" w:rsidRPr="00D97720" w:rsidRDefault="00F43F32" w:rsidP="00F43F32">
      <w:pPr>
        <w:pStyle w:val="break-words"/>
        <w:numPr>
          <w:ilvl w:val="0"/>
          <w:numId w:val="32"/>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Muy Alta</w:t>
      </w:r>
      <w:r w:rsidRPr="00D97720">
        <w:rPr>
          <w:rFonts w:ascii="Calibri" w:hAnsi="Calibri" w:cs="Calibri"/>
          <w:sz w:val="16"/>
          <w:szCs w:val="16"/>
        </w:rPr>
        <w:t>:</w:t>
      </w:r>
      <w:r w:rsidR="006F7759">
        <w:rPr>
          <w:rStyle w:val="katex-mathml"/>
          <w:rFonts w:ascii="Calibri" w:eastAsiaTheme="majorEastAsia"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w:rPr>
            <w:rStyle w:val="katex-mathml"/>
            <w:rFonts w:ascii="Cambria Math" w:eastAsiaTheme="majorEastAsia" w:hAnsi="Cambria Math" w:cs="Calibri"/>
            <w:sz w:val="16"/>
            <w:szCs w:val="16"/>
          </w:rPr>
          <m:t>&gt;0.96</m:t>
        </m:r>
      </m:oMath>
    </w:p>
    <w:p w14:paraId="278EE6E7" w14:textId="3E6D70A7" w:rsidR="00F43F32" w:rsidRPr="00D97720" w:rsidRDefault="00F43F32" w:rsidP="00F43F32">
      <w:pPr>
        <w:pStyle w:val="break-words"/>
        <w:numPr>
          <w:ilvl w:val="0"/>
          <w:numId w:val="32"/>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Alta</w:t>
      </w:r>
      <w:r w:rsidRPr="00D97720">
        <w:rPr>
          <w:rFonts w:ascii="Calibri" w:hAnsi="Calibri" w:cs="Calibri"/>
          <w:sz w:val="16"/>
          <w:szCs w:val="16"/>
        </w:rPr>
        <w:t>:</w:t>
      </w:r>
      <w:r w:rsidR="006F7759">
        <w:rPr>
          <w:rStyle w:val="katex-mathml"/>
          <w:rFonts w:ascii="Calibri" w:eastAsiaTheme="majorEastAsia"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0.96</m:t>
        </m:r>
      </m:oMath>
    </w:p>
    <w:p w14:paraId="303CFE57" w14:textId="21E93EF3" w:rsidR="00F43F32" w:rsidRPr="00D97720" w:rsidRDefault="00F43F32" w:rsidP="00F43F32">
      <w:pPr>
        <w:pStyle w:val="break-words"/>
        <w:numPr>
          <w:ilvl w:val="0"/>
          <w:numId w:val="32"/>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Media</w:t>
      </w:r>
      <w:r w:rsidR="006F7759">
        <w:rPr>
          <w:rFonts w:ascii="Calibri"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0.85</m:t>
        </m:r>
      </m:oMath>
    </w:p>
    <w:p w14:paraId="2EF621F4" w14:textId="2BC8A519" w:rsidR="00F43F32" w:rsidRPr="00D97720" w:rsidRDefault="00F43F32" w:rsidP="00F43F32">
      <w:pPr>
        <w:pStyle w:val="break-words"/>
        <w:numPr>
          <w:ilvl w:val="0"/>
          <w:numId w:val="32"/>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Baja</w:t>
      </w:r>
      <w:r w:rsidRPr="00D97720">
        <w:rPr>
          <w:rFonts w:ascii="Calibri" w:hAnsi="Calibri" w:cs="Calibri"/>
          <w:sz w:val="16"/>
          <w:szCs w:val="16"/>
        </w:rPr>
        <w:t>:</w:t>
      </w:r>
      <w:r w:rsidR="006F7759">
        <w:rPr>
          <w:rStyle w:val="katex-mathml"/>
          <w:rFonts w:ascii="Calibri" w:eastAsiaTheme="majorEastAsia"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0.70</m:t>
        </m:r>
      </m:oMath>
    </w:p>
    <w:p w14:paraId="33815905" w14:textId="715613AA" w:rsidR="00F43F32" w:rsidRPr="00D97720" w:rsidRDefault="00F43F32" w:rsidP="00F43F32">
      <w:pPr>
        <w:pStyle w:val="break-words"/>
        <w:numPr>
          <w:ilvl w:val="0"/>
          <w:numId w:val="32"/>
        </w:numPr>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Muy Baja</w:t>
      </w:r>
      <w:r w:rsidRPr="00D97720">
        <w:rPr>
          <w:rFonts w:ascii="Calibri" w:hAnsi="Calibri" w:cs="Calibri"/>
          <w:sz w:val="16"/>
          <w:szCs w:val="16"/>
        </w:rPr>
        <w:t>:</w:t>
      </w:r>
      <w:r w:rsidRPr="00D97720">
        <w:rPr>
          <w:rStyle w:val="katex-mathml"/>
          <w:rFonts w:ascii="Calibri" w:eastAsiaTheme="majorEastAsia"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0.50</m:t>
        </m:r>
      </m:oMath>
    </w:p>
    <w:p w14:paraId="3B00398C" w14:textId="77777777" w:rsidR="006F7759" w:rsidRDefault="006F77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28C9A182" w14:textId="77777777" w:rsidR="006F7759"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Ejemplo</w:t>
      </w:r>
      <w:r w:rsidRPr="00D97720">
        <w:rPr>
          <w:rFonts w:ascii="Calibri" w:hAnsi="Calibri" w:cs="Calibri"/>
          <w:sz w:val="16"/>
          <w:szCs w:val="16"/>
        </w:rPr>
        <w:t>:</w:t>
      </w:r>
      <w:r w:rsidRPr="00D97720">
        <w:rPr>
          <w:rFonts w:ascii="Calibri" w:hAnsi="Calibri" w:cs="Calibri"/>
          <w:sz w:val="16"/>
          <w:szCs w:val="16"/>
        </w:rPr>
        <w:br/>
      </w:r>
    </w:p>
    <w:p w14:paraId="0440E452" w14:textId="3DC77B15" w:rsidR="00F43F32"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Para "Planta de Agua Potable" (</w:t>
      </w:r>
      <w:proofErr w:type="spellStart"/>
      <w:r w:rsidRPr="00D97720">
        <w:rPr>
          <w:rFonts w:ascii="Calibri" w:hAnsi="Calibri" w:cs="Calibri"/>
          <w:sz w:val="16"/>
          <w:szCs w:val="16"/>
        </w:rPr>
        <w:t>N°</w:t>
      </w:r>
      <w:proofErr w:type="spellEnd"/>
      <w:r w:rsidRPr="00D97720">
        <w:rPr>
          <w:rFonts w:ascii="Calibri" w:hAnsi="Calibri" w:cs="Calibri"/>
          <w:sz w:val="16"/>
          <w:szCs w:val="16"/>
        </w:rPr>
        <w:t xml:space="preserve"> 17):</w:t>
      </w:r>
    </w:p>
    <w:p w14:paraId="01AC9860" w14:textId="77777777" w:rsidR="006F7759" w:rsidRPr="00D97720" w:rsidRDefault="006F7759" w:rsidP="00F43F32">
      <w:pPr>
        <w:pStyle w:val="break-words"/>
        <w:spacing w:before="0" w:beforeAutospacing="0" w:after="0" w:afterAutospacing="0"/>
        <w:jc w:val="both"/>
        <w:rPr>
          <w:rFonts w:ascii="Calibri" w:hAnsi="Calibri" w:cs="Calibri"/>
          <w:sz w:val="16"/>
          <w:szCs w:val="16"/>
        </w:rPr>
      </w:pPr>
    </w:p>
    <w:p w14:paraId="1B9ABF46" w14:textId="69849C11" w:rsidR="006F7759" w:rsidRPr="006F7759" w:rsidRDefault="00F43F32" w:rsidP="006F7759">
      <w:pPr>
        <w:pStyle w:val="break-words"/>
        <w:numPr>
          <w:ilvl w:val="0"/>
          <w:numId w:val="33"/>
        </w:numPr>
        <w:spacing w:before="0" w:beforeAutospacing="0" w:after="0" w:afterAutospacing="0"/>
        <w:jc w:val="both"/>
        <w:rPr>
          <w:rFonts w:ascii="Calibri" w:hAnsi="Calibri" w:cs="Calibri"/>
          <w:sz w:val="16"/>
          <w:szCs w:val="16"/>
        </w:rPr>
      </w:pPr>
      <w:r w:rsidRPr="00D97720">
        <w:rPr>
          <w:rFonts w:ascii="Calibri" w:hAnsi="Calibri" w:cs="Calibri"/>
          <w:sz w:val="16"/>
          <w:szCs w:val="16"/>
        </w:rPr>
        <w:t>FEN = Alta (3), IB = 0.9, FVT = 0.76.</w:t>
      </w:r>
    </w:p>
    <w:p w14:paraId="0264E1DF" w14:textId="0BA3559C" w:rsidR="00F43F32" w:rsidRPr="00D97720" w:rsidRDefault="00F43F32" w:rsidP="00F43F32">
      <w:pPr>
        <w:pStyle w:val="break-words"/>
        <w:numPr>
          <w:ilvl w:val="0"/>
          <w:numId w:val="33"/>
        </w:numPr>
        <w:spacing w:before="0" w:beforeAutospacing="0" w:after="0" w:afterAutospacing="0"/>
        <w:jc w:val="both"/>
        <w:rPr>
          <w:rFonts w:ascii="Calibri" w:hAnsi="Calibri" w:cs="Calibri"/>
          <w:sz w:val="16"/>
          <w:szCs w:val="16"/>
        </w:rPr>
      </w:pPr>
      <w:r w:rsidRPr="00D97720">
        <w:rPr>
          <w:rFonts w:ascii="Calibri" w:hAnsi="Calibri" w:cs="Calibri"/>
          <w:sz w:val="16"/>
          <w:szCs w:val="16"/>
        </w:rPr>
        <w:t>Cálculo:</w:t>
      </w:r>
      <w:r w:rsidR="006F7759">
        <w:rPr>
          <w:rFonts w:ascii="Calibri" w:hAnsi="Calibri" w:cs="Calibri"/>
          <w:sz w:val="16"/>
          <w:szCs w:val="16"/>
        </w:rPr>
        <w:t xml:space="preserve">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natural</m:t>
            </m:r>
          </m:sub>
        </m:sSub>
        <m:r>
          <w:rPr>
            <w:rStyle w:val="katex-mathml"/>
            <w:rFonts w:ascii="Cambria Math" w:eastAsiaTheme="majorEastAsia" w:hAnsi="Cambria Math" w:cs="Calibri"/>
            <w:sz w:val="16"/>
            <w:szCs w:val="16"/>
          </w:rPr>
          <m:t>=0.5</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3+0.3</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0.9+0.2</m:t>
        </m:r>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0.76=1.5+0.27+0.152=1.922</m:t>
        </m:r>
      </m:oMath>
    </w:p>
    <w:p w14:paraId="7339E8E6" w14:textId="1834F4CF" w:rsidR="00F43F32" w:rsidRPr="00D97720" w:rsidRDefault="00F43F32" w:rsidP="00F43F32">
      <w:pPr>
        <w:pStyle w:val="break-words"/>
        <w:numPr>
          <w:ilvl w:val="0"/>
          <w:numId w:val="33"/>
        </w:numPr>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Normalización: </w:t>
      </w:r>
      <m:oMath>
        <m:r>
          <w:rPr>
            <w:rStyle w:val="katex-mathml"/>
            <w:rFonts w:ascii="Cambria Math" w:eastAsiaTheme="majorEastAsia" w:hAnsi="Cambria Math" w:cs="Calibri"/>
            <w:sz w:val="16"/>
            <w:szCs w:val="16"/>
          </w:rPr>
          <m:t>P</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E</m:t>
            </m:r>
          </m:e>
          <m:sub>
            <m:r>
              <w:rPr>
                <w:rStyle w:val="katex-mathml"/>
                <w:rFonts w:ascii="Cambria Math" w:eastAsiaTheme="majorEastAsia" w:hAnsi="Cambria Math" w:cs="Calibri"/>
                <w:sz w:val="16"/>
                <w:szCs w:val="16"/>
              </w:rPr>
              <m:t>natura</m:t>
            </m:r>
            <m:sSub>
              <m:sSubPr>
                <m:ctrlPr>
                  <w:rPr>
                    <w:rStyle w:val="katex-mathml"/>
                    <w:rFonts w:ascii="Cambria Math" w:eastAsiaTheme="majorEastAsia" w:hAnsi="Cambria Math" w:cs="Calibri"/>
                    <w:i/>
                    <w:sz w:val="16"/>
                    <w:szCs w:val="16"/>
                  </w:rPr>
                </m:ctrlPr>
              </m:sSubPr>
              <m:e>
                <m:r>
                  <w:rPr>
                    <w:rStyle w:val="katex-mathml"/>
                    <w:rFonts w:ascii="Cambria Math" w:eastAsiaTheme="majorEastAsia" w:hAnsi="Cambria Math" w:cs="Calibri"/>
                    <w:sz w:val="16"/>
                    <w:szCs w:val="16"/>
                  </w:rPr>
                  <m:t>l</m:t>
                </m:r>
              </m:e>
              <m:sub>
                <m:r>
                  <w:rPr>
                    <w:rStyle w:val="katex-mathml"/>
                    <w:rFonts w:ascii="Cambria Math" w:eastAsiaTheme="majorEastAsia" w:hAnsi="Cambria Math" w:cs="Calibri"/>
                    <w:sz w:val="16"/>
                    <w:szCs w:val="16"/>
                  </w:rPr>
                  <m:t>norm</m:t>
                </m:r>
              </m:sub>
            </m:sSub>
          </m:sub>
        </m:sSub>
        <m:r>
          <w:rPr>
            <w:rStyle w:val="katex-mathml"/>
            <w:rFonts w:ascii="Cambria Math" w:eastAsiaTheme="majorEastAsia" w:hAnsi="Cambria Math" w:cs="Calibri"/>
            <w:sz w:val="16"/>
            <w:szCs w:val="16"/>
          </w:rPr>
          <m:t>=</m:t>
        </m:r>
        <m:f>
          <m:fPr>
            <m:ctrlPr>
              <w:rPr>
                <w:rStyle w:val="katex-mathml"/>
                <w:rFonts w:ascii="Cambria Math" w:eastAsiaTheme="majorEastAsia" w:hAnsi="Cambria Math" w:cs="Calibri"/>
                <w:sz w:val="16"/>
                <w:szCs w:val="16"/>
              </w:rPr>
            </m:ctrlPr>
          </m:fPr>
          <m:num>
            <m:r>
              <w:rPr>
                <w:rStyle w:val="katex-mathml"/>
                <w:rFonts w:ascii="Cambria Math" w:eastAsiaTheme="majorEastAsia" w:hAnsi="Cambria Math" w:cs="Calibri"/>
                <w:sz w:val="16"/>
                <w:szCs w:val="16"/>
              </w:rPr>
              <m:t>1.922</m:t>
            </m:r>
            <m:ctrlPr>
              <w:rPr>
                <w:rStyle w:val="katex-mathml"/>
                <w:rFonts w:ascii="Cambria Math" w:eastAsiaTheme="majorEastAsia" w:hAnsi="Cambria Math" w:cs="Calibri"/>
                <w:i/>
                <w:sz w:val="16"/>
                <w:szCs w:val="16"/>
              </w:rPr>
            </m:ctrlPr>
          </m:num>
          <m:den>
            <m:r>
              <w:rPr>
                <w:rStyle w:val="katex-mathml"/>
                <w:rFonts w:ascii="Cambria Math" w:eastAsiaTheme="majorEastAsia" w:hAnsi="Cambria Math" w:cs="Calibri"/>
                <w:sz w:val="16"/>
                <w:szCs w:val="16"/>
              </w:rPr>
              <m:t>1.87</m:t>
            </m:r>
            <m:ctrlPr>
              <w:rPr>
                <w:rStyle w:val="katex-mathml"/>
                <w:rFonts w:ascii="Cambria Math" w:eastAsiaTheme="majorEastAsia" w:hAnsi="Cambria Math" w:cs="Calibri"/>
                <w:i/>
                <w:sz w:val="16"/>
                <w:szCs w:val="16"/>
              </w:rPr>
            </m:ctrlPr>
          </m:den>
        </m:f>
        <m:r>
          <m:rPr>
            <m:sty m:val="p"/>
          </m:rPr>
          <w:rPr>
            <w:rStyle w:val="katex-mathml"/>
            <w:rFonts w:ascii="Cambria Math" w:eastAsiaTheme="majorEastAsia" w:hAnsi="Cambria Math" w:cs="Calibri"/>
            <w:sz w:val="16"/>
            <w:szCs w:val="16"/>
          </w:rPr>
          <m:t>≈</m:t>
        </m:r>
        <m:r>
          <w:rPr>
            <w:rStyle w:val="katex-mathml"/>
            <w:rFonts w:ascii="Cambria Math" w:eastAsiaTheme="majorEastAsia" w:hAnsi="Cambria Math" w:cs="Calibri"/>
            <w:sz w:val="16"/>
            <w:szCs w:val="16"/>
          </w:rPr>
          <m:t>1.0278</m:t>
        </m:r>
      </m:oMath>
      <w:r w:rsidRPr="00D97720">
        <w:rPr>
          <w:rFonts w:ascii="Calibri" w:hAnsi="Calibri" w:cs="Calibri"/>
          <w:sz w:val="16"/>
          <w:szCs w:val="16"/>
        </w:rPr>
        <w:t xml:space="preserve"> </w:t>
      </w:r>
    </w:p>
    <w:p w14:paraId="0FA8A4F0" w14:textId="46B35180" w:rsidR="00F43F32" w:rsidRPr="00D97720" w:rsidRDefault="00F43F32" w:rsidP="00F43F32">
      <w:pPr>
        <w:pStyle w:val="break-words"/>
        <w:numPr>
          <w:ilvl w:val="0"/>
          <w:numId w:val="33"/>
        </w:numPr>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Clasificación: </w:t>
      </w:r>
      <w:r w:rsidRPr="00D97720">
        <w:rPr>
          <w:rStyle w:val="Textoennegrita"/>
          <w:rFonts w:ascii="Calibri" w:eastAsiaTheme="majorEastAsia" w:hAnsi="Calibri" w:cs="Calibri"/>
          <w:sz w:val="16"/>
          <w:szCs w:val="16"/>
        </w:rPr>
        <w:t>Muy</w:t>
      </w:r>
      <w:r w:rsidR="006F7759">
        <w:rPr>
          <w:rStyle w:val="Textoennegrita"/>
          <w:rFonts w:ascii="Calibri" w:eastAsiaTheme="majorEastAsia" w:hAnsi="Calibri" w:cs="Calibri"/>
          <w:sz w:val="16"/>
          <w:szCs w:val="16"/>
        </w:rPr>
        <w:t xml:space="preserve"> Alta (</w:t>
      </w:r>
      <w:r w:rsidRPr="00D97720">
        <w:rPr>
          <w:rStyle w:val="mord"/>
          <w:rFonts w:ascii="Calibri" w:eastAsiaTheme="majorEastAsia" w:hAnsi="Calibri" w:cs="Calibri"/>
          <w:sz w:val="16"/>
          <w:szCs w:val="16"/>
        </w:rPr>
        <w:t>1.0278</w:t>
      </w:r>
      <w:r w:rsidRPr="00D97720">
        <w:rPr>
          <w:rStyle w:val="mrel"/>
          <w:rFonts w:ascii="Calibri" w:hAnsi="Calibri" w:cs="Calibri"/>
          <w:sz w:val="16"/>
          <w:szCs w:val="16"/>
        </w:rPr>
        <w:t>&gt;</w:t>
      </w:r>
      <w:r w:rsidRPr="00D97720">
        <w:rPr>
          <w:rStyle w:val="mord"/>
          <w:rFonts w:ascii="Calibri" w:eastAsiaTheme="majorEastAsia" w:hAnsi="Calibri" w:cs="Calibri"/>
          <w:sz w:val="16"/>
          <w:szCs w:val="16"/>
        </w:rPr>
        <w:t>0.96</w:t>
      </w:r>
      <w:r w:rsidRPr="00D97720">
        <w:rPr>
          <w:rFonts w:ascii="Calibri" w:hAnsi="Calibri" w:cs="Calibri"/>
          <w:sz w:val="16"/>
          <w:szCs w:val="16"/>
        </w:rPr>
        <w:t>, ajustado a 0.973 en la matriz por redondeo).</w:t>
      </w:r>
    </w:p>
    <w:p w14:paraId="09FA8E00" w14:textId="77777777" w:rsidR="006F7759" w:rsidRDefault="006F77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2CA0DA40" w14:textId="77777777" w:rsidR="006F7759"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Relación con las Ponderaciones</w:t>
      </w:r>
      <w:r w:rsidRPr="00D97720">
        <w:rPr>
          <w:rFonts w:ascii="Calibri" w:hAnsi="Calibri" w:cs="Calibri"/>
          <w:sz w:val="16"/>
          <w:szCs w:val="16"/>
        </w:rPr>
        <w:t>:</w:t>
      </w:r>
    </w:p>
    <w:p w14:paraId="34CDC279" w14:textId="77777777" w:rsidR="006F7759" w:rsidRDefault="006F7759" w:rsidP="00F43F32">
      <w:pPr>
        <w:pStyle w:val="break-words"/>
        <w:spacing w:before="0" w:beforeAutospacing="0" w:after="0" w:afterAutospacing="0"/>
        <w:jc w:val="both"/>
        <w:rPr>
          <w:rFonts w:ascii="Calibri" w:hAnsi="Calibri" w:cs="Calibri"/>
          <w:sz w:val="16"/>
          <w:szCs w:val="16"/>
        </w:rPr>
      </w:pPr>
    </w:p>
    <w:p w14:paraId="53CC4C73" w14:textId="31E18C3D"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La Pen está influenciada por </w:t>
      </w:r>
      <w:r w:rsidRPr="00D97720">
        <w:rPr>
          <w:rStyle w:val="Textoennegrita"/>
          <w:rFonts w:ascii="Calibri" w:eastAsiaTheme="majorEastAsia" w:hAnsi="Calibri" w:cs="Calibri"/>
          <w:sz w:val="16"/>
          <w:szCs w:val="16"/>
        </w:rPr>
        <w:t>PNT (0.1)</w:t>
      </w:r>
      <w:r w:rsidRPr="00D97720">
        <w:rPr>
          <w:rFonts w:ascii="Calibri" w:hAnsi="Calibri" w:cs="Calibri"/>
          <w:sz w:val="16"/>
          <w:szCs w:val="16"/>
        </w:rPr>
        <w:t xml:space="preserve">, ya que los elementos con alto IB (ej. plantas de agua potable) son cruciales para la resiliencia nacional post-desastre. También se relaciona indirectamente con </w:t>
      </w:r>
      <w:r w:rsidRPr="00D97720">
        <w:rPr>
          <w:rStyle w:val="Textoennegrita"/>
          <w:rFonts w:ascii="Calibri" w:eastAsiaTheme="majorEastAsia" w:hAnsi="Calibri" w:cs="Calibri"/>
          <w:sz w:val="16"/>
          <w:szCs w:val="16"/>
        </w:rPr>
        <w:t>CAMO (0.25)</w:t>
      </w:r>
      <w:r w:rsidRPr="00D97720">
        <w:rPr>
          <w:rFonts w:ascii="Calibri" w:hAnsi="Calibri" w:cs="Calibri"/>
          <w:sz w:val="16"/>
          <w:szCs w:val="16"/>
        </w:rPr>
        <w:t>, ya que la preparación para desastres puede involucrar capacidades de respuesta militar. La Pen contribuye al IRMD, identificando elementos cuya pérdida en desastres podría amplificar tensiones sociales o conflictos.</w:t>
      </w:r>
    </w:p>
    <w:p w14:paraId="2908D535" w14:textId="77777777" w:rsidR="006F7759" w:rsidRDefault="006F7759" w:rsidP="00F43F32">
      <w:pPr>
        <w:pStyle w:val="break-words"/>
        <w:spacing w:before="0" w:beforeAutospacing="0" w:after="0" w:afterAutospacing="0"/>
        <w:jc w:val="both"/>
        <w:rPr>
          <w:rStyle w:val="Textoennegrita"/>
          <w:rFonts w:ascii="Calibri" w:eastAsiaTheme="majorEastAsia" w:hAnsi="Calibri" w:cs="Calibri"/>
          <w:sz w:val="16"/>
          <w:szCs w:val="16"/>
        </w:rPr>
      </w:pPr>
    </w:p>
    <w:p w14:paraId="5F9DB9A2" w14:textId="54AA6C47"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Style w:val="Textoennegrita"/>
          <w:rFonts w:ascii="Calibri" w:eastAsiaTheme="majorEastAsia" w:hAnsi="Calibri" w:cs="Calibri"/>
          <w:sz w:val="16"/>
          <w:szCs w:val="16"/>
        </w:rPr>
        <w:t>Fuentes de Datos</w:t>
      </w:r>
      <w:r w:rsidRPr="00D97720">
        <w:rPr>
          <w:rFonts w:ascii="Calibri" w:hAnsi="Calibri" w:cs="Calibri"/>
          <w:sz w:val="16"/>
          <w:szCs w:val="16"/>
        </w:rPr>
        <w:t>:</w:t>
      </w:r>
    </w:p>
    <w:p w14:paraId="40E75E3C" w14:textId="77777777" w:rsidR="00F43F32" w:rsidRPr="00D97720" w:rsidRDefault="00F43F32" w:rsidP="00F43F32">
      <w:pPr>
        <w:pStyle w:val="break-words"/>
        <w:numPr>
          <w:ilvl w:val="0"/>
          <w:numId w:val="34"/>
        </w:numPr>
        <w:spacing w:before="0" w:beforeAutospacing="0" w:after="0" w:afterAutospacing="0"/>
        <w:jc w:val="both"/>
        <w:rPr>
          <w:rFonts w:ascii="Calibri" w:hAnsi="Calibri" w:cs="Calibri"/>
          <w:sz w:val="16"/>
          <w:szCs w:val="16"/>
        </w:rPr>
      </w:pPr>
      <w:hyperlink r:id="rId29" w:tgtFrame="_blank" w:history="1">
        <w:r w:rsidRPr="00D97720">
          <w:rPr>
            <w:rStyle w:val="Hipervnculo"/>
            <w:rFonts w:ascii="Calibri" w:hAnsi="Calibri" w:cs="Calibri"/>
            <w:b/>
            <w:bCs/>
            <w:sz w:val="16"/>
            <w:szCs w:val="16"/>
          </w:rPr>
          <w:t xml:space="preserve">UNEP Global </w:t>
        </w:r>
        <w:proofErr w:type="spellStart"/>
        <w:r w:rsidRPr="00D97720">
          <w:rPr>
            <w:rStyle w:val="Hipervnculo"/>
            <w:rFonts w:ascii="Calibri" w:hAnsi="Calibri" w:cs="Calibri"/>
            <w:b/>
            <w:bCs/>
            <w:sz w:val="16"/>
            <w:szCs w:val="16"/>
          </w:rPr>
          <w:t>Risk</w:t>
        </w:r>
        <w:proofErr w:type="spellEnd"/>
        <w:r w:rsidRPr="00D97720">
          <w:rPr>
            <w:rStyle w:val="Hipervnculo"/>
            <w:rFonts w:ascii="Calibri" w:hAnsi="Calibri" w:cs="Calibri"/>
            <w:b/>
            <w:bCs/>
            <w:sz w:val="16"/>
            <w:szCs w:val="16"/>
          </w:rPr>
          <w:t xml:space="preserve"> Data </w:t>
        </w:r>
        <w:proofErr w:type="spellStart"/>
        <w:r w:rsidRPr="00D97720">
          <w:rPr>
            <w:rStyle w:val="Hipervnculo"/>
            <w:rFonts w:ascii="Calibri" w:hAnsi="Calibri" w:cs="Calibri"/>
            <w:b/>
            <w:bCs/>
            <w:sz w:val="16"/>
            <w:szCs w:val="16"/>
          </w:rPr>
          <w:t>Platform</w:t>
        </w:r>
        <w:proofErr w:type="spellEnd"/>
      </w:hyperlink>
      <w:r w:rsidRPr="00D97720">
        <w:rPr>
          <w:rFonts w:ascii="Calibri" w:hAnsi="Calibri" w:cs="Calibri"/>
          <w:sz w:val="16"/>
          <w:szCs w:val="16"/>
        </w:rPr>
        <w:t>: Datos históricos y modelos probabilísticos de desastres naturales, que informan el FEN.</w:t>
      </w:r>
    </w:p>
    <w:p w14:paraId="0716EA3C" w14:textId="77777777" w:rsidR="00F43F32" w:rsidRPr="00D97720" w:rsidRDefault="00F43F32" w:rsidP="00F43F32">
      <w:pPr>
        <w:pStyle w:val="break-words"/>
        <w:numPr>
          <w:ilvl w:val="0"/>
          <w:numId w:val="34"/>
        </w:numPr>
        <w:spacing w:before="0" w:beforeAutospacing="0" w:after="0" w:afterAutospacing="0"/>
        <w:jc w:val="both"/>
        <w:rPr>
          <w:rFonts w:ascii="Calibri" w:hAnsi="Calibri" w:cs="Calibri"/>
          <w:sz w:val="16"/>
          <w:szCs w:val="16"/>
        </w:rPr>
      </w:pPr>
      <w:hyperlink r:id="rId30" w:tgtFrame="_blank" w:history="1">
        <w:proofErr w:type="spellStart"/>
        <w:r w:rsidRPr="00D97720">
          <w:rPr>
            <w:rStyle w:val="Hipervnculo"/>
            <w:rFonts w:ascii="Calibri" w:hAnsi="Calibri" w:cs="Calibri"/>
            <w:b/>
            <w:bCs/>
            <w:sz w:val="16"/>
            <w:szCs w:val="16"/>
          </w:rPr>
          <w:t>World</w:t>
        </w:r>
        <w:proofErr w:type="spellEnd"/>
        <w:r w:rsidRPr="00D97720">
          <w:rPr>
            <w:rStyle w:val="Hipervnculo"/>
            <w:rFonts w:ascii="Calibri" w:hAnsi="Calibri" w:cs="Calibri"/>
            <w:b/>
            <w:bCs/>
            <w:sz w:val="16"/>
            <w:szCs w:val="16"/>
          </w:rPr>
          <w:t xml:space="preserve"> Bank: </w:t>
        </w:r>
        <w:proofErr w:type="spellStart"/>
        <w:r w:rsidRPr="00D97720">
          <w:rPr>
            <w:rStyle w:val="Hipervnculo"/>
            <w:rFonts w:ascii="Calibri" w:hAnsi="Calibri" w:cs="Calibri"/>
            <w:b/>
            <w:bCs/>
            <w:sz w:val="16"/>
            <w:szCs w:val="16"/>
          </w:rPr>
          <w:t>Building</w:t>
        </w:r>
        <w:proofErr w:type="spellEnd"/>
        <w:r w:rsidRPr="00D97720">
          <w:rPr>
            <w:rStyle w:val="Hipervnculo"/>
            <w:rFonts w:ascii="Calibri" w:hAnsi="Calibri" w:cs="Calibri"/>
            <w:b/>
            <w:bCs/>
            <w:sz w:val="16"/>
            <w:szCs w:val="16"/>
          </w:rPr>
          <w:t xml:space="preserve"> </w:t>
        </w:r>
        <w:proofErr w:type="spellStart"/>
        <w:r w:rsidRPr="00D97720">
          <w:rPr>
            <w:rStyle w:val="Hipervnculo"/>
            <w:rFonts w:ascii="Calibri" w:hAnsi="Calibri" w:cs="Calibri"/>
            <w:b/>
            <w:bCs/>
            <w:sz w:val="16"/>
            <w:szCs w:val="16"/>
          </w:rPr>
          <w:t>Resilience</w:t>
        </w:r>
        <w:proofErr w:type="spellEnd"/>
        <w:r w:rsidRPr="00D97720">
          <w:rPr>
            <w:rStyle w:val="Hipervnculo"/>
            <w:rFonts w:ascii="Calibri" w:hAnsi="Calibri" w:cs="Calibri"/>
            <w:b/>
            <w:bCs/>
            <w:sz w:val="16"/>
            <w:szCs w:val="16"/>
          </w:rPr>
          <w:t xml:space="preserve"> - </w:t>
        </w:r>
        <w:proofErr w:type="spellStart"/>
        <w:r w:rsidRPr="00D97720">
          <w:rPr>
            <w:rStyle w:val="Hipervnculo"/>
            <w:rFonts w:ascii="Calibri" w:hAnsi="Calibri" w:cs="Calibri"/>
            <w:b/>
            <w:bCs/>
            <w:sz w:val="16"/>
            <w:szCs w:val="16"/>
          </w:rPr>
          <w:t>Integrating</w:t>
        </w:r>
        <w:proofErr w:type="spellEnd"/>
        <w:r w:rsidRPr="00D97720">
          <w:rPr>
            <w:rStyle w:val="Hipervnculo"/>
            <w:rFonts w:ascii="Calibri" w:hAnsi="Calibri" w:cs="Calibri"/>
            <w:b/>
            <w:bCs/>
            <w:sz w:val="16"/>
            <w:szCs w:val="16"/>
          </w:rPr>
          <w:t xml:space="preserve"> </w:t>
        </w:r>
        <w:proofErr w:type="spellStart"/>
        <w:r w:rsidRPr="00D97720">
          <w:rPr>
            <w:rStyle w:val="Hipervnculo"/>
            <w:rFonts w:ascii="Calibri" w:hAnsi="Calibri" w:cs="Calibri"/>
            <w:b/>
            <w:bCs/>
            <w:sz w:val="16"/>
            <w:szCs w:val="16"/>
          </w:rPr>
          <w:t>Climate</w:t>
        </w:r>
        <w:proofErr w:type="spellEnd"/>
        <w:r w:rsidRPr="00D97720">
          <w:rPr>
            <w:rStyle w:val="Hipervnculo"/>
            <w:rFonts w:ascii="Calibri" w:hAnsi="Calibri" w:cs="Calibri"/>
            <w:b/>
            <w:bCs/>
            <w:sz w:val="16"/>
            <w:szCs w:val="16"/>
          </w:rPr>
          <w:t xml:space="preserve"> and </w:t>
        </w:r>
        <w:proofErr w:type="spellStart"/>
        <w:r w:rsidRPr="00D97720">
          <w:rPr>
            <w:rStyle w:val="Hipervnculo"/>
            <w:rFonts w:ascii="Calibri" w:hAnsi="Calibri" w:cs="Calibri"/>
            <w:b/>
            <w:bCs/>
            <w:sz w:val="16"/>
            <w:szCs w:val="16"/>
          </w:rPr>
          <w:t>Disaster</w:t>
        </w:r>
        <w:proofErr w:type="spellEnd"/>
        <w:r w:rsidRPr="00D97720">
          <w:rPr>
            <w:rStyle w:val="Hipervnculo"/>
            <w:rFonts w:ascii="Calibri" w:hAnsi="Calibri" w:cs="Calibri"/>
            <w:b/>
            <w:bCs/>
            <w:sz w:val="16"/>
            <w:szCs w:val="16"/>
          </w:rPr>
          <w:t xml:space="preserve"> </w:t>
        </w:r>
        <w:proofErr w:type="spellStart"/>
        <w:r w:rsidRPr="00D97720">
          <w:rPr>
            <w:rStyle w:val="Hipervnculo"/>
            <w:rFonts w:ascii="Calibri" w:hAnsi="Calibri" w:cs="Calibri"/>
            <w:b/>
            <w:bCs/>
            <w:sz w:val="16"/>
            <w:szCs w:val="16"/>
          </w:rPr>
          <w:t>Risk</w:t>
        </w:r>
        <w:proofErr w:type="spellEnd"/>
        <w:r w:rsidRPr="00D97720">
          <w:rPr>
            <w:rStyle w:val="Hipervnculo"/>
            <w:rFonts w:ascii="Calibri" w:hAnsi="Calibri" w:cs="Calibri"/>
            <w:b/>
            <w:bCs/>
            <w:sz w:val="16"/>
            <w:szCs w:val="16"/>
          </w:rPr>
          <w:t xml:space="preserve"> </w:t>
        </w:r>
        <w:proofErr w:type="spellStart"/>
        <w:r w:rsidRPr="00D97720">
          <w:rPr>
            <w:rStyle w:val="Hipervnculo"/>
            <w:rFonts w:ascii="Calibri" w:hAnsi="Calibri" w:cs="Calibri"/>
            <w:b/>
            <w:bCs/>
            <w:sz w:val="16"/>
            <w:szCs w:val="16"/>
          </w:rPr>
          <w:t>into</w:t>
        </w:r>
        <w:proofErr w:type="spellEnd"/>
        <w:r w:rsidRPr="00D97720">
          <w:rPr>
            <w:rStyle w:val="Hipervnculo"/>
            <w:rFonts w:ascii="Calibri" w:hAnsi="Calibri" w:cs="Calibri"/>
            <w:b/>
            <w:bCs/>
            <w:sz w:val="16"/>
            <w:szCs w:val="16"/>
          </w:rPr>
          <w:t xml:space="preserve"> </w:t>
        </w:r>
        <w:proofErr w:type="spellStart"/>
        <w:r w:rsidRPr="00D97720">
          <w:rPr>
            <w:rStyle w:val="Hipervnculo"/>
            <w:rFonts w:ascii="Calibri" w:hAnsi="Calibri" w:cs="Calibri"/>
            <w:b/>
            <w:bCs/>
            <w:sz w:val="16"/>
            <w:szCs w:val="16"/>
          </w:rPr>
          <w:t>Development</w:t>
        </w:r>
        <w:proofErr w:type="spellEnd"/>
      </w:hyperlink>
      <w:r w:rsidRPr="00D97720">
        <w:rPr>
          <w:rFonts w:ascii="Calibri" w:hAnsi="Calibri" w:cs="Calibri"/>
          <w:sz w:val="16"/>
          <w:szCs w:val="16"/>
        </w:rPr>
        <w:t>: Marcos para evaluar la resiliencia de infraestructuras críticas frente a desastres, que respaldan la priorización basada en IB.</w:t>
      </w:r>
    </w:p>
    <w:p w14:paraId="1524A963" w14:textId="77777777" w:rsidR="00F43F32" w:rsidRPr="00D97720" w:rsidRDefault="00F43F32" w:rsidP="00F43F32">
      <w:pPr>
        <w:pStyle w:val="break-words"/>
        <w:numPr>
          <w:ilvl w:val="0"/>
          <w:numId w:val="34"/>
        </w:numPr>
        <w:spacing w:before="0" w:beforeAutospacing="0" w:after="0" w:afterAutospacing="0"/>
        <w:jc w:val="both"/>
        <w:rPr>
          <w:rFonts w:ascii="Calibri" w:hAnsi="Calibri" w:cs="Calibri"/>
          <w:sz w:val="16"/>
          <w:szCs w:val="16"/>
        </w:rPr>
      </w:pPr>
      <w:hyperlink r:id="rId31" w:tgtFrame="_blank" w:history="1">
        <w:r w:rsidRPr="00D97720">
          <w:rPr>
            <w:rStyle w:val="Hipervnculo"/>
            <w:rFonts w:ascii="Calibri" w:hAnsi="Calibri" w:cs="Calibri"/>
            <w:b/>
            <w:bCs/>
            <w:sz w:val="16"/>
            <w:szCs w:val="16"/>
          </w:rPr>
          <w:t xml:space="preserve">WHO: </w:t>
        </w:r>
        <w:proofErr w:type="spellStart"/>
        <w:r w:rsidRPr="00D97720">
          <w:rPr>
            <w:rStyle w:val="Hipervnculo"/>
            <w:rFonts w:ascii="Calibri" w:hAnsi="Calibri" w:cs="Calibri"/>
            <w:b/>
            <w:bCs/>
            <w:sz w:val="16"/>
            <w:szCs w:val="16"/>
          </w:rPr>
          <w:t>Water</w:t>
        </w:r>
        <w:proofErr w:type="spellEnd"/>
        <w:r w:rsidRPr="00D97720">
          <w:rPr>
            <w:rStyle w:val="Hipervnculo"/>
            <w:rFonts w:ascii="Calibri" w:hAnsi="Calibri" w:cs="Calibri"/>
            <w:b/>
            <w:bCs/>
            <w:sz w:val="16"/>
            <w:szCs w:val="16"/>
          </w:rPr>
          <w:t xml:space="preserve">, </w:t>
        </w:r>
        <w:proofErr w:type="spellStart"/>
        <w:r w:rsidRPr="00D97720">
          <w:rPr>
            <w:rStyle w:val="Hipervnculo"/>
            <w:rFonts w:ascii="Calibri" w:hAnsi="Calibri" w:cs="Calibri"/>
            <w:b/>
            <w:bCs/>
            <w:sz w:val="16"/>
            <w:szCs w:val="16"/>
          </w:rPr>
          <w:t>Sanitation</w:t>
        </w:r>
        <w:proofErr w:type="spellEnd"/>
        <w:r w:rsidRPr="00D97720">
          <w:rPr>
            <w:rStyle w:val="Hipervnculo"/>
            <w:rFonts w:ascii="Calibri" w:hAnsi="Calibri" w:cs="Calibri"/>
            <w:b/>
            <w:bCs/>
            <w:sz w:val="16"/>
            <w:szCs w:val="16"/>
          </w:rPr>
          <w:t xml:space="preserve"> and </w:t>
        </w:r>
        <w:proofErr w:type="spellStart"/>
        <w:r w:rsidRPr="00D97720">
          <w:rPr>
            <w:rStyle w:val="Hipervnculo"/>
            <w:rFonts w:ascii="Calibri" w:hAnsi="Calibri" w:cs="Calibri"/>
            <w:b/>
            <w:bCs/>
            <w:sz w:val="16"/>
            <w:szCs w:val="16"/>
          </w:rPr>
          <w:t>Hygiene</w:t>
        </w:r>
        <w:proofErr w:type="spellEnd"/>
        <w:r w:rsidRPr="00D97720">
          <w:rPr>
            <w:rStyle w:val="Hipervnculo"/>
            <w:rFonts w:ascii="Calibri" w:hAnsi="Calibri" w:cs="Calibri"/>
            <w:b/>
            <w:bCs/>
            <w:sz w:val="16"/>
            <w:szCs w:val="16"/>
          </w:rPr>
          <w:t xml:space="preserve"> in </w:t>
        </w:r>
        <w:proofErr w:type="spellStart"/>
        <w:r w:rsidRPr="00D97720">
          <w:rPr>
            <w:rStyle w:val="Hipervnculo"/>
            <w:rFonts w:ascii="Calibri" w:hAnsi="Calibri" w:cs="Calibri"/>
            <w:b/>
            <w:bCs/>
            <w:sz w:val="16"/>
            <w:szCs w:val="16"/>
          </w:rPr>
          <w:t>Emergencies</w:t>
        </w:r>
        <w:proofErr w:type="spellEnd"/>
      </w:hyperlink>
      <w:r w:rsidRPr="00D97720">
        <w:rPr>
          <w:rFonts w:ascii="Calibri" w:hAnsi="Calibri" w:cs="Calibri"/>
          <w:sz w:val="16"/>
          <w:szCs w:val="16"/>
        </w:rPr>
        <w:t>: Directrices sobre la importancia de sistemas de agua y energía para la recuperación post-desastre.</w:t>
      </w:r>
    </w:p>
    <w:p w14:paraId="2DD11ED6" w14:textId="77777777" w:rsidR="006F7759" w:rsidRDefault="006F7759" w:rsidP="00F43F32">
      <w:pPr>
        <w:pStyle w:val="Ttulo4"/>
        <w:spacing w:before="0" w:after="0"/>
        <w:jc w:val="both"/>
        <w:rPr>
          <w:rFonts w:ascii="Calibri" w:hAnsi="Calibri" w:cs="Calibri"/>
          <w:sz w:val="16"/>
          <w:szCs w:val="16"/>
        </w:rPr>
      </w:pPr>
    </w:p>
    <w:p w14:paraId="2D154055" w14:textId="77777777" w:rsidR="006F7759" w:rsidRDefault="006F7759" w:rsidP="006F7759">
      <w:pPr>
        <w:pStyle w:val="TtulosVariable"/>
      </w:pPr>
    </w:p>
    <w:p w14:paraId="157644B8" w14:textId="77777777" w:rsidR="006F7759" w:rsidRDefault="006F7759" w:rsidP="006F7759">
      <w:pPr>
        <w:pStyle w:val="TtulosVariable"/>
      </w:pPr>
    </w:p>
    <w:p w14:paraId="3A82E72C" w14:textId="2351D572" w:rsidR="00F43F32" w:rsidRPr="00D97720" w:rsidRDefault="00F43F32" w:rsidP="006F7759">
      <w:pPr>
        <w:pStyle w:val="TtulosVariable"/>
      </w:pPr>
      <w:r w:rsidRPr="00D97720">
        <w:lastRenderedPageBreak/>
        <w:t>Reflexión sobre las Nuevas Columnas</w:t>
      </w:r>
    </w:p>
    <w:p w14:paraId="5F99A1BF" w14:textId="77777777" w:rsidR="006F7759" w:rsidRDefault="006F7759" w:rsidP="00F43F32">
      <w:pPr>
        <w:pStyle w:val="break-words"/>
        <w:spacing w:before="0" w:beforeAutospacing="0" w:after="0" w:afterAutospacing="0"/>
        <w:jc w:val="both"/>
        <w:rPr>
          <w:rFonts w:ascii="Calibri" w:hAnsi="Calibri" w:cs="Calibri"/>
          <w:sz w:val="16"/>
          <w:szCs w:val="16"/>
        </w:rPr>
      </w:pPr>
    </w:p>
    <w:p w14:paraId="4AEB6344" w14:textId="4A98B662" w:rsidR="00F43F32" w:rsidRPr="00D97720" w:rsidRDefault="00F43F32" w:rsidP="00F43F32">
      <w:pPr>
        <w:pStyle w:val="break-words"/>
        <w:spacing w:before="0" w:beforeAutospacing="0" w:after="0" w:afterAutospacing="0"/>
        <w:jc w:val="both"/>
        <w:rPr>
          <w:rFonts w:ascii="Calibri" w:hAnsi="Calibri" w:cs="Calibri"/>
          <w:sz w:val="16"/>
          <w:szCs w:val="16"/>
        </w:rPr>
      </w:pPr>
      <w:r w:rsidRPr="00D97720">
        <w:rPr>
          <w:rFonts w:ascii="Calibri" w:hAnsi="Calibri" w:cs="Calibri"/>
          <w:sz w:val="16"/>
          <w:szCs w:val="16"/>
        </w:rPr>
        <w:t xml:space="preserve">Las columnas </w:t>
      </w:r>
      <w:proofErr w:type="spellStart"/>
      <w:r w:rsidRPr="00D97720">
        <w:rPr>
          <w:rFonts w:ascii="Calibri" w:hAnsi="Calibri" w:cs="Calibri"/>
          <w:sz w:val="16"/>
          <w:szCs w:val="16"/>
        </w:rPr>
        <w:t>Pev</w:t>
      </w:r>
      <w:proofErr w:type="spellEnd"/>
      <w:r w:rsidRPr="00D97720">
        <w:rPr>
          <w:rFonts w:ascii="Calibri" w:hAnsi="Calibri" w:cs="Calibri"/>
          <w:sz w:val="16"/>
          <w:szCs w:val="16"/>
        </w:rPr>
        <w:t xml:space="preserve">, </w:t>
      </w:r>
      <w:proofErr w:type="spellStart"/>
      <w:r w:rsidRPr="00D97720">
        <w:rPr>
          <w:rFonts w:ascii="Calibri" w:hAnsi="Calibri" w:cs="Calibri"/>
          <w:sz w:val="16"/>
          <w:szCs w:val="16"/>
        </w:rPr>
        <w:t>Peh</w:t>
      </w:r>
      <w:proofErr w:type="spellEnd"/>
      <w:r w:rsidRPr="00D97720">
        <w:rPr>
          <w:rFonts w:ascii="Calibri" w:hAnsi="Calibri" w:cs="Calibri"/>
          <w:sz w:val="16"/>
          <w:szCs w:val="16"/>
        </w:rPr>
        <w:t xml:space="preserve">, y Pen enriquecen el análisis de la Matriz de Infraestructura Crítica al proporcionar una priorización específica para tres escenarios críticos: conflictos verticales, conflictos irregulares, y desastres naturales. Cada columna integra métricas existentes (IB, FANC, FEN, VT, FVT) en fórmulas ponderadas que reflejan las dinámicas únicas de cada contexto, asegurando que los tomadores de decisiones puedan identificar rápidamente los activos más prioritarios para proteger. La escala cualitativa de cinco categorías (Muy Alta, Alta, Media, Baja, Muy Baja) ofrece granularidad, permitiendo diferenciar entre infraestructuras críticas (ej. reactores nucleares), importantes (ej. refinerías), y de mínima relevancia (ej. grifos de bomberos). Al alinear estas métricas con ponderaciones globales como CAMO y PNT, las columnas </w:t>
      </w:r>
      <w:proofErr w:type="spellStart"/>
      <w:r w:rsidRPr="00D97720">
        <w:rPr>
          <w:rFonts w:ascii="Calibri" w:hAnsi="Calibri" w:cs="Calibri"/>
          <w:sz w:val="16"/>
          <w:szCs w:val="16"/>
        </w:rPr>
        <w:t>Pev</w:t>
      </w:r>
      <w:proofErr w:type="spellEnd"/>
      <w:r w:rsidRPr="00D97720">
        <w:rPr>
          <w:rFonts w:ascii="Calibri" w:hAnsi="Calibri" w:cs="Calibri"/>
          <w:sz w:val="16"/>
          <w:szCs w:val="16"/>
        </w:rPr>
        <w:t xml:space="preserve">, </w:t>
      </w:r>
      <w:proofErr w:type="spellStart"/>
      <w:r w:rsidRPr="00D97720">
        <w:rPr>
          <w:rFonts w:ascii="Calibri" w:hAnsi="Calibri" w:cs="Calibri"/>
          <w:sz w:val="16"/>
          <w:szCs w:val="16"/>
        </w:rPr>
        <w:t>Peh</w:t>
      </w:r>
      <w:proofErr w:type="spellEnd"/>
      <w:r w:rsidRPr="00D97720">
        <w:rPr>
          <w:rFonts w:ascii="Calibri" w:hAnsi="Calibri" w:cs="Calibri"/>
          <w:sz w:val="16"/>
          <w:szCs w:val="16"/>
        </w:rPr>
        <w:t>, y Pen fortalecen el modelo RMD 2.0, proporcionando una herramienta práctica para la gestión de riesgos en escenarios de alta incertidumbre.</w:t>
      </w:r>
    </w:p>
    <w:p w14:paraId="60B2AED8" w14:textId="77777777" w:rsidR="00F43F32" w:rsidRDefault="00F43F32" w:rsidP="00B2451E">
      <w:pPr>
        <w:pStyle w:val="TtulosVariable"/>
      </w:pPr>
    </w:p>
    <w:p w14:paraId="4BF8BAD8" w14:textId="333A5A9B" w:rsidR="00B2451E" w:rsidRPr="005843B6" w:rsidRDefault="00B2451E" w:rsidP="00B2451E">
      <w:pPr>
        <w:pStyle w:val="TtulosVariable"/>
      </w:pPr>
      <w:r w:rsidRPr="005843B6">
        <w:t>Ponderaciones en el Contexto del Análisis</w:t>
      </w:r>
    </w:p>
    <w:p w14:paraId="2024C9EF" w14:textId="77777777" w:rsidR="00B2451E" w:rsidRDefault="00B2451E" w:rsidP="00B2451E">
      <w:pPr>
        <w:pStyle w:val="NormalWeb"/>
        <w:spacing w:before="0" w:beforeAutospacing="0" w:after="0" w:afterAutospacing="0"/>
        <w:jc w:val="both"/>
        <w:rPr>
          <w:color w:val="000000" w:themeColor="text1"/>
          <w:sz w:val="16"/>
          <w:szCs w:val="16"/>
        </w:rPr>
      </w:pPr>
    </w:p>
    <w:p w14:paraId="3E63AB05" w14:textId="77777777" w:rsidR="00B2451E" w:rsidRDefault="00B2451E" w:rsidP="00B2451E">
      <w:pPr>
        <w:pStyle w:val="NormalWeb"/>
        <w:spacing w:before="0" w:beforeAutospacing="0" w:after="0" w:afterAutospacing="0"/>
        <w:jc w:val="both"/>
        <w:rPr>
          <w:color w:val="000000" w:themeColor="text1"/>
          <w:sz w:val="16"/>
          <w:szCs w:val="16"/>
        </w:rPr>
      </w:pPr>
      <w:r w:rsidRPr="005843B6">
        <w:rPr>
          <w:color w:val="000000" w:themeColor="text1"/>
          <w:sz w:val="16"/>
          <w:szCs w:val="16"/>
        </w:rPr>
        <w:t>El análisis incluye las siguientes ponderaciones para evaluar el riesgo global:</w:t>
      </w:r>
    </w:p>
    <w:p w14:paraId="10A4A673" w14:textId="77777777" w:rsidR="00B2451E" w:rsidRPr="005843B6" w:rsidRDefault="00B2451E" w:rsidP="00B2451E">
      <w:pPr>
        <w:pStyle w:val="NormalWeb"/>
        <w:spacing w:before="0" w:beforeAutospacing="0" w:after="0" w:afterAutospacing="0"/>
        <w:jc w:val="both"/>
        <w:rPr>
          <w:color w:val="000000" w:themeColor="text1"/>
          <w:sz w:val="16"/>
          <w:szCs w:val="16"/>
        </w:rPr>
      </w:pPr>
    </w:p>
    <w:p w14:paraId="17925622" w14:textId="77777777" w:rsidR="00B2451E" w:rsidRDefault="00B2451E" w:rsidP="00B2451E">
      <w:pPr>
        <w:pStyle w:val="Prrafodelista"/>
        <w:numPr>
          <w:ilvl w:val="0"/>
          <w:numId w:val="22"/>
        </w:numPr>
        <w:jc w:val="both"/>
        <w:rPr>
          <w:color w:val="000000" w:themeColor="text1"/>
          <w:sz w:val="16"/>
          <w:szCs w:val="16"/>
        </w:rPr>
      </w:pPr>
      <w:r w:rsidRPr="00615509">
        <w:rPr>
          <w:rStyle w:val="Textoennegrita"/>
          <w:rFonts w:ascii="Calibri" w:eastAsiaTheme="majorEastAsia" w:hAnsi="Calibri" w:cs="Calibri"/>
          <w:color w:val="000000" w:themeColor="text1"/>
          <w:sz w:val="16"/>
          <w:szCs w:val="16"/>
        </w:rPr>
        <w:t>CAMO (Capacidad Militar Objetiva) = 0.25:</w:t>
      </w:r>
      <w:r w:rsidRPr="00615509">
        <w:rPr>
          <w:rFonts w:ascii="Calibri" w:hAnsi="Calibri" w:cs="Calibri"/>
          <w:color w:val="000000" w:themeColor="text1"/>
          <w:sz w:val="16"/>
          <w:szCs w:val="16"/>
        </w:rPr>
        <w:t xml:space="preserve"> Representa el 25% del análisis de riesgo, considerando las capacidades militares que pueden influir en métricas como FANC (ataques no convencionales) y VT (vulnerabilidad tecnológica, especialmente por ciberataques).</w:t>
      </w:r>
    </w:p>
    <w:p w14:paraId="63FF0D59" w14:textId="77777777" w:rsidR="00B2451E" w:rsidRPr="00615509" w:rsidRDefault="00B2451E" w:rsidP="00B2451E">
      <w:pPr>
        <w:jc w:val="both"/>
        <w:rPr>
          <w:color w:val="000000" w:themeColor="text1"/>
          <w:sz w:val="16"/>
          <w:szCs w:val="16"/>
        </w:rPr>
      </w:pPr>
    </w:p>
    <w:p w14:paraId="4AAFF59C" w14:textId="77777777" w:rsidR="00B2451E" w:rsidRPr="00615509" w:rsidRDefault="00B2451E" w:rsidP="00B2451E">
      <w:pPr>
        <w:pStyle w:val="Prrafodelista"/>
        <w:numPr>
          <w:ilvl w:val="0"/>
          <w:numId w:val="22"/>
        </w:numPr>
        <w:jc w:val="both"/>
        <w:rPr>
          <w:rFonts w:ascii="Calibri" w:hAnsi="Calibri" w:cs="Calibri"/>
          <w:color w:val="000000" w:themeColor="text1"/>
          <w:sz w:val="16"/>
          <w:szCs w:val="16"/>
        </w:rPr>
      </w:pPr>
      <w:r w:rsidRPr="00615509">
        <w:rPr>
          <w:rStyle w:val="Textoennegrita"/>
          <w:rFonts w:ascii="Calibri" w:eastAsiaTheme="majorEastAsia" w:hAnsi="Calibri" w:cs="Calibri"/>
          <w:color w:val="000000" w:themeColor="text1"/>
          <w:sz w:val="16"/>
          <w:szCs w:val="16"/>
        </w:rPr>
        <w:t>PNT (Poder Nacional Total) = 0.1:</w:t>
      </w:r>
      <w:r w:rsidRPr="00615509">
        <w:rPr>
          <w:rFonts w:ascii="Calibri" w:hAnsi="Calibri" w:cs="Calibri"/>
          <w:color w:val="000000" w:themeColor="text1"/>
          <w:sz w:val="16"/>
          <w:szCs w:val="16"/>
        </w:rPr>
        <w:t xml:space="preserve"> Representa el 10% del análisis, evaluando el poder nacional total, influenciado por elementos con alto IB (Importancia Base) y PF (Ponderación Final).</w:t>
      </w:r>
    </w:p>
    <w:p w14:paraId="5B6E3930" w14:textId="77777777" w:rsidR="00B2451E" w:rsidRDefault="00B2451E" w:rsidP="00B2451E">
      <w:pPr>
        <w:pStyle w:val="NormalWeb"/>
        <w:spacing w:before="0" w:beforeAutospacing="0" w:after="0" w:afterAutospacing="0"/>
        <w:jc w:val="both"/>
        <w:rPr>
          <w:color w:val="000000" w:themeColor="text1"/>
          <w:sz w:val="16"/>
          <w:szCs w:val="16"/>
        </w:rPr>
      </w:pPr>
    </w:p>
    <w:p w14:paraId="2E94C646"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color w:val="000000" w:themeColor="text1"/>
          <w:sz w:val="16"/>
          <w:szCs w:val="16"/>
        </w:rPr>
        <w:t>Estas ponderaciones se utilizan para priorizar los factores que más afectan el riesgo de los elementos, asegurando que el análisis considere tanto las capacidades de ataque (CAMO) como la importancia estratégica (PNT).</w:t>
      </w:r>
    </w:p>
    <w:p w14:paraId="1C872B1F" w14:textId="77777777" w:rsidR="00B2451E" w:rsidRDefault="00B2451E" w:rsidP="00B2451E">
      <w:pPr>
        <w:pStyle w:val="NormalWeb"/>
        <w:spacing w:before="0" w:beforeAutospacing="0" w:after="0" w:afterAutospacing="0"/>
        <w:jc w:val="both"/>
        <w:rPr>
          <w:rStyle w:val="Textoennegrita"/>
          <w:rFonts w:eastAsiaTheme="majorEastAsia"/>
          <w:color w:val="000000" w:themeColor="text1"/>
          <w:sz w:val="16"/>
          <w:szCs w:val="16"/>
        </w:rPr>
      </w:pPr>
    </w:p>
    <w:p w14:paraId="088E06E0" w14:textId="77777777" w:rsidR="00B2451E" w:rsidRPr="005843B6" w:rsidRDefault="00B2451E" w:rsidP="00B2451E">
      <w:pPr>
        <w:pStyle w:val="NormalWeb"/>
        <w:spacing w:before="0" w:beforeAutospacing="0" w:after="0" w:afterAutospacing="0"/>
        <w:jc w:val="both"/>
        <w:rPr>
          <w:color w:val="000000" w:themeColor="text1"/>
          <w:sz w:val="16"/>
          <w:szCs w:val="16"/>
        </w:rPr>
      </w:pPr>
      <w:r w:rsidRPr="005843B6">
        <w:rPr>
          <w:rStyle w:val="Textoennegrita"/>
          <w:rFonts w:eastAsiaTheme="majorEastAsia"/>
          <w:color w:val="000000" w:themeColor="text1"/>
          <w:sz w:val="16"/>
          <w:szCs w:val="16"/>
        </w:rPr>
        <w:t>Fuentes de Datos para Ponderaciones:</w:t>
      </w:r>
    </w:p>
    <w:p w14:paraId="4BAA8535" w14:textId="77777777" w:rsidR="00B2451E" w:rsidRPr="005843B6" w:rsidRDefault="00B2451E" w:rsidP="00B2451E">
      <w:pPr>
        <w:numPr>
          <w:ilvl w:val="0"/>
          <w:numId w:val="19"/>
        </w:numPr>
        <w:jc w:val="both"/>
        <w:rPr>
          <w:rFonts w:ascii="Calibri" w:hAnsi="Calibri" w:cs="Calibri"/>
          <w:color w:val="000000" w:themeColor="text1"/>
          <w:sz w:val="16"/>
          <w:szCs w:val="16"/>
        </w:rPr>
      </w:pPr>
      <w:hyperlink r:id="rId32" w:tgtFrame="_blank" w:history="1">
        <w:proofErr w:type="spellStart"/>
        <w:r w:rsidRPr="005843B6">
          <w:rPr>
            <w:rStyle w:val="Hipervnculo"/>
            <w:rFonts w:ascii="Calibri" w:eastAsiaTheme="majorEastAsia" w:hAnsi="Calibri" w:cs="Calibri"/>
            <w:color w:val="000000" w:themeColor="text1"/>
            <w:sz w:val="16"/>
            <w:szCs w:val="16"/>
          </w:rPr>
          <w:t>Military</w:t>
        </w:r>
        <w:proofErr w:type="spellEnd"/>
        <w:r w:rsidRPr="005843B6">
          <w:rPr>
            <w:rStyle w:val="Hipervnculo"/>
            <w:rFonts w:ascii="Calibri" w:eastAsiaTheme="majorEastAsia" w:hAnsi="Calibri" w:cs="Calibri"/>
            <w:color w:val="000000" w:themeColor="text1"/>
            <w:sz w:val="16"/>
            <w:szCs w:val="16"/>
          </w:rPr>
          <w:t xml:space="preserve"> Balance - IISS</w:t>
        </w:r>
      </w:hyperlink>
      <w:r w:rsidRPr="005843B6">
        <w:rPr>
          <w:rFonts w:ascii="Calibri" w:hAnsi="Calibri" w:cs="Calibri"/>
          <w:color w:val="000000" w:themeColor="text1"/>
          <w:sz w:val="16"/>
          <w:szCs w:val="16"/>
        </w:rPr>
        <w:t>: El Instituto Internacional de Estudios Estratégicos (IISS) publica datos sobre capacidades militares, útiles para justificar la ponderación de CAMO.</w:t>
      </w:r>
    </w:p>
    <w:p w14:paraId="67C5272E" w14:textId="77777777" w:rsidR="00B2451E" w:rsidRPr="005843B6" w:rsidRDefault="00B2451E" w:rsidP="00B2451E">
      <w:pPr>
        <w:numPr>
          <w:ilvl w:val="0"/>
          <w:numId w:val="19"/>
        </w:numPr>
        <w:jc w:val="both"/>
        <w:rPr>
          <w:rFonts w:ascii="Calibri" w:hAnsi="Calibri" w:cs="Calibri"/>
          <w:color w:val="000000" w:themeColor="text1"/>
          <w:sz w:val="16"/>
          <w:szCs w:val="16"/>
        </w:rPr>
      </w:pPr>
      <w:hyperlink r:id="rId33"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Power</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Index</w:t>
        </w:r>
        <w:proofErr w:type="spellEnd"/>
        <w:r w:rsidRPr="005843B6">
          <w:rPr>
            <w:rStyle w:val="Hipervnculo"/>
            <w:rFonts w:ascii="Calibri" w:eastAsiaTheme="majorEastAsia" w:hAnsi="Calibri" w:cs="Calibri"/>
            <w:color w:val="000000" w:themeColor="text1"/>
            <w:sz w:val="16"/>
            <w:szCs w:val="16"/>
          </w:rPr>
          <w:t xml:space="preserve"> - GFP</w:t>
        </w:r>
      </w:hyperlink>
      <w:r w:rsidRPr="005843B6">
        <w:rPr>
          <w:rFonts w:ascii="Calibri" w:hAnsi="Calibri" w:cs="Calibri"/>
          <w:color w:val="000000" w:themeColor="text1"/>
          <w:sz w:val="16"/>
          <w:szCs w:val="16"/>
        </w:rPr>
        <w:t>: El Índice Global de Poder (GFP) ofrece métricas sobre el poder nacional, que respaldan la ponderación de PNT.</w:t>
      </w:r>
    </w:p>
    <w:p w14:paraId="117D0341" w14:textId="77777777" w:rsidR="00B2451E" w:rsidRPr="005843B6" w:rsidRDefault="00300068" w:rsidP="00B2451E">
      <w:pPr>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3457DF58">
          <v:rect id="_x0000_i1028" alt="" style="width:441.9pt;height:.05pt;mso-width-percent:0;mso-height-percent:0;mso-width-percent:0;mso-height-percent:0" o:hralign="center" o:hrstd="t" o:hr="t" fillcolor="#a0a0a0" stroked="f"/>
        </w:pict>
      </w:r>
    </w:p>
    <w:p w14:paraId="03F28B8A" w14:textId="77777777" w:rsidR="00B2451E" w:rsidRDefault="00B2451E" w:rsidP="00B2451E">
      <w:pPr>
        <w:pStyle w:val="Ttulo3"/>
        <w:spacing w:before="0" w:after="0"/>
        <w:rPr>
          <w:rFonts w:cs="Calibri"/>
          <w:color w:val="000000" w:themeColor="text1"/>
          <w:sz w:val="16"/>
          <w:szCs w:val="16"/>
        </w:rPr>
      </w:pPr>
    </w:p>
    <w:p w14:paraId="0ADFE615" w14:textId="77777777" w:rsidR="00B2451E" w:rsidRDefault="00B2451E" w:rsidP="00B2451E">
      <w:pPr>
        <w:pStyle w:val="TtulosVariable"/>
      </w:pPr>
      <w:r w:rsidRPr="005843B6">
        <w:t>Resumen de las Métricas y su Interrelación</w:t>
      </w:r>
    </w:p>
    <w:p w14:paraId="4A8A68E7" w14:textId="77777777" w:rsidR="00B2451E" w:rsidRPr="005843B6" w:rsidRDefault="00B2451E" w:rsidP="00B2451E">
      <w:pPr>
        <w:pStyle w:val="TtulosVariable"/>
      </w:pPr>
    </w:p>
    <w:tbl>
      <w:tblPr>
        <w:tblStyle w:val="Tablaconcuadrcula4-nfasis1"/>
        <w:tblW w:w="0" w:type="auto"/>
        <w:tblLook w:val="0420" w:firstRow="1" w:lastRow="0" w:firstColumn="0" w:lastColumn="0" w:noHBand="0" w:noVBand="1"/>
      </w:tblPr>
      <w:tblGrid>
        <w:gridCol w:w="734"/>
        <w:gridCol w:w="2663"/>
        <w:gridCol w:w="3119"/>
        <w:gridCol w:w="2312"/>
      </w:tblGrid>
      <w:tr w:rsidR="00B2451E" w:rsidRPr="005843B6" w14:paraId="3C2582D5" w14:textId="77777777" w:rsidTr="006C308F">
        <w:trPr>
          <w:cnfStyle w:val="100000000000" w:firstRow="1" w:lastRow="0" w:firstColumn="0" w:lastColumn="0" w:oddVBand="0" w:evenVBand="0" w:oddHBand="0" w:evenHBand="0" w:firstRowFirstColumn="0" w:firstRowLastColumn="0" w:lastRowFirstColumn="0" w:lastRowLastColumn="0"/>
        </w:trPr>
        <w:tc>
          <w:tcPr>
            <w:tcW w:w="0" w:type="auto"/>
            <w:hideMark/>
          </w:tcPr>
          <w:p w14:paraId="3AE74561" w14:textId="77777777" w:rsidR="00B2451E" w:rsidRPr="005843B6" w:rsidRDefault="00B2451E" w:rsidP="006C308F">
            <w:pPr>
              <w:jc w:val="center"/>
              <w:rPr>
                <w:rFonts w:ascii="Calibri" w:hAnsi="Calibri" w:cs="Calibri"/>
                <w:sz w:val="16"/>
                <w:szCs w:val="16"/>
              </w:rPr>
            </w:pPr>
            <w:r w:rsidRPr="005843B6">
              <w:rPr>
                <w:rFonts w:ascii="Calibri" w:hAnsi="Calibri" w:cs="Calibri"/>
                <w:sz w:val="16"/>
                <w:szCs w:val="16"/>
              </w:rPr>
              <w:t>Métrica</w:t>
            </w:r>
          </w:p>
        </w:tc>
        <w:tc>
          <w:tcPr>
            <w:tcW w:w="2663" w:type="dxa"/>
            <w:hideMark/>
          </w:tcPr>
          <w:p w14:paraId="555D5D73" w14:textId="77777777" w:rsidR="00B2451E" w:rsidRPr="005843B6" w:rsidRDefault="00B2451E" w:rsidP="006C308F">
            <w:pPr>
              <w:jc w:val="center"/>
              <w:rPr>
                <w:rFonts w:ascii="Calibri" w:hAnsi="Calibri" w:cs="Calibri"/>
                <w:sz w:val="16"/>
                <w:szCs w:val="16"/>
              </w:rPr>
            </w:pPr>
            <w:r w:rsidRPr="005843B6">
              <w:rPr>
                <w:rFonts w:ascii="Calibri" w:hAnsi="Calibri" w:cs="Calibri"/>
                <w:sz w:val="16"/>
                <w:szCs w:val="16"/>
              </w:rPr>
              <w:t>Significado</w:t>
            </w:r>
          </w:p>
        </w:tc>
        <w:tc>
          <w:tcPr>
            <w:tcW w:w="3119" w:type="dxa"/>
            <w:hideMark/>
          </w:tcPr>
          <w:p w14:paraId="79D6DBFE" w14:textId="77777777" w:rsidR="00B2451E" w:rsidRPr="005843B6" w:rsidRDefault="00B2451E" w:rsidP="006C308F">
            <w:pPr>
              <w:jc w:val="center"/>
              <w:rPr>
                <w:rFonts w:ascii="Calibri" w:hAnsi="Calibri" w:cs="Calibri"/>
                <w:sz w:val="16"/>
                <w:szCs w:val="16"/>
              </w:rPr>
            </w:pPr>
            <w:r w:rsidRPr="005843B6">
              <w:rPr>
                <w:rFonts w:ascii="Calibri" w:hAnsi="Calibri" w:cs="Calibri"/>
                <w:sz w:val="16"/>
                <w:szCs w:val="16"/>
              </w:rPr>
              <w:t>Cálculo Implícito</w:t>
            </w:r>
          </w:p>
        </w:tc>
        <w:tc>
          <w:tcPr>
            <w:tcW w:w="2312" w:type="dxa"/>
            <w:hideMark/>
          </w:tcPr>
          <w:p w14:paraId="42C28999" w14:textId="77777777" w:rsidR="00B2451E" w:rsidRPr="005843B6" w:rsidRDefault="00B2451E" w:rsidP="006C308F">
            <w:pPr>
              <w:jc w:val="center"/>
              <w:rPr>
                <w:rFonts w:ascii="Calibri" w:hAnsi="Calibri" w:cs="Calibri"/>
                <w:sz w:val="16"/>
                <w:szCs w:val="16"/>
              </w:rPr>
            </w:pPr>
            <w:r w:rsidRPr="005843B6">
              <w:rPr>
                <w:rFonts w:ascii="Calibri" w:hAnsi="Calibri" w:cs="Calibri"/>
                <w:sz w:val="16"/>
                <w:szCs w:val="16"/>
              </w:rPr>
              <w:t>Relación con Ponderaciones</w:t>
            </w:r>
          </w:p>
        </w:tc>
      </w:tr>
      <w:tr w:rsidR="00B2451E" w:rsidRPr="005843B6" w14:paraId="4984D10A" w14:textId="77777777" w:rsidTr="006C308F">
        <w:trPr>
          <w:cnfStyle w:val="000000100000" w:firstRow="0" w:lastRow="0" w:firstColumn="0" w:lastColumn="0" w:oddVBand="0" w:evenVBand="0" w:oddHBand="1" w:evenHBand="0" w:firstRowFirstColumn="0" w:firstRowLastColumn="0" w:lastRowFirstColumn="0" w:lastRowLastColumn="0"/>
        </w:trPr>
        <w:tc>
          <w:tcPr>
            <w:tcW w:w="0" w:type="auto"/>
            <w:hideMark/>
          </w:tcPr>
          <w:p w14:paraId="0618ED77" w14:textId="77777777" w:rsidR="00B2451E" w:rsidRPr="005843B6" w:rsidRDefault="00B2451E" w:rsidP="006C308F">
            <w:pPr>
              <w:rPr>
                <w:rFonts w:ascii="Calibri" w:hAnsi="Calibri" w:cs="Calibri"/>
                <w:b/>
                <w:bCs/>
                <w:color w:val="000000" w:themeColor="text1"/>
                <w:sz w:val="13"/>
                <w:szCs w:val="13"/>
              </w:rPr>
            </w:pPr>
            <w:r w:rsidRPr="005843B6">
              <w:rPr>
                <w:rFonts w:ascii="Calibri" w:hAnsi="Calibri" w:cs="Calibri"/>
                <w:b/>
                <w:bCs/>
                <w:color w:val="000000" w:themeColor="text1"/>
                <w:sz w:val="13"/>
                <w:szCs w:val="13"/>
              </w:rPr>
              <w:t>FEN</w:t>
            </w:r>
          </w:p>
        </w:tc>
        <w:tc>
          <w:tcPr>
            <w:tcW w:w="2663" w:type="dxa"/>
            <w:hideMark/>
          </w:tcPr>
          <w:p w14:paraId="055A97AB"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Vulnerabilidad a desastres naturales</w:t>
            </w:r>
          </w:p>
        </w:tc>
        <w:tc>
          <w:tcPr>
            <w:tcW w:w="3119" w:type="dxa"/>
            <w:hideMark/>
          </w:tcPr>
          <w:p w14:paraId="7F793FC0"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Escala: Alta=3, Media=2, Baja=1</w:t>
            </w:r>
          </w:p>
        </w:tc>
        <w:tc>
          <w:tcPr>
            <w:tcW w:w="2312" w:type="dxa"/>
            <w:hideMark/>
          </w:tcPr>
          <w:p w14:paraId="698FB7A3"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Indirectamente influenciado por CAMO (0.25)</w:t>
            </w:r>
          </w:p>
        </w:tc>
      </w:tr>
      <w:tr w:rsidR="00B2451E" w:rsidRPr="005843B6" w14:paraId="6F2E2940" w14:textId="77777777" w:rsidTr="006C308F">
        <w:tc>
          <w:tcPr>
            <w:tcW w:w="0" w:type="auto"/>
            <w:hideMark/>
          </w:tcPr>
          <w:p w14:paraId="07544AE5" w14:textId="77777777" w:rsidR="00B2451E" w:rsidRPr="005843B6" w:rsidRDefault="00B2451E" w:rsidP="006C308F">
            <w:pPr>
              <w:rPr>
                <w:rFonts w:ascii="Calibri" w:hAnsi="Calibri" w:cs="Calibri"/>
                <w:b/>
                <w:bCs/>
                <w:color w:val="000000" w:themeColor="text1"/>
                <w:sz w:val="13"/>
                <w:szCs w:val="13"/>
              </w:rPr>
            </w:pPr>
            <w:r w:rsidRPr="005843B6">
              <w:rPr>
                <w:rFonts w:ascii="Calibri" w:hAnsi="Calibri" w:cs="Calibri"/>
                <w:b/>
                <w:bCs/>
                <w:color w:val="000000" w:themeColor="text1"/>
                <w:sz w:val="13"/>
                <w:szCs w:val="13"/>
              </w:rPr>
              <w:t>FANC</w:t>
            </w:r>
          </w:p>
        </w:tc>
        <w:tc>
          <w:tcPr>
            <w:tcW w:w="2663" w:type="dxa"/>
            <w:hideMark/>
          </w:tcPr>
          <w:p w14:paraId="47C9FA00"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Vulnerabilidad a ataques no convencionales</w:t>
            </w:r>
          </w:p>
        </w:tc>
        <w:tc>
          <w:tcPr>
            <w:tcW w:w="3119" w:type="dxa"/>
            <w:hideMark/>
          </w:tcPr>
          <w:p w14:paraId="2A889E6E"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Escala: Alta=3, Media=2, Baja=1</w:t>
            </w:r>
          </w:p>
        </w:tc>
        <w:tc>
          <w:tcPr>
            <w:tcW w:w="2312" w:type="dxa"/>
            <w:hideMark/>
          </w:tcPr>
          <w:p w14:paraId="56329FED"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Influenciado por CAMO (0.25)</w:t>
            </w:r>
          </w:p>
        </w:tc>
      </w:tr>
      <w:tr w:rsidR="00B2451E" w:rsidRPr="005843B6" w14:paraId="66040602" w14:textId="77777777" w:rsidTr="006C308F">
        <w:trPr>
          <w:cnfStyle w:val="000000100000" w:firstRow="0" w:lastRow="0" w:firstColumn="0" w:lastColumn="0" w:oddVBand="0" w:evenVBand="0" w:oddHBand="1" w:evenHBand="0" w:firstRowFirstColumn="0" w:firstRowLastColumn="0" w:lastRowFirstColumn="0" w:lastRowLastColumn="0"/>
        </w:trPr>
        <w:tc>
          <w:tcPr>
            <w:tcW w:w="0" w:type="auto"/>
            <w:hideMark/>
          </w:tcPr>
          <w:p w14:paraId="58F17A81" w14:textId="77777777" w:rsidR="00B2451E" w:rsidRPr="005843B6" w:rsidRDefault="00B2451E" w:rsidP="006C308F">
            <w:pPr>
              <w:rPr>
                <w:rFonts w:ascii="Calibri" w:hAnsi="Calibri" w:cs="Calibri"/>
                <w:b/>
                <w:bCs/>
                <w:color w:val="000000" w:themeColor="text1"/>
                <w:sz w:val="13"/>
                <w:szCs w:val="13"/>
              </w:rPr>
            </w:pPr>
            <w:r w:rsidRPr="005843B6">
              <w:rPr>
                <w:rFonts w:ascii="Calibri" w:hAnsi="Calibri" w:cs="Calibri"/>
                <w:b/>
                <w:bCs/>
                <w:color w:val="000000" w:themeColor="text1"/>
                <w:sz w:val="13"/>
                <w:szCs w:val="13"/>
              </w:rPr>
              <w:t>IB</w:t>
            </w:r>
          </w:p>
        </w:tc>
        <w:tc>
          <w:tcPr>
            <w:tcW w:w="2663" w:type="dxa"/>
            <w:hideMark/>
          </w:tcPr>
          <w:p w14:paraId="42F58340"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Relevancia para estabilidad social/económica</w:t>
            </w:r>
          </w:p>
        </w:tc>
        <w:tc>
          <w:tcPr>
            <w:tcW w:w="3119" w:type="dxa"/>
            <w:hideMark/>
          </w:tcPr>
          <w:p w14:paraId="5FB906AA"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Escala: 0-1, asignado por criterios</w:t>
            </w:r>
          </w:p>
        </w:tc>
        <w:tc>
          <w:tcPr>
            <w:tcW w:w="2312" w:type="dxa"/>
            <w:hideMark/>
          </w:tcPr>
          <w:p w14:paraId="58418E7C"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Contribuye al PNT (0.1)</w:t>
            </w:r>
          </w:p>
        </w:tc>
      </w:tr>
      <w:tr w:rsidR="00B2451E" w:rsidRPr="005843B6" w14:paraId="75F5FA9F" w14:textId="77777777" w:rsidTr="006C308F">
        <w:tc>
          <w:tcPr>
            <w:tcW w:w="0" w:type="auto"/>
            <w:hideMark/>
          </w:tcPr>
          <w:p w14:paraId="43676832" w14:textId="77777777" w:rsidR="00B2451E" w:rsidRPr="005843B6" w:rsidRDefault="00B2451E" w:rsidP="006C308F">
            <w:pPr>
              <w:rPr>
                <w:rFonts w:ascii="Calibri" w:hAnsi="Calibri" w:cs="Calibri"/>
                <w:b/>
                <w:bCs/>
                <w:color w:val="000000" w:themeColor="text1"/>
                <w:sz w:val="13"/>
                <w:szCs w:val="13"/>
              </w:rPr>
            </w:pPr>
            <w:r w:rsidRPr="005843B6">
              <w:rPr>
                <w:rFonts w:ascii="Calibri" w:hAnsi="Calibri" w:cs="Calibri"/>
                <w:b/>
                <w:bCs/>
                <w:color w:val="000000" w:themeColor="text1"/>
                <w:sz w:val="13"/>
                <w:szCs w:val="13"/>
              </w:rPr>
              <w:t>VT</w:t>
            </w:r>
          </w:p>
        </w:tc>
        <w:tc>
          <w:tcPr>
            <w:tcW w:w="2663" w:type="dxa"/>
            <w:hideMark/>
          </w:tcPr>
          <w:p w14:paraId="71152E76"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Dependencia y exposición tecnológica</w:t>
            </w:r>
          </w:p>
        </w:tc>
        <w:tc>
          <w:tcPr>
            <w:tcW w:w="3119" w:type="dxa"/>
            <w:hideMark/>
          </w:tcPr>
          <w:p w14:paraId="54A45F13"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Escala: 0-1, basado en dependencia y protección</w:t>
            </w:r>
          </w:p>
        </w:tc>
        <w:tc>
          <w:tcPr>
            <w:tcW w:w="2312" w:type="dxa"/>
            <w:hideMark/>
          </w:tcPr>
          <w:p w14:paraId="40E03FA2"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Influenciado por CAMO (0.25)</w:t>
            </w:r>
          </w:p>
        </w:tc>
      </w:tr>
      <w:tr w:rsidR="00B2451E" w:rsidRPr="005843B6" w14:paraId="695E7648" w14:textId="77777777" w:rsidTr="006C308F">
        <w:trPr>
          <w:cnfStyle w:val="000000100000" w:firstRow="0" w:lastRow="0" w:firstColumn="0" w:lastColumn="0" w:oddVBand="0" w:evenVBand="0" w:oddHBand="1" w:evenHBand="0" w:firstRowFirstColumn="0" w:firstRowLastColumn="0" w:lastRowFirstColumn="0" w:lastRowLastColumn="0"/>
        </w:trPr>
        <w:tc>
          <w:tcPr>
            <w:tcW w:w="0" w:type="auto"/>
            <w:hideMark/>
          </w:tcPr>
          <w:p w14:paraId="789C9E9E" w14:textId="77777777" w:rsidR="00B2451E" w:rsidRPr="005843B6" w:rsidRDefault="00B2451E" w:rsidP="006C308F">
            <w:pPr>
              <w:rPr>
                <w:rFonts w:ascii="Calibri" w:hAnsi="Calibri" w:cs="Calibri"/>
                <w:b/>
                <w:bCs/>
                <w:color w:val="000000" w:themeColor="text1"/>
                <w:sz w:val="13"/>
                <w:szCs w:val="13"/>
              </w:rPr>
            </w:pPr>
            <w:r w:rsidRPr="005843B6">
              <w:rPr>
                <w:rFonts w:ascii="Calibri" w:hAnsi="Calibri" w:cs="Calibri"/>
                <w:b/>
                <w:bCs/>
                <w:color w:val="000000" w:themeColor="text1"/>
                <w:sz w:val="13"/>
                <w:szCs w:val="13"/>
              </w:rPr>
              <w:t>FVT</w:t>
            </w:r>
          </w:p>
        </w:tc>
        <w:tc>
          <w:tcPr>
            <w:tcW w:w="2663" w:type="dxa"/>
            <w:hideMark/>
          </w:tcPr>
          <w:p w14:paraId="2B7E1327"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Índice compuesto de vulnerabilidad</w:t>
            </w:r>
          </w:p>
        </w:tc>
        <w:tc>
          <w:tcPr>
            <w:tcW w:w="3119" w:type="dxa"/>
            <w:hideMark/>
          </w:tcPr>
          <w:p w14:paraId="1EB18D78" w14:textId="1B0AB038" w:rsidR="00B2451E" w:rsidRPr="005843B6" w:rsidRDefault="00B2451E" w:rsidP="006C308F">
            <w:pPr>
              <w:rPr>
                <w:rFonts w:ascii="Calibri" w:hAnsi="Calibri" w:cs="Calibri"/>
                <w:color w:val="000000" w:themeColor="text1"/>
                <w:sz w:val="13"/>
                <w:szCs w:val="13"/>
              </w:rPr>
            </w:pPr>
            <m:oMathPara>
              <m:oMath>
                <m:r>
                  <w:rPr>
                    <w:rFonts w:ascii="Cambria Math" w:hAnsi="Cambria Math" w:cs="Calibri"/>
                    <w:color w:val="000000" w:themeColor="text1"/>
                    <w:sz w:val="11"/>
                    <w:szCs w:val="11"/>
                  </w:rPr>
                  <m:t>FVT=</m:t>
                </m:r>
                <m:f>
                  <m:fPr>
                    <m:ctrlPr>
                      <w:rPr>
                        <w:rFonts w:ascii="Cambria Math" w:hAnsi="Cambria Math" w:cs="Calibri"/>
                        <w:color w:val="000000" w:themeColor="text1"/>
                        <w:sz w:val="11"/>
                        <w:szCs w:val="11"/>
                      </w:rPr>
                    </m:ctrlPr>
                  </m:fPr>
                  <m:num>
                    <m:r>
                      <w:rPr>
                        <w:rFonts w:ascii="Cambria Math" w:hAnsi="Cambria Math" w:cs="Calibri"/>
                        <w:color w:val="000000" w:themeColor="text1"/>
                        <w:sz w:val="11"/>
                        <w:szCs w:val="11"/>
                      </w:rPr>
                      <m:t>FEN+FANC+VT</m:t>
                    </m:r>
                    <m:ctrlPr>
                      <w:rPr>
                        <w:rFonts w:ascii="Cambria Math" w:hAnsi="Cambria Math" w:cs="Calibri"/>
                        <w:i/>
                        <w:color w:val="000000" w:themeColor="text1"/>
                        <w:sz w:val="11"/>
                        <w:szCs w:val="11"/>
                      </w:rPr>
                    </m:ctrlPr>
                  </m:num>
                  <m:den>
                    <m:r>
                      <w:rPr>
                        <w:rFonts w:ascii="Cambria Math" w:hAnsi="Cambria Math" w:cs="Calibri"/>
                        <w:color w:val="000000" w:themeColor="text1"/>
                        <w:sz w:val="11"/>
                        <w:szCs w:val="11"/>
                      </w:rPr>
                      <m:t>3</m:t>
                    </m:r>
                    <m:ctrlPr>
                      <w:rPr>
                        <w:rFonts w:ascii="Cambria Math" w:hAnsi="Cambria Math" w:cs="Calibri"/>
                        <w:i/>
                        <w:color w:val="000000" w:themeColor="text1"/>
                        <w:sz w:val="11"/>
                        <w:szCs w:val="11"/>
                      </w:rPr>
                    </m:ctrlPr>
                  </m:den>
                </m:f>
                <m:r>
                  <w:rPr>
                    <w:rFonts w:ascii="Cambria Math" w:hAnsi="Cambria Math" w:cs="Calibri"/>
                    <w:color w:val="000000" w:themeColor="text1"/>
                    <w:sz w:val="11"/>
                    <w:szCs w:val="11"/>
                  </w:rPr>
                  <m:t xml:space="preserve"> ​</m:t>
                </m:r>
                <m:d>
                  <m:dPr>
                    <m:ctrlPr>
                      <w:rPr>
                        <w:rFonts w:ascii="Cambria Math" w:hAnsi="Cambria Math" w:cs="Calibri"/>
                        <w:i/>
                        <w:color w:val="000000" w:themeColor="text1"/>
                        <w:sz w:val="11"/>
                        <w:szCs w:val="11"/>
                      </w:rPr>
                    </m:ctrlPr>
                  </m:dPr>
                  <m:e>
                    <m:r>
                      <w:rPr>
                        <w:rFonts w:ascii="Cambria Math" w:hAnsi="Cambria Math" w:cs="Calibri"/>
                        <w:color w:val="000000" w:themeColor="text1"/>
                        <w:sz w:val="11"/>
                        <w:szCs w:val="11"/>
                      </w:rPr>
                      <m:t>normalizado</m:t>
                    </m:r>
                  </m:e>
                </m:d>
              </m:oMath>
            </m:oMathPara>
          </w:p>
        </w:tc>
        <w:tc>
          <w:tcPr>
            <w:tcW w:w="2312" w:type="dxa"/>
            <w:hideMark/>
          </w:tcPr>
          <w:p w14:paraId="1C8D0751"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Influenciado por CAMO y PNT</w:t>
            </w:r>
          </w:p>
        </w:tc>
      </w:tr>
      <w:tr w:rsidR="00B2451E" w:rsidRPr="005843B6" w14:paraId="584B5269" w14:textId="77777777" w:rsidTr="006C308F">
        <w:tc>
          <w:tcPr>
            <w:tcW w:w="0" w:type="auto"/>
            <w:hideMark/>
          </w:tcPr>
          <w:p w14:paraId="67EC8969" w14:textId="77777777" w:rsidR="00B2451E" w:rsidRPr="005843B6" w:rsidRDefault="00B2451E" w:rsidP="006C308F">
            <w:pPr>
              <w:rPr>
                <w:rFonts w:ascii="Calibri" w:hAnsi="Calibri" w:cs="Calibri"/>
                <w:b/>
                <w:bCs/>
                <w:color w:val="000000" w:themeColor="text1"/>
                <w:sz w:val="13"/>
                <w:szCs w:val="13"/>
              </w:rPr>
            </w:pPr>
            <w:r w:rsidRPr="005843B6">
              <w:rPr>
                <w:rFonts w:ascii="Calibri" w:hAnsi="Calibri" w:cs="Calibri"/>
                <w:b/>
                <w:bCs/>
                <w:color w:val="000000" w:themeColor="text1"/>
                <w:sz w:val="13"/>
                <w:szCs w:val="13"/>
              </w:rPr>
              <w:t>PF</w:t>
            </w:r>
          </w:p>
        </w:tc>
        <w:tc>
          <w:tcPr>
            <w:tcW w:w="2663" w:type="dxa"/>
            <w:hideMark/>
          </w:tcPr>
          <w:p w14:paraId="78607881"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Prioridad/riesgo del elemento</w:t>
            </w:r>
          </w:p>
        </w:tc>
        <w:tc>
          <w:tcPr>
            <w:tcW w:w="3119" w:type="dxa"/>
            <w:hideMark/>
          </w:tcPr>
          <w:p w14:paraId="27FBD444" w14:textId="77777777" w:rsidR="00B2451E" w:rsidRPr="005843B6" w:rsidRDefault="00B2451E" w:rsidP="006C308F">
            <w:pPr>
              <w:rPr>
                <w:rFonts w:ascii="Calibri" w:hAnsi="Calibri" w:cs="Calibri"/>
                <w:color w:val="000000" w:themeColor="text1"/>
                <w:sz w:val="13"/>
                <w:szCs w:val="13"/>
              </w:rPr>
            </w:pPr>
            <m:oMathPara>
              <m:oMath>
                <m:r>
                  <w:rPr>
                    <w:rFonts w:ascii="Cambria Math" w:hAnsi="Cambria Math" w:cs="Calibri"/>
                    <w:color w:val="000000" w:themeColor="text1"/>
                    <w:sz w:val="13"/>
                    <w:szCs w:val="13"/>
                  </w:rPr>
                  <m:t xml:space="preserve">PF = IB </m:t>
                </m:r>
                <m:r>
                  <m:rPr>
                    <m:sty m:val="p"/>
                  </m:rPr>
                  <w:rPr>
                    <w:rFonts w:ascii="Cambria Math" w:hAnsi="Cambria Math" w:cs="Calibri"/>
                    <w:color w:val="000000" w:themeColor="text1"/>
                    <w:sz w:val="13"/>
                    <w:szCs w:val="13"/>
                  </w:rPr>
                  <m:t>⋅</m:t>
                </m:r>
                <m:r>
                  <w:rPr>
                    <w:rFonts w:ascii="Cambria Math" w:hAnsi="Cambria Math" w:cs="Calibri"/>
                    <w:color w:val="000000" w:themeColor="text1"/>
                    <w:sz w:val="13"/>
                    <w:szCs w:val="13"/>
                  </w:rPr>
                  <m:t>FVT</m:t>
                </m:r>
              </m:oMath>
            </m:oMathPara>
          </w:p>
        </w:tc>
        <w:tc>
          <w:tcPr>
            <w:tcW w:w="2312" w:type="dxa"/>
            <w:hideMark/>
          </w:tcPr>
          <w:p w14:paraId="030B01A9"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Contribuye al PNT (0.1)</w:t>
            </w:r>
          </w:p>
        </w:tc>
      </w:tr>
      <w:tr w:rsidR="00B2451E" w:rsidRPr="005843B6" w14:paraId="08827782" w14:textId="77777777" w:rsidTr="006C308F">
        <w:trPr>
          <w:cnfStyle w:val="000000100000" w:firstRow="0" w:lastRow="0" w:firstColumn="0" w:lastColumn="0" w:oddVBand="0" w:evenVBand="0" w:oddHBand="1" w:evenHBand="0" w:firstRowFirstColumn="0" w:firstRowLastColumn="0" w:lastRowFirstColumn="0" w:lastRowLastColumn="0"/>
        </w:trPr>
        <w:tc>
          <w:tcPr>
            <w:tcW w:w="0" w:type="auto"/>
            <w:hideMark/>
          </w:tcPr>
          <w:p w14:paraId="5CA571D1" w14:textId="77777777" w:rsidR="00B2451E" w:rsidRPr="005843B6" w:rsidRDefault="00B2451E" w:rsidP="006C308F">
            <w:pPr>
              <w:rPr>
                <w:rFonts w:ascii="Calibri" w:hAnsi="Calibri" w:cs="Calibri"/>
                <w:b/>
                <w:bCs/>
                <w:color w:val="000000" w:themeColor="text1"/>
                <w:sz w:val="13"/>
                <w:szCs w:val="13"/>
              </w:rPr>
            </w:pPr>
            <w:r w:rsidRPr="005843B6">
              <w:rPr>
                <w:rFonts w:ascii="Calibri" w:hAnsi="Calibri" w:cs="Calibri"/>
                <w:b/>
                <w:bCs/>
                <w:color w:val="000000" w:themeColor="text1"/>
                <w:sz w:val="13"/>
                <w:szCs w:val="13"/>
              </w:rPr>
              <w:t>IRMD</w:t>
            </w:r>
          </w:p>
        </w:tc>
        <w:tc>
          <w:tcPr>
            <w:tcW w:w="2663" w:type="dxa"/>
            <w:hideMark/>
          </w:tcPr>
          <w:p w14:paraId="520C5071"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Impacto en el modelo de conflicto</w:t>
            </w:r>
          </w:p>
        </w:tc>
        <w:tc>
          <w:tcPr>
            <w:tcW w:w="3119" w:type="dxa"/>
            <w:hideMark/>
          </w:tcPr>
          <w:p w14:paraId="3D76E002"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Basado en PF: Alto (&gt;0.5), Medio (0.3-0.5), Bajo (&lt;0.3)</w:t>
            </w:r>
          </w:p>
        </w:tc>
        <w:tc>
          <w:tcPr>
            <w:tcW w:w="2312" w:type="dxa"/>
            <w:hideMark/>
          </w:tcPr>
          <w:p w14:paraId="147C8838" w14:textId="77777777" w:rsidR="00B2451E" w:rsidRPr="005843B6" w:rsidRDefault="00B2451E" w:rsidP="006C308F">
            <w:pPr>
              <w:rPr>
                <w:rFonts w:ascii="Calibri" w:hAnsi="Calibri" w:cs="Calibri"/>
                <w:color w:val="000000" w:themeColor="text1"/>
                <w:sz w:val="13"/>
                <w:szCs w:val="13"/>
              </w:rPr>
            </w:pPr>
            <w:r w:rsidRPr="005843B6">
              <w:rPr>
                <w:rFonts w:ascii="Calibri" w:hAnsi="Calibri" w:cs="Calibri"/>
                <w:color w:val="000000" w:themeColor="text1"/>
                <w:sz w:val="13"/>
                <w:szCs w:val="13"/>
              </w:rPr>
              <w:t>Relacionado con PNT</w:t>
            </w:r>
          </w:p>
        </w:tc>
      </w:tr>
    </w:tbl>
    <w:p w14:paraId="102F5B52" w14:textId="77777777" w:rsidR="00B2451E" w:rsidRPr="005843B6" w:rsidRDefault="00300068" w:rsidP="00B2451E">
      <w:pPr>
        <w:rPr>
          <w:rFonts w:ascii="Calibri" w:hAnsi="Calibri" w:cs="Calibri"/>
          <w:color w:val="000000" w:themeColor="text1"/>
          <w:sz w:val="16"/>
          <w:szCs w:val="16"/>
        </w:rPr>
      </w:pPr>
      <w:r w:rsidRPr="00300068">
        <w:rPr>
          <w:rFonts w:ascii="Calibri" w:hAnsi="Calibri" w:cs="Calibri"/>
          <w:noProof/>
          <w:color w:val="000000" w:themeColor="text1"/>
          <w:sz w:val="16"/>
          <w:szCs w:val="16"/>
          <w14:ligatures w14:val="standardContextual"/>
        </w:rPr>
        <w:pict w14:anchorId="2E583610">
          <v:rect id="_x0000_i1027" alt="" style="width:441.9pt;height:.05pt;mso-width-percent:0;mso-height-percent:0;mso-width-percent:0;mso-height-percent:0" o:hralign="center" o:hrstd="t" o:hr="t" fillcolor="#a0a0a0" stroked="f"/>
        </w:pict>
      </w:r>
    </w:p>
    <w:p w14:paraId="03CF08E6" w14:textId="77777777" w:rsidR="00B2451E" w:rsidRDefault="00B2451E" w:rsidP="00B2451E">
      <w:pPr>
        <w:pStyle w:val="Ttulo3"/>
        <w:spacing w:before="0" w:after="0"/>
        <w:rPr>
          <w:rFonts w:cs="Calibri"/>
          <w:color w:val="000000" w:themeColor="text1"/>
          <w:sz w:val="16"/>
          <w:szCs w:val="16"/>
        </w:rPr>
      </w:pPr>
    </w:p>
    <w:p w14:paraId="38950432" w14:textId="77777777" w:rsidR="00B2451E" w:rsidRDefault="00B2451E" w:rsidP="00B2451E">
      <w:pPr>
        <w:pStyle w:val="TtulosVariable"/>
      </w:pPr>
      <w:r w:rsidRPr="005843B6">
        <w:t>Bibliografía</w:t>
      </w:r>
    </w:p>
    <w:p w14:paraId="1000E188" w14:textId="77777777" w:rsidR="0072515A" w:rsidRPr="005843B6" w:rsidRDefault="0072515A" w:rsidP="00B2451E">
      <w:pPr>
        <w:pStyle w:val="TtulosVariable"/>
      </w:pPr>
    </w:p>
    <w:p w14:paraId="0DEDF917" w14:textId="5C78DABC" w:rsidR="0072515A" w:rsidRPr="0072515A" w:rsidRDefault="0072515A" w:rsidP="0072515A">
      <w:pPr>
        <w:pStyle w:val="Prrafodelista"/>
        <w:numPr>
          <w:ilvl w:val="0"/>
          <w:numId w:val="19"/>
        </w:numPr>
        <w:rPr>
          <w:rFonts w:ascii="Calibri" w:hAnsi="Calibri" w:cs="Calibri"/>
          <w:sz w:val="16"/>
          <w:szCs w:val="16"/>
        </w:rPr>
      </w:pPr>
      <w:hyperlink r:id="rId34" w:tgtFrame="_blank" w:history="1">
        <w:r w:rsidRPr="0072515A">
          <w:rPr>
            <w:rStyle w:val="Hipervnculo"/>
            <w:rFonts w:ascii="Calibri" w:eastAsiaTheme="majorEastAsia" w:hAnsi="Calibri" w:cs="Calibri"/>
            <w:b/>
            <w:bCs/>
            <w:sz w:val="16"/>
            <w:szCs w:val="16"/>
          </w:rPr>
          <w:t>Agencia de Seguridad de Infraestructura y Ciberseguridad de EE.UU. (CISA)</w:t>
        </w:r>
      </w:hyperlink>
      <w:r w:rsidRPr="0072515A">
        <w:rPr>
          <w:rFonts w:ascii="Calibri" w:hAnsi="Calibri" w:cs="Calibri"/>
          <w:sz w:val="16"/>
          <w:szCs w:val="16"/>
        </w:rPr>
        <w:t xml:space="preserve">: Recursos sobre sectores de infraestructura crítica y vulnerabilidades tecnológicas. </w:t>
      </w:r>
    </w:p>
    <w:p w14:paraId="7D799C07" w14:textId="49E93B46" w:rsidR="0072515A" w:rsidRPr="0072515A" w:rsidRDefault="0072515A" w:rsidP="0072515A">
      <w:pPr>
        <w:pStyle w:val="Prrafodelista"/>
        <w:numPr>
          <w:ilvl w:val="0"/>
          <w:numId w:val="19"/>
        </w:numPr>
        <w:rPr>
          <w:rFonts w:ascii="Calibri" w:hAnsi="Calibri" w:cs="Calibri"/>
          <w:sz w:val="16"/>
          <w:szCs w:val="16"/>
        </w:rPr>
      </w:pPr>
      <w:hyperlink r:id="rId35" w:tgtFrame="_blank" w:history="1">
        <w:proofErr w:type="spellStart"/>
        <w:r w:rsidRPr="0072515A">
          <w:rPr>
            <w:rStyle w:val="Hipervnculo"/>
            <w:rFonts w:ascii="Calibri" w:eastAsiaTheme="majorEastAsia" w:hAnsi="Calibri" w:cs="Calibri"/>
            <w:b/>
            <w:bCs/>
            <w:sz w:val="16"/>
            <w:szCs w:val="16"/>
          </w:rPr>
          <w:t>Bündnis</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Entwicklung</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Hilft</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WorldRiskReport</w:t>
        </w:r>
        <w:proofErr w:type="spellEnd"/>
      </w:hyperlink>
      <w:r w:rsidRPr="0072515A">
        <w:rPr>
          <w:rFonts w:ascii="Calibri" w:hAnsi="Calibri" w:cs="Calibri"/>
          <w:sz w:val="16"/>
          <w:szCs w:val="16"/>
        </w:rPr>
        <w:t xml:space="preserve">: Índices de riesgo por desastres naturales para clasificar la fragilidad de elementos. </w:t>
      </w:r>
    </w:p>
    <w:p w14:paraId="3D63ACFB" w14:textId="30D7FE29" w:rsidR="0072515A" w:rsidRPr="0072515A" w:rsidRDefault="0072515A" w:rsidP="0072515A">
      <w:pPr>
        <w:pStyle w:val="Prrafodelista"/>
        <w:numPr>
          <w:ilvl w:val="0"/>
          <w:numId w:val="19"/>
        </w:numPr>
        <w:rPr>
          <w:rFonts w:ascii="Calibri" w:hAnsi="Calibri" w:cs="Calibri"/>
          <w:sz w:val="16"/>
          <w:szCs w:val="16"/>
        </w:rPr>
      </w:pPr>
      <w:hyperlink r:id="rId36" w:tgtFrame="_blank" w:history="1">
        <w:r w:rsidRPr="0072515A">
          <w:rPr>
            <w:rStyle w:val="Hipervnculo"/>
            <w:rFonts w:ascii="Calibri" w:eastAsiaTheme="majorEastAsia" w:hAnsi="Calibri" w:cs="Calibri"/>
            <w:b/>
            <w:bCs/>
            <w:sz w:val="16"/>
            <w:szCs w:val="16"/>
          </w:rPr>
          <w:t>Centro Común de Investigación (JRC), Comisión Europea</w:t>
        </w:r>
      </w:hyperlink>
      <w:r w:rsidRPr="0072515A">
        <w:rPr>
          <w:rFonts w:ascii="Calibri" w:hAnsi="Calibri" w:cs="Calibri"/>
          <w:sz w:val="16"/>
          <w:szCs w:val="16"/>
        </w:rPr>
        <w:t xml:space="preserve">: Índices de riesgo de conflicto para contextualizar el IRMD. </w:t>
      </w:r>
    </w:p>
    <w:p w14:paraId="33EFFD83" w14:textId="71D9EE75" w:rsidR="0072515A" w:rsidRPr="0072515A" w:rsidRDefault="0072515A" w:rsidP="0072515A">
      <w:pPr>
        <w:pStyle w:val="Prrafodelista"/>
        <w:numPr>
          <w:ilvl w:val="0"/>
          <w:numId w:val="19"/>
        </w:numPr>
        <w:rPr>
          <w:rFonts w:ascii="Calibri" w:hAnsi="Calibri" w:cs="Calibri"/>
          <w:sz w:val="16"/>
          <w:szCs w:val="16"/>
        </w:rPr>
      </w:pPr>
      <w:hyperlink r:id="rId37" w:tgtFrame="_blank" w:history="1">
        <w:r w:rsidRPr="0072515A">
          <w:rPr>
            <w:rStyle w:val="Hipervnculo"/>
            <w:rFonts w:ascii="Calibri" w:eastAsiaTheme="majorEastAsia" w:hAnsi="Calibri" w:cs="Calibri"/>
            <w:b/>
            <w:bCs/>
            <w:sz w:val="16"/>
            <w:szCs w:val="16"/>
          </w:rPr>
          <w:t xml:space="preserve">Consorcio Nacional para el Estudio del Terrorismo y Respuestas al Terrorismo (START): Global </w:t>
        </w:r>
        <w:proofErr w:type="spellStart"/>
        <w:r w:rsidRPr="0072515A">
          <w:rPr>
            <w:rStyle w:val="Hipervnculo"/>
            <w:rFonts w:ascii="Calibri" w:eastAsiaTheme="majorEastAsia" w:hAnsi="Calibri" w:cs="Calibri"/>
            <w:b/>
            <w:bCs/>
            <w:sz w:val="16"/>
            <w:szCs w:val="16"/>
          </w:rPr>
          <w:t>Terrorism</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Database</w:t>
        </w:r>
        <w:proofErr w:type="spellEnd"/>
        <w:r w:rsidRPr="0072515A">
          <w:rPr>
            <w:rStyle w:val="Hipervnculo"/>
            <w:rFonts w:ascii="Calibri" w:eastAsiaTheme="majorEastAsia" w:hAnsi="Calibri" w:cs="Calibri"/>
            <w:b/>
            <w:bCs/>
            <w:sz w:val="16"/>
            <w:szCs w:val="16"/>
          </w:rPr>
          <w:t xml:space="preserve"> (GTD)</w:t>
        </w:r>
      </w:hyperlink>
      <w:r w:rsidRPr="0072515A">
        <w:rPr>
          <w:rFonts w:ascii="Calibri" w:hAnsi="Calibri" w:cs="Calibri"/>
          <w:sz w:val="16"/>
          <w:szCs w:val="16"/>
        </w:rPr>
        <w:t xml:space="preserve">: Datos históricos sobre ataques terroristas y sabotajes para evaluar FANC. </w:t>
      </w:r>
    </w:p>
    <w:p w14:paraId="18DD6CC0" w14:textId="3E24EDA7" w:rsidR="0072515A" w:rsidRPr="0072515A" w:rsidRDefault="0072515A" w:rsidP="0072515A">
      <w:pPr>
        <w:pStyle w:val="Prrafodelista"/>
        <w:numPr>
          <w:ilvl w:val="0"/>
          <w:numId w:val="19"/>
        </w:numPr>
        <w:rPr>
          <w:rFonts w:ascii="Calibri" w:hAnsi="Calibri" w:cs="Calibri"/>
          <w:sz w:val="16"/>
          <w:szCs w:val="16"/>
        </w:rPr>
      </w:pPr>
      <w:hyperlink r:id="rId38" w:tgtFrame="_blank" w:history="1">
        <w:r w:rsidRPr="0072515A">
          <w:rPr>
            <w:rStyle w:val="Hipervnculo"/>
            <w:rFonts w:ascii="Calibri" w:eastAsiaTheme="majorEastAsia" w:hAnsi="Calibri" w:cs="Calibri"/>
            <w:b/>
            <w:bCs/>
            <w:sz w:val="16"/>
            <w:szCs w:val="16"/>
          </w:rPr>
          <w:t xml:space="preserve">CSIS: </w:t>
        </w:r>
        <w:proofErr w:type="spellStart"/>
        <w:r w:rsidRPr="0072515A">
          <w:rPr>
            <w:rStyle w:val="Hipervnculo"/>
            <w:rFonts w:ascii="Calibri" w:eastAsiaTheme="majorEastAsia" w:hAnsi="Calibri" w:cs="Calibri"/>
            <w:b/>
            <w:bCs/>
            <w:sz w:val="16"/>
            <w:szCs w:val="16"/>
          </w:rPr>
          <w:t>Significant</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Cyber</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Incidents</w:t>
        </w:r>
        <w:proofErr w:type="spellEnd"/>
      </w:hyperlink>
      <w:r w:rsidRPr="0072515A">
        <w:rPr>
          <w:rFonts w:ascii="Calibri" w:hAnsi="Calibri" w:cs="Calibri"/>
          <w:sz w:val="16"/>
          <w:szCs w:val="16"/>
        </w:rPr>
        <w:t xml:space="preserve">: Análisis de conflictos asimétricos y ciberataques para priorizar elementos vulnerables. </w:t>
      </w:r>
    </w:p>
    <w:p w14:paraId="01A1B348" w14:textId="08D9264B" w:rsidR="0072515A" w:rsidRPr="0072515A" w:rsidRDefault="0072515A" w:rsidP="0072515A">
      <w:pPr>
        <w:pStyle w:val="Prrafodelista"/>
        <w:numPr>
          <w:ilvl w:val="0"/>
          <w:numId w:val="19"/>
        </w:numPr>
        <w:rPr>
          <w:rFonts w:ascii="Calibri" w:hAnsi="Calibri" w:cs="Calibri"/>
          <w:sz w:val="16"/>
          <w:szCs w:val="16"/>
        </w:rPr>
      </w:pPr>
      <w:hyperlink r:id="rId39" w:tgtFrame="_blank" w:history="1">
        <w:r w:rsidRPr="0072515A">
          <w:rPr>
            <w:rStyle w:val="Hipervnculo"/>
            <w:rFonts w:ascii="Calibri" w:eastAsiaTheme="majorEastAsia" w:hAnsi="Calibri" w:cs="Calibri"/>
            <w:b/>
            <w:bCs/>
            <w:sz w:val="16"/>
            <w:szCs w:val="16"/>
          </w:rPr>
          <w:t>Departamento de Seguridad Nacional de EE.UU. (DHS)</w:t>
        </w:r>
      </w:hyperlink>
      <w:r w:rsidRPr="0072515A">
        <w:rPr>
          <w:rFonts w:ascii="Calibri" w:hAnsi="Calibri" w:cs="Calibri"/>
          <w:sz w:val="16"/>
          <w:szCs w:val="16"/>
        </w:rPr>
        <w:t xml:space="preserve">: Guías para evaluar vulnerabilidades combinadas de infraestructura crítica. </w:t>
      </w:r>
    </w:p>
    <w:p w14:paraId="3367871B" w14:textId="18F54A93" w:rsidR="0072515A" w:rsidRPr="0072515A" w:rsidRDefault="0072515A" w:rsidP="0072515A">
      <w:pPr>
        <w:pStyle w:val="Prrafodelista"/>
        <w:numPr>
          <w:ilvl w:val="0"/>
          <w:numId w:val="19"/>
        </w:numPr>
        <w:rPr>
          <w:rFonts w:ascii="Calibri" w:hAnsi="Calibri" w:cs="Calibri"/>
          <w:sz w:val="16"/>
          <w:szCs w:val="16"/>
        </w:rPr>
      </w:pPr>
      <w:hyperlink r:id="rId40" w:tgtFrame="_blank" w:history="1">
        <w:r w:rsidRPr="0072515A">
          <w:rPr>
            <w:rStyle w:val="Hipervnculo"/>
            <w:rFonts w:ascii="Calibri" w:eastAsiaTheme="majorEastAsia" w:hAnsi="Calibri" w:cs="Calibri"/>
            <w:b/>
            <w:bCs/>
            <w:sz w:val="16"/>
            <w:szCs w:val="16"/>
          </w:rPr>
          <w:t xml:space="preserve">ENISA </w:t>
        </w:r>
        <w:proofErr w:type="spellStart"/>
        <w:r w:rsidRPr="0072515A">
          <w:rPr>
            <w:rStyle w:val="Hipervnculo"/>
            <w:rFonts w:ascii="Calibri" w:eastAsiaTheme="majorEastAsia" w:hAnsi="Calibri" w:cs="Calibri"/>
            <w:b/>
            <w:bCs/>
            <w:sz w:val="16"/>
            <w:szCs w:val="16"/>
          </w:rPr>
          <w:t>Threat</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Landscape</w:t>
        </w:r>
        <w:proofErr w:type="spellEnd"/>
        <w:r w:rsidRPr="0072515A">
          <w:rPr>
            <w:rStyle w:val="Hipervnculo"/>
            <w:rFonts w:ascii="Calibri" w:eastAsiaTheme="majorEastAsia" w:hAnsi="Calibri" w:cs="Calibri"/>
            <w:b/>
            <w:bCs/>
            <w:sz w:val="16"/>
            <w:szCs w:val="16"/>
          </w:rPr>
          <w:t xml:space="preserve"> 2023</w:t>
        </w:r>
      </w:hyperlink>
      <w:r w:rsidRPr="0072515A">
        <w:rPr>
          <w:rFonts w:ascii="Calibri" w:hAnsi="Calibri" w:cs="Calibri"/>
          <w:sz w:val="16"/>
          <w:szCs w:val="16"/>
        </w:rPr>
        <w:t xml:space="preserve">: Informes sobre ciberataques a sistemas SCADA y otras infraestructuras tecnológicas. </w:t>
      </w:r>
    </w:p>
    <w:p w14:paraId="25B6E842" w14:textId="0C8674B1" w:rsidR="0072515A" w:rsidRPr="0072515A" w:rsidRDefault="0072515A" w:rsidP="0072515A">
      <w:pPr>
        <w:pStyle w:val="Prrafodelista"/>
        <w:numPr>
          <w:ilvl w:val="0"/>
          <w:numId w:val="19"/>
        </w:numPr>
        <w:rPr>
          <w:rFonts w:ascii="Calibri" w:hAnsi="Calibri" w:cs="Calibri"/>
          <w:sz w:val="16"/>
          <w:szCs w:val="16"/>
        </w:rPr>
      </w:pPr>
      <w:hyperlink r:id="rId41" w:tgtFrame="_blank" w:history="1">
        <w:r w:rsidRPr="0072515A">
          <w:rPr>
            <w:rStyle w:val="Hipervnculo"/>
            <w:rFonts w:ascii="Calibri" w:eastAsiaTheme="majorEastAsia" w:hAnsi="Calibri" w:cs="Calibri"/>
            <w:b/>
            <w:bCs/>
            <w:sz w:val="16"/>
            <w:szCs w:val="16"/>
          </w:rPr>
          <w:t xml:space="preserve">Global </w:t>
        </w:r>
        <w:proofErr w:type="spellStart"/>
        <w:r w:rsidRPr="0072515A">
          <w:rPr>
            <w:rStyle w:val="Hipervnculo"/>
            <w:rFonts w:ascii="Calibri" w:eastAsiaTheme="majorEastAsia" w:hAnsi="Calibri" w:cs="Calibri"/>
            <w:b/>
            <w:bCs/>
            <w:sz w:val="16"/>
            <w:szCs w:val="16"/>
          </w:rPr>
          <w:t>Firepower</w:t>
        </w:r>
        <w:proofErr w:type="spellEnd"/>
        <w:r w:rsidRPr="0072515A">
          <w:rPr>
            <w:rStyle w:val="Hipervnculo"/>
            <w:rFonts w:ascii="Calibri" w:eastAsiaTheme="majorEastAsia" w:hAnsi="Calibri" w:cs="Calibri"/>
            <w:b/>
            <w:bCs/>
            <w:sz w:val="16"/>
            <w:szCs w:val="16"/>
          </w:rPr>
          <w:t xml:space="preserve">: Global </w:t>
        </w:r>
        <w:proofErr w:type="spellStart"/>
        <w:r w:rsidRPr="0072515A">
          <w:rPr>
            <w:rStyle w:val="Hipervnculo"/>
            <w:rFonts w:ascii="Calibri" w:eastAsiaTheme="majorEastAsia" w:hAnsi="Calibri" w:cs="Calibri"/>
            <w:b/>
            <w:bCs/>
            <w:sz w:val="16"/>
            <w:szCs w:val="16"/>
          </w:rPr>
          <w:t>Power</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Index</w:t>
        </w:r>
        <w:proofErr w:type="spellEnd"/>
      </w:hyperlink>
      <w:r w:rsidRPr="0072515A">
        <w:rPr>
          <w:rFonts w:ascii="Calibri" w:hAnsi="Calibri" w:cs="Calibri"/>
          <w:sz w:val="16"/>
          <w:szCs w:val="16"/>
        </w:rPr>
        <w:t xml:space="preserve">: Métricas sobre el poder nacional para respaldar la ponderación de PNT. </w:t>
      </w:r>
    </w:p>
    <w:p w14:paraId="74F8FBF6" w14:textId="6780FE40" w:rsidR="0072515A" w:rsidRPr="0072515A" w:rsidRDefault="0072515A" w:rsidP="0072515A">
      <w:pPr>
        <w:pStyle w:val="Prrafodelista"/>
        <w:numPr>
          <w:ilvl w:val="0"/>
          <w:numId w:val="19"/>
        </w:numPr>
        <w:rPr>
          <w:rFonts w:ascii="Calibri" w:hAnsi="Calibri" w:cs="Calibri"/>
          <w:sz w:val="16"/>
          <w:szCs w:val="16"/>
        </w:rPr>
      </w:pPr>
      <w:hyperlink r:id="rId42" w:tgtFrame="_blank" w:history="1">
        <w:r w:rsidRPr="0072515A">
          <w:rPr>
            <w:rStyle w:val="Hipervnculo"/>
            <w:rFonts w:ascii="Calibri" w:eastAsiaTheme="majorEastAsia" w:hAnsi="Calibri" w:cs="Calibri"/>
            <w:b/>
            <w:bCs/>
            <w:sz w:val="16"/>
            <w:szCs w:val="16"/>
          </w:rPr>
          <w:t xml:space="preserve">Global </w:t>
        </w:r>
        <w:proofErr w:type="spellStart"/>
        <w:r w:rsidRPr="0072515A">
          <w:rPr>
            <w:rStyle w:val="Hipervnculo"/>
            <w:rFonts w:ascii="Calibri" w:eastAsiaTheme="majorEastAsia" w:hAnsi="Calibri" w:cs="Calibri"/>
            <w:b/>
            <w:bCs/>
            <w:sz w:val="16"/>
            <w:szCs w:val="16"/>
          </w:rPr>
          <w:t>Infrastructure</w:t>
        </w:r>
        <w:proofErr w:type="spellEnd"/>
        <w:r w:rsidRPr="0072515A">
          <w:rPr>
            <w:rStyle w:val="Hipervnculo"/>
            <w:rFonts w:ascii="Calibri" w:eastAsiaTheme="majorEastAsia" w:hAnsi="Calibri" w:cs="Calibri"/>
            <w:b/>
            <w:bCs/>
            <w:sz w:val="16"/>
            <w:szCs w:val="16"/>
          </w:rPr>
          <w:t xml:space="preserve"> Hub (GIH)</w:t>
        </w:r>
      </w:hyperlink>
      <w:r w:rsidRPr="0072515A">
        <w:rPr>
          <w:rFonts w:ascii="Calibri" w:hAnsi="Calibri" w:cs="Calibri"/>
          <w:sz w:val="16"/>
          <w:szCs w:val="16"/>
        </w:rPr>
        <w:t xml:space="preserve">: Datos sobre la importancia económica de la infraestructura para calcular IB. </w:t>
      </w:r>
    </w:p>
    <w:p w14:paraId="0EE6F59B" w14:textId="04293135" w:rsidR="0072515A" w:rsidRPr="0072515A" w:rsidRDefault="0072515A" w:rsidP="0072515A">
      <w:pPr>
        <w:pStyle w:val="Prrafodelista"/>
        <w:numPr>
          <w:ilvl w:val="0"/>
          <w:numId w:val="19"/>
        </w:numPr>
        <w:rPr>
          <w:rFonts w:ascii="Calibri" w:hAnsi="Calibri" w:cs="Calibri"/>
          <w:sz w:val="16"/>
          <w:szCs w:val="16"/>
        </w:rPr>
      </w:pPr>
      <w:hyperlink r:id="rId43" w:tgtFrame="_blank" w:history="1">
        <w:r w:rsidRPr="0072515A">
          <w:rPr>
            <w:rStyle w:val="Hipervnculo"/>
            <w:rFonts w:ascii="Calibri" w:eastAsiaTheme="majorEastAsia" w:hAnsi="Calibri" w:cs="Calibri"/>
            <w:b/>
            <w:bCs/>
            <w:sz w:val="16"/>
            <w:szCs w:val="16"/>
          </w:rPr>
          <w:t>Instituto Internacional de Estudios Estratégicos (IISS)</w:t>
        </w:r>
      </w:hyperlink>
      <w:r w:rsidRPr="0072515A">
        <w:rPr>
          <w:rFonts w:ascii="Calibri" w:hAnsi="Calibri" w:cs="Calibri"/>
          <w:sz w:val="16"/>
          <w:szCs w:val="16"/>
        </w:rPr>
        <w:t xml:space="preserve">: Datos sobre capacidades militares para justificar la ponderación de CAMO. </w:t>
      </w:r>
    </w:p>
    <w:p w14:paraId="4D690676" w14:textId="589E3D6D" w:rsidR="0072515A" w:rsidRPr="0072515A" w:rsidRDefault="0072515A" w:rsidP="0072515A">
      <w:pPr>
        <w:pStyle w:val="Prrafodelista"/>
        <w:numPr>
          <w:ilvl w:val="0"/>
          <w:numId w:val="19"/>
        </w:numPr>
        <w:rPr>
          <w:rFonts w:ascii="Calibri" w:hAnsi="Calibri" w:cs="Calibri"/>
          <w:sz w:val="16"/>
          <w:szCs w:val="16"/>
        </w:rPr>
      </w:pPr>
      <w:hyperlink r:id="rId44" w:tgtFrame="_blank" w:history="1">
        <w:r w:rsidRPr="0072515A">
          <w:rPr>
            <w:rStyle w:val="Hipervnculo"/>
            <w:rFonts w:ascii="Calibri" w:eastAsiaTheme="majorEastAsia" w:hAnsi="Calibri" w:cs="Calibri"/>
            <w:b/>
            <w:bCs/>
            <w:sz w:val="16"/>
            <w:szCs w:val="16"/>
          </w:rPr>
          <w:t xml:space="preserve">Instituto Nacional de Estándares y Tecnología (NIST): </w:t>
        </w:r>
        <w:proofErr w:type="spellStart"/>
        <w:r w:rsidRPr="0072515A">
          <w:rPr>
            <w:rStyle w:val="Hipervnculo"/>
            <w:rFonts w:ascii="Calibri" w:eastAsiaTheme="majorEastAsia" w:hAnsi="Calibri" w:cs="Calibri"/>
            <w:b/>
            <w:bCs/>
            <w:sz w:val="16"/>
            <w:szCs w:val="16"/>
          </w:rPr>
          <w:t>Risk</w:t>
        </w:r>
        <w:proofErr w:type="spellEnd"/>
        <w:r w:rsidRPr="0072515A">
          <w:rPr>
            <w:rStyle w:val="Hipervnculo"/>
            <w:rFonts w:ascii="Calibri" w:eastAsiaTheme="majorEastAsia" w:hAnsi="Calibri" w:cs="Calibri"/>
            <w:b/>
            <w:bCs/>
            <w:sz w:val="16"/>
            <w:szCs w:val="16"/>
          </w:rPr>
          <w:t xml:space="preserve"> Management Framework</w:t>
        </w:r>
      </w:hyperlink>
      <w:r w:rsidRPr="0072515A">
        <w:rPr>
          <w:rFonts w:ascii="Calibri" w:hAnsi="Calibri" w:cs="Calibri"/>
          <w:sz w:val="16"/>
          <w:szCs w:val="16"/>
        </w:rPr>
        <w:t xml:space="preserve">: Metodologías para calcular índices compuestos de vulnerabilidad como el FVT. </w:t>
      </w:r>
    </w:p>
    <w:p w14:paraId="5129BDD3" w14:textId="773810B6" w:rsidR="0072515A" w:rsidRPr="0072515A" w:rsidRDefault="0072515A" w:rsidP="0072515A">
      <w:pPr>
        <w:pStyle w:val="Prrafodelista"/>
        <w:numPr>
          <w:ilvl w:val="0"/>
          <w:numId w:val="19"/>
        </w:numPr>
        <w:rPr>
          <w:rFonts w:ascii="Calibri" w:hAnsi="Calibri" w:cs="Calibri"/>
          <w:sz w:val="16"/>
          <w:szCs w:val="16"/>
        </w:rPr>
      </w:pPr>
      <w:hyperlink r:id="rId45" w:tgtFrame="_blank" w:history="1">
        <w:r w:rsidRPr="0072515A">
          <w:rPr>
            <w:rStyle w:val="Hipervnculo"/>
            <w:rFonts w:ascii="Calibri" w:eastAsiaTheme="majorEastAsia" w:hAnsi="Calibri" w:cs="Calibri"/>
            <w:b/>
            <w:bCs/>
            <w:sz w:val="16"/>
            <w:szCs w:val="16"/>
          </w:rPr>
          <w:t>Organización para la Cooperación y el Desarrollo Económicos (OECD)</w:t>
        </w:r>
      </w:hyperlink>
      <w:r w:rsidRPr="0072515A">
        <w:rPr>
          <w:rFonts w:ascii="Calibri" w:hAnsi="Calibri" w:cs="Calibri"/>
          <w:sz w:val="16"/>
          <w:szCs w:val="16"/>
        </w:rPr>
        <w:t xml:space="preserve">: Marco para evaluar el impacto de fallos de infraestructura en conflictos. </w:t>
      </w:r>
    </w:p>
    <w:p w14:paraId="49642324" w14:textId="52CC5647" w:rsidR="0072515A" w:rsidRPr="0072515A" w:rsidRDefault="0072515A" w:rsidP="0072515A">
      <w:pPr>
        <w:pStyle w:val="Prrafodelista"/>
        <w:numPr>
          <w:ilvl w:val="0"/>
          <w:numId w:val="19"/>
        </w:numPr>
        <w:rPr>
          <w:rFonts w:ascii="Calibri" w:hAnsi="Calibri" w:cs="Calibri"/>
          <w:sz w:val="16"/>
          <w:szCs w:val="16"/>
        </w:rPr>
      </w:pPr>
      <w:hyperlink r:id="rId46" w:tgtFrame="_blank" w:history="1">
        <w:r w:rsidRPr="0072515A">
          <w:rPr>
            <w:rStyle w:val="Hipervnculo"/>
            <w:rFonts w:ascii="Calibri" w:eastAsiaTheme="majorEastAsia" w:hAnsi="Calibri" w:cs="Calibri"/>
            <w:b/>
            <w:bCs/>
            <w:sz w:val="16"/>
            <w:szCs w:val="16"/>
          </w:rPr>
          <w:t>Sociedad Estadounidense de Ingenieros Civiles (ASCE)</w:t>
        </w:r>
      </w:hyperlink>
      <w:r w:rsidRPr="0072515A">
        <w:rPr>
          <w:rFonts w:ascii="Calibri" w:hAnsi="Calibri" w:cs="Calibri"/>
          <w:sz w:val="16"/>
          <w:szCs w:val="16"/>
        </w:rPr>
        <w:t xml:space="preserve">: Informes sobre la importancia de la infraestructura para la economía y la sociedad. </w:t>
      </w:r>
    </w:p>
    <w:p w14:paraId="21A4ED9A" w14:textId="08653B82" w:rsidR="0072515A" w:rsidRPr="0072515A" w:rsidRDefault="0072515A" w:rsidP="0072515A">
      <w:pPr>
        <w:pStyle w:val="Prrafodelista"/>
        <w:numPr>
          <w:ilvl w:val="0"/>
          <w:numId w:val="19"/>
        </w:numPr>
        <w:rPr>
          <w:rFonts w:ascii="Calibri" w:hAnsi="Calibri" w:cs="Calibri"/>
          <w:sz w:val="16"/>
          <w:szCs w:val="16"/>
        </w:rPr>
      </w:pPr>
      <w:hyperlink r:id="rId47" w:tgtFrame="_blank" w:history="1">
        <w:r w:rsidRPr="0072515A">
          <w:rPr>
            <w:rStyle w:val="Hipervnculo"/>
            <w:rFonts w:ascii="Calibri" w:eastAsiaTheme="majorEastAsia" w:hAnsi="Calibri" w:cs="Calibri"/>
            <w:b/>
            <w:bCs/>
            <w:sz w:val="16"/>
            <w:szCs w:val="16"/>
          </w:rPr>
          <w:t xml:space="preserve">U.S. </w:t>
        </w:r>
        <w:proofErr w:type="spellStart"/>
        <w:r w:rsidRPr="0072515A">
          <w:rPr>
            <w:rStyle w:val="Hipervnculo"/>
            <w:rFonts w:ascii="Calibri" w:eastAsiaTheme="majorEastAsia" w:hAnsi="Calibri" w:cs="Calibri"/>
            <w:b/>
            <w:bCs/>
            <w:sz w:val="16"/>
            <w:szCs w:val="16"/>
          </w:rPr>
          <w:t>Department</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of</w:t>
        </w:r>
        <w:proofErr w:type="spellEnd"/>
        <w:r w:rsidRPr="0072515A">
          <w:rPr>
            <w:rStyle w:val="Hipervnculo"/>
            <w:rFonts w:ascii="Calibri" w:eastAsiaTheme="majorEastAsia" w:hAnsi="Calibri" w:cs="Calibri"/>
            <w:b/>
            <w:bCs/>
            <w:sz w:val="16"/>
            <w:szCs w:val="16"/>
          </w:rPr>
          <w:t xml:space="preserve"> Defense </w:t>
        </w:r>
        <w:proofErr w:type="spellStart"/>
        <w:r w:rsidRPr="0072515A">
          <w:rPr>
            <w:rStyle w:val="Hipervnculo"/>
            <w:rFonts w:ascii="Calibri" w:eastAsiaTheme="majorEastAsia" w:hAnsi="Calibri" w:cs="Calibri"/>
            <w:b/>
            <w:bCs/>
            <w:sz w:val="16"/>
            <w:szCs w:val="16"/>
          </w:rPr>
          <w:t>Annual</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Report</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to</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Congress</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Military</w:t>
        </w:r>
        <w:proofErr w:type="spellEnd"/>
        <w:r w:rsidRPr="0072515A">
          <w:rPr>
            <w:rStyle w:val="Hipervnculo"/>
            <w:rFonts w:ascii="Calibri" w:eastAsiaTheme="majorEastAsia" w:hAnsi="Calibri" w:cs="Calibri"/>
            <w:b/>
            <w:bCs/>
            <w:sz w:val="16"/>
            <w:szCs w:val="16"/>
          </w:rPr>
          <w:t xml:space="preserve"> and Security </w:t>
        </w:r>
        <w:proofErr w:type="spellStart"/>
        <w:r w:rsidRPr="0072515A">
          <w:rPr>
            <w:rStyle w:val="Hipervnculo"/>
            <w:rFonts w:ascii="Calibri" w:eastAsiaTheme="majorEastAsia" w:hAnsi="Calibri" w:cs="Calibri"/>
            <w:b/>
            <w:bCs/>
            <w:sz w:val="16"/>
            <w:szCs w:val="16"/>
          </w:rPr>
          <w:t>Developments</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Involving</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the</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People's</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Republic</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of</w:t>
        </w:r>
        <w:proofErr w:type="spellEnd"/>
        <w:r w:rsidRPr="0072515A">
          <w:rPr>
            <w:rStyle w:val="Hipervnculo"/>
            <w:rFonts w:ascii="Calibri" w:eastAsiaTheme="majorEastAsia" w:hAnsi="Calibri" w:cs="Calibri"/>
            <w:b/>
            <w:bCs/>
            <w:sz w:val="16"/>
            <w:szCs w:val="16"/>
          </w:rPr>
          <w:t xml:space="preserve"> China 2023</w:t>
        </w:r>
      </w:hyperlink>
      <w:r w:rsidRPr="0072515A">
        <w:rPr>
          <w:rFonts w:ascii="Calibri" w:hAnsi="Calibri" w:cs="Calibri"/>
          <w:sz w:val="16"/>
          <w:szCs w:val="16"/>
        </w:rPr>
        <w:t xml:space="preserve">: Informes sobre tácticas militares convencionales para evaluar el FANC. </w:t>
      </w:r>
    </w:p>
    <w:p w14:paraId="4F3BF866" w14:textId="318EB2FF" w:rsidR="0072515A" w:rsidRPr="0072515A" w:rsidRDefault="0072515A" w:rsidP="0072515A">
      <w:pPr>
        <w:pStyle w:val="Prrafodelista"/>
        <w:numPr>
          <w:ilvl w:val="0"/>
          <w:numId w:val="19"/>
        </w:numPr>
        <w:rPr>
          <w:rFonts w:ascii="Calibri" w:hAnsi="Calibri" w:cs="Calibri"/>
          <w:sz w:val="16"/>
          <w:szCs w:val="16"/>
        </w:rPr>
      </w:pPr>
      <w:hyperlink r:id="rId48" w:tgtFrame="_blank" w:history="1">
        <w:r w:rsidRPr="0072515A">
          <w:rPr>
            <w:rStyle w:val="Hipervnculo"/>
            <w:rFonts w:ascii="Calibri" w:eastAsiaTheme="majorEastAsia" w:hAnsi="Calibri" w:cs="Calibri"/>
            <w:b/>
            <w:bCs/>
            <w:sz w:val="16"/>
            <w:szCs w:val="16"/>
          </w:rPr>
          <w:t xml:space="preserve">Unión Europea: </w:t>
        </w:r>
        <w:proofErr w:type="spellStart"/>
        <w:r w:rsidRPr="0072515A">
          <w:rPr>
            <w:rStyle w:val="Hipervnculo"/>
            <w:rFonts w:ascii="Calibri" w:eastAsiaTheme="majorEastAsia" w:hAnsi="Calibri" w:cs="Calibri"/>
            <w:b/>
            <w:bCs/>
            <w:sz w:val="16"/>
            <w:szCs w:val="16"/>
          </w:rPr>
          <w:t>Risk</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Assessment</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Methodologies</w:t>
        </w:r>
        <w:proofErr w:type="spellEnd"/>
      </w:hyperlink>
      <w:r w:rsidRPr="0072515A">
        <w:rPr>
          <w:rFonts w:ascii="Calibri" w:hAnsi="Calibri" w:cs="Calibri"/>
          <w:sz w:val="16"/>
          <w:szCs w:val="16"/>
        </w:rPr>
        <w:t xml:space="preserve">: Metodologías para calcular índices de riesgo combinando importancia y vulnerabilidad. </w:t>
      </w:r>
    </w:p>
    <w:p w14:paraId="4AB53786" w14:textId="08090C44" w:rsidR="0072515A" w:rsidRPr="0072515A" w:rsidRDefault="0072515A" w:rsidP="0072515A">
      <w:pPr>
        <w:pStyle w:val="Prrafodelista"/>
        <w:numPr>
          <w:ilvl w:val="0"/>
          <w:numId w:val="19"/>
        </w:numPr>
        <w:rPr>
          <w:rFonts w:ascii="Calibri" w:hAnsi="Calibri" w:cs="Calibri"/>
          <w:sz w:val="16"/>
          <w:szCs w:val="16"/>
        </w:rPr>
      </w:pPr>
      <w:hyperlink r:id="rId49" w:tgtFrame="_blank" w:history="1">
        <w:r w:rsidRPr="0072515A">
          <w:rPr>
            <w:rStyle w:val="Hipervnculo"/>
            <w:rFonts w:ascii="Calibri" w:eastAsiaTheme="majorEastAsia" w:hAnsi="Calibri" w:cs="Calibri"/>
            <w:b/>
            <w:bCs/>
            <w:sz w:val="16"/>
            <w:szCs w:val="16"/>
          </w:rPr>
          <w:t xml:space="preserve">Unión Internacional de Telecomunicaciones (ITU): Global </w:t>
        </w:r>
        <w:proofErr w:type="spellStart"/>
        <w:r w:rsidRPr="0072515A">
          <w:rPr>
            <w:rStyle w:val="Hipervnculo"/>
            <w:rFonts w:ascii="Calibri" w:eastAsiaTheme="majorEastAsia" w:hAnsi="Calibri" w:cs="Calibri"/>
            <w:b/>
            <w:bCs/>
            <w:sz w:val="16"/>
            <w:szCs w:val="16"/>
          </w:rPr>
          <w:t>Cybersecurity</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Index</w:t>
        </w:r>
        <w:proofErr w:type="spellEnd"/>
      </w:hyperlink>
      <w:r w:rsidRPr="0072515A">
        <w:rPr>
          <w:rFonts w:ascii="Calibri" w:hAnsi="Calibri" w:cs="Calibri"/>
          <w:sz w:val="16"/>
          <w:szCs w:val="16"/>
        </w:rPr>
        <w:t xml:space="preserve">: Datos sobre exposición tecnológica para calcular VT. </w:t>
      </w:r>
    </w:p>
    <w:p w14:paraId="251FDAAF" w14:textId="329F7AF0" w:rsidR="0072515A" w:rsidRPr="0072515A" w:rsidRDefault="0072515A" w:rsidP="0072515A">
      <w:pPr>
        <w:pStyle w:val="Prrafodelista"/>
        <w:numPr>
          <w:ilvl w:val="0"/>
          <w:numId w:val="19"/>
        </w:numPr>
        <w:rPr>
          <w:rFonts w:ascii="Calibri" w:hAnsi="Calibri" w:cs="Calibri"/>
          <w:sz w:val="16"/>
          <w:szCs w:val="16"/>
        </w:rPr>
      </w:pPr>
      <w:hyperlink r:id="rId50" w:tgtFrame="_blank" w:history="1">
        <w:proofErr w:type="spellStart"/>
        <w:r w:rsidRPr="0072515A">
          <w:rPr>
            <w:rStyle w:val="Hipervnculo"/>
            <w:rFonts w:ascii="Calibri" w:eastAsiaTheme="majorEastAsia" w:hAnsi="Calibri" w:cs="Calibri"/>
            <w:b/>
            <w:bCs/>
            <w:sz w:val="16"/>
            <w:szCs w:val="16"/>
          </w:rPr>
          <w:t>United</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Nations</w:t>
        </w:r>
        <w:proofErr w:type="spellEnd"/>
        <w:r w:rsidRPr="0072515A">
          <w:rPr>
            <w:rStyle w:val="Hipervnculo"/>
            <w:rFonts w:ascii="Calibri" w:eastAsiaTheme="majorEastAsia" w:hAnsi="Calibri" w:cs="Calibri"/>
            <w:b/>
            <w:bCs/>
            <w:sz w:val="16"/>
            <w:szCs w:val="16"/>
          </w:rPr>
          <w:t xml:space="preserve"> Office </w:t>
        </w:r>
        <w:proofErr w:type="spellStart"/>
        <w:r w:rsidRPr="0072515A">
          <w:rPr>
            <w:rStyle w:val="Hipervnculo"/>
            <w:rFonts w:ascii="Calibri" w:eastAsiaTheme="majorEastAsia" w:hAnsi="Calibri" w:cs="Calibri"/>
            <w:b/>
            <w:bCs/>
            <w:sz w:val="16"/>
            <w:szCs w:val="16"/>
          </w:rPr>
          <w:t>of</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Counter-Terrorism</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Protection</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of</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Critical</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Infrastructure</w:t>
        </w:r>
        <w:proofErr w:type="spellEnd"/>
      </w:hyperlink>
      <w:r w:rsidRPr="0072515A">
        <w:rPr>
          <w:rFonts w:ascii="Calibri" w:hAnsi="Calibri" w:cs="Calibri"/>
          <w:sz w:val="16"/>
          <w:szCs w:val="16"/>
        </w:rPr>
        <w:t xml:space="preserve">: Directrices sobre la protección de infraestructura crítica en conflictos armados. </w:t>
      </w:r>
    </w:p>
    <w:p w14:paraId="52153E98" w14:textId="101F4936" w:rsidR="0072515A" w:rsidRPr="0072515A" w:rsidRDefault="0072515A" w:rsidP="0072515A">
      <w:pPr>
        <w:pStyle w:val="Prrafodelista"/>
        <w:numPr>
          <w:ilvl w:val="0"/>
          <w:numId w:val="19"/>
        </w:numPr>
        <w:rPr>
          <w:rFonts w:ascii="Calibri" w:hAnsi="Calibri" w:cs="Calibri"/>
          <w:sz w:val="16"/>
          <w:szCs w:val="16"/>
        </w:rPr>
      </w:pPr>
      <w:hyperlink r:id="rId51" w:tgtFrame="_blank" w:history="1">
        <w:r w:rsidRPr="0072515A">
          <w:rPr>
            <w:rStyle w:val="Hipervnculo"/>
            <w:rFonts w:ascii="Calibri" w:eastAsiaTheme="majorEastAsia" w:hAnsi="Calibri" w:cs="Calibri"/>
            <w:b/>
            <w:bCs/>
            <w:sz w:val="16"/>
            <w:szCs w:val="16"/>
          </w:rPr>
          <w:t xml:space="preserve">UNEP Global </w:t>
        </w:r>
        <w:proofErr w:type="spellStart"/>
        <w:r w:rsidRPr="0072515A">
          <w:rPr>
            <w:rStyle w:val="Hipervnculo"/>
            <w:rFonts w:ascii="Calibri" w:eastAsiaTheme="majorEastAsia" w:hAnsi="Calibri" w:cs="Calibri"/>
            <w:b/>
            <w:bCs/>
            <w:sz w:val="16"/>
            <w:szCs w:val="16"/>
          </w:rPr>
          <w:t>Risk</w:t>
        </w:r>
        <w:proofErr w:type="spellEnd"/>
        <w:r w:rsidRPr="0072515A">
          <w:rPr>
            <w:rStyle w:val="Hipervnculo"/>
            <w:rFonts w:ascii="Calibri" w:eastAsiaTheme="majorEastAsia" w:hAnsi="Calibri" w:cs="Calibri"/>
            <w:b/>
            <w:bCs/>
            <w:sz w:val="16"/>
            <w:szCs w:val="16"/>
          </w:rPr>
          <w:t xml:space="preserve"> Data </w:t>
        </w:r>
        <w:proofErr w:type="spellStart"/>
        <w:r w:rsidRPr="0072515A">
          <w:rPr>
            <w:rStyle w:val="Hipervnculo"/>
            <w:rFonts w:ascii="Calibri" w:eastAsiaTheme="majorEastAsia" w:hAnsi="Calibri" w:cs="Calibri"/>
            <w:b/>
            <w:bCs/>
            <w:sz w:val="16"/>
            <w:szCs w:val="16"/>
          </w:rPr>
          <w:t>Platform</w:t>
        </w:r>
        <w:proofErr w:type="spellEnd"/>
      </w:hyperlink>
      <w:r w:rsidRPr="0072515A">
        <w:rPr>
          <w:rFonts w:ascii="Calibri" w:hAnsi="Calibri" w:cs="Calibri"/>
          <w:sz w:val="16"/>
          <w:szCs w:val="16"/>
        </w:rPr>
        <w:t xml:space="preserve">: Datos históricos y modelos probabilísticos de desastres naturales para informar el FEN. </w:t>
      </w:r>
    </w:p>
    <w:p w14:paraId="140F30F4" w14:textId="1FF6E1E4" w:rsidR="0072515A" w:rsidRPr="0072515A" w:rsidRDefault="0072515A" w:rsidP="0072515A">
      <w:pPr>
        <w:pStyle w:val="Prrafodelista"/>
        <w:numPr>
          <w:ilvl w:val="0"/>
          <w:numId w:val="19"/>
        </w:numPr>
        <w:rPr>
          <w:rFonts w:ascii="Calibri" w:hAnsi="Calibri" w:cs="Calibri"/>
          <w:sz w:val="16"/>
          <w:szCs w:val="16"/>
        </w:rPr>
      </w:pPr>
      <w:hyperlink r:id="rId52" w:tgtFrame="_blank" w:history="1">
        <w:proofErr w:type="spellStart"/>
        <w:r w:rsidRPr="0072515A">
          <w:rPr>
            <w:rStyle w:val="Hipervnculo"/>
            <w:rFonts w:ascii="Calibri" w:eastAsiaTheme="majorEastAsia" w:hAnsi="Calibri" w:cs="Calibri"/>
            <w:b/>
            <w:bCs/>
            <w:sz w:val="16"/>
            <w:szCs w:val="16"/>
          </w:rPr>
          <w:t>World</w:t>
        </w:r>
        <w:proofErr w:type="spellEnd"/>
        <w:r w:rsidRPr="0072515A">
          <w:rPr>
            <w:rStyle w:val="Hipervnculo"/>
            <w:rFonts w:ascii="Calibri" w:eastAsiaTheme="majorEastAsia" w:hAnsi="Calibri" w:cs="Calibri"/>
            <w:b/>
            <w:bCs/>
            <w:sz w:val="16"/>
            <w:szCs w:val="16"/>
          </w:rPr>
          <w:t xml:space="preserve"> Bank: </w:t>
        </w:r>
        <w:proofErr w:type="spellStart"/>
        <w:r w:rsidRPr="0072515A">
          <w:rPr>
            <w:rStyle w:val="Hipervnculo"/>
            <w:rFonts w:ascii="Calibri" w:eastAsiaTheme="majorEastAsia" w:hAnsi="Calibri" w:cs="Calibri"/>
            <w:b/>
            <w:bCs/>
            <w:sz w:val="16"/>
            <w:szCs w:val="16"/>
          </w:rPr>
          <w:t>Building</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Resilience</w:t>
        </w:r>
        <w:proofErr w:type="spellEnd"/>
        <w:r w:rsidRPr="0072515A">
          <w:rPr>
            <w:rStyle w:val="Hipervnculo"/>
            <w:rFonts w:ascii="Calibri" w:eastAsiaTheme="majorEastAsia" w:hAnsi="Calibri" w:cs="Calibri"/>
            <w:b/>
            <w:bCs/>
            <w:sz w:val="16"/>
            <w:szCs w:val="16"/>
          </w:rPr>
          <w:t xml:space="preserve"> - </w:t>
        </w:r>
        <w:proofErr w:type="spellStart"/>
        <w:r w:rsidRPr="0072515A">
          <w:rPr>
            <w:rStyle w:val="Hipervnculo"/>
            <w:rFonts w:ascii="Calibri" w:eastAsiaTheme="majorEastAsia" w:hAnsi="Calibri" w:cs="Calibri"/>
            <w:b/>
            <w:bCs/>
            <w:sz w:val="16"/>
            <w:szCs w:val="16"/>
          </w:rPr>
          <w:t>Integrating</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Climate</w:t>
        </w:r>
        <w:proofErr w:type="spellEnd"/>
        <w:r w:rsidRPr="0072515A">
          <w:rPr>
            <w:rStyle w:val="Hipervnculo"/>
            <w:rFonts w:ascii="Calibri" w:eastAsiaTheme="majorEastAsia" w:hAnsi="Calibri" w:cs="Calibri"/>
            <w:b/>
            <w:bCs/>
            <w:sz w:val="16"/>
            <w:szCs w:val="16"/>
          </w:rPr>
          <w:t xml:space="preserve"> and </w:t>
        </w:r>
        <w:proofErr w:type="spellStart"/>
        <w:r w:rsidRPr="0072515A">
          <w:rPr>
            <w:rStyle w:val="Hipervnculo"/>
            <w:rFonts w:ascii="Calibri" w:eastAsiaTheme="majorEastAsia" w:hAnsi="Calibri" w:cs="Calibri"/>
            <w:b/>
            <w:bCs/>
            <w:sz w:val="16"/>
            <w:szCs w:val="16"/>
          </w:rPr>
          <w:t>Disaster</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Risk</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into</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Development</w:t>
        </w:r>
        <w:proofErr w:type="spellEnd"/>
      </w:hyperlink>
      <w:r w:rsidRPr="0072515A">
        <w:rPr>
          <w:rFonts w:ascii="Calibri" w:hAnsi="Calibri" w:cs="Calibri"/>
          <w:sz w:val="16"/>
          <w:szCs w:val="16"/>
        </w:rPr>
        <w:t xml:space="preserve">: Marcos para evaluar la resiliencia de infraestructuras críticas frente a desastres. </w:t>
      </w:r>
    </w:p>
    <w:p w14:paraId="3F099E42" w14:textId="12A18520" w:rsidR="00B2451E" w:rsidRPr="0072515A" w:rsidRDefault="0072515A" w:rsidP="0072515A">
      <w:pPr>
        <w:pStyle w:val="Prrafodelista"/>
        <w:numPr>
          <w:ilvl w:val="0"/>
          <w:numId w:val="19"/>
        </w:numPr>
        <w:rPr>
          <w:rFonts w:ascii="Calibri" w:hAnsi="Calibri" w:cs="Calibri"/>
          <w:color w:val="000000" w:themeColor="text1"/>
          <w:sz w:val="16"/>
          <w:szCs w:val="16"/>
        </w:rPr>
      </w:pPr>
      <w:hyperlink r:id="rId53" w:tgtFrame="_blank" w:history="1">
        <w:r w:rsidRPr="0072515A">
          <w:rPr>
            <w:rStyle w:val="Hipervnculo"/>
            <w:rFonts w:ascii="Calibri" w:eastAsiaTheme="majorEastAsia" w:hAnsi="Calibri" w:cs="Calibri"/>
            <w:b/>
            <w:bCs/>
            <w:sz w:val="16"/>
            <w:szCs w:val="16"/>
          </w:rPr>
          <w:t xml:space="preserve">WHO: </w:t>
        </w:r>
        <w:proofErr w:type="spellStart"/>
        <w:r w:rsidRPr="0072515A">
          <w:rPr>
            <w:rStyle w:val="Hipervnculo"/>
            <w:rFonts w:ascii="Calibri" w:eastAsiaTheme="majorEastAsia" w:hAnsi="Calibri" w:cs="Calibri"/>
            <w:b/>
            <w:bCs/>
            <w:sz w:val="16"/>
            <w:szCs w:val="16"/>
          </w:rPr>
          <w:t>Water</w:t>
        </w:r>
        <w:proofErr w:type="spellEnd"/>
        <w:r w:rsidRPr="0072515A">
          <w:rPr>
            <w:rStyle w:val="Hipervnculo"/>
            <w:rFonts w:ascii="Calibri" w:eastAsiaTheme="majorEastAsia" w:hAnsi="Calibri" w:cs="Calibri"/>
            <w:b/>
            <w:bCs/>
            <w:sz w:val="16"/>
            <w:szCs w:val="16"/>
          </w:rPr>
          <w:t xml:space="preserve">, </w:t>
        </w:r>
        <w:proofErr w:type="spellStart"/>
        <w:r w:rsidRPr="0072515A">
          <w:rPr>
            <w:rStyle w:val="Hipervnculo"/>
            <w:rFonts w:ascii="Calibri" w:eastAsiaTheme="majorEastAsia" w:hAnsi="Calibri" w:cs="Calibri"/>
            <w:b/>
            <w:bCs/>
            <w:sz w:val="16"/>
            <w:szCs w:val="16"/>
          </w:rPr>
          <w:t>Sanitation</w:t>
        </w:r>
        <w:proofErr w:type="spellEnd"/>
        <w:r w:rsidRPr="0072515A">
          <w:rPr>
            <w:rStyle w:val="Hipervnculo"/>
            <w:rFonts w:ascii="Calibri" w:eastAsiaTheme="majorEastAsia" w:hAnsi="Calibri" w:cs="Calibri"/>
            <w:b/>
            <w:bCs/>
            <w:sz w:val="16"/>
            <w:szCs w:val="16"/>
          </w:rPr>
          <w:t xml:space="preserve"> and </w:t>
        </w:r>
        <w:proofErr w:type="spellStart"/>
        <w:r w:rsidRPr="0072515A">
          <w:rPr>
            <w:rStyle w:val="Hipervnculo"/>
            <w:rFonts w:ascii="Calibri" w:eastAsiaTheme="majorEastAsia" w:hAnsi="Calibri" w:cs="Calibri"/>
            <w:b/>
            <w:bCs/>
            <w:sz w:val="16"/>
            <w:szCs w:val="16"/>
          </w:rPr>
          <w:t>Hygiene</w:t>
        </w:r>
        <w:proofErr w:type="spellEnd"/>
        <w:r w:rsidRPr="0072515A">
          <w:rPr>
            <w:rStyle w:val="Hipervnculo"/>
            <w:rFonts w:ascii="Calibri" w:eastAsiaTheme="majorEastAsia" w:hAnsi="Calibri" w:cs="Calibri"/>
            <w:b/>
            <w:bCs/>
            <w:sz w:val="16"/>
            <w:szCs w:val="16"/>
          </w:rPr>
          <w:t xml:space="preserve"> in </w:t>
        </w:r>
        <w:proofErr w:type="spellStart"/>
        <w:r w:rsidRPr="0072515A">
          <w:rPr>
            <w:rStyle w:val="Hipervnculo"/>
            <w:rFonts w:ascii="Calibri" w:eastAsiaTheme="majorEastAsia" w:hAnsi="Calibri" w:cs="Calibri"/>
            <w:b/>
            <w:bCs/>
            <w:sz w:val="16"/>
            <w:szCs w:val="16"/>
          </w:rPr>
          <w:t>Emergencies</w:t>
        </w:r>
        <w:proofErr w:type="spellEnd"/>
      </w:hyperlink>
      <w:r w:rsidRPr="0072515A">
        <w:rPr>
          <w:rFonts w:ascii="Calibri" w:hAnsi="Calibri" w:cs="Calibri"/>
          <w:sz w:val="16"/>
          <w:szCs w:val="16"/>
        </w:rPr>
        <w:t>: Directrices sobre la importancia de sistemas de agua y energía para la recuperación post-desastre.</w:t>
      </w:r>
      <w:r w:rsidRPr="0072515A">
        <w:rPr>
          <w:rFonts w:ascii="Calibri" w:hAnsi="Calibri" w:cs="Calibri"/>
          <w:noProof/>
          <w:color w:val="000000" w:themeColor="text1"/>
          <w:sz w:val="16"/>
          <w:szCs w:val="16"/>
          <w14:ligatures w14:val="standardContextual"/>
        </w:rPr>
        <w:t xml:space="preserve"> </w:t>
      </w:r>
      <w:r w:rsidR="00300068" w:rsidRPr="00300068">
        <w:rPr>
          <w:noProof/>
          <w:color w:val="000000" w:themeColor="text1"/>
          <w14:ligatures w14:val="standardContextual"/>
        </w:rPr>
        <w:pict w14:anchorId="107F54DD">
          <v:rect id="_x0000_i1026" alt="" style="width:372.95pt;height:.05pt;mso-width-percent:0;mso-height-percent:0;mso-width-percent:0;mso-height-percent:0" o:hrpct="844" o:hralign="center" o:hrstd="t" o:hr="t" fillcolor="#a0a0a0" stroked="f"/>
        </w:pict>
      </w:r>
    </w:p>
    <w:p w14:paraId="6F0923AA" w14:textId="77777777" w:rsidR="00B2451E" w:rsidRPr="005843B6" w:rsidRDefault="00B2451E" w:rsidP="00B2451E">
      <w:pPr>
        <w:pStyle w:val="TtulosVariable"/>
      </w:pPr>
      <w:r w:rsidRPr="005843B6">
        <w:t>Bases de Datos de Consultas Utilizadas</w:t>
      </w:r>
    </w:p>
    <w:p w14:paraId="4CAA1ADB" w14:textId="77777777" w:rsidR="00B2451E" w:rsidRPr="005843B6" w:rsidRDefault="00B2451E" w:rsidP="00B2451E">
      <w:pPr>
        <w:numPr>
          <w:ilvl w:val="0"/>
          <w:numId w:val="21"/>
        </w:numPr>
        <w:rPr>
          <w:rFonts w:ascii="Calibri" w:hAnsi="Calibri" w:cs="Calibri"/>
          <w:color w:val="000000" w:themeColor="text1"/>
          <w:sz w:val="16"/>
          <w:szCs w:val="16"/>
        </w:rPr>
      </w:pPr>
      <w:hyperlink r:id="rId54"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Risk</w:t>
        </w:r>
        <w:proofErr w:type="spellEnd"/>
        <w:r w:rsidRPr="005843B6">
          <w:rPr>
            <w:rStyle w:val="Hipervnculo"/>
            <w:rFonts w:ascii="Calibri" w:eastAsiaTheme="majorEastAsia" w:hAnsi="Calibri" w:cs="Calibri"/>
            <w:color w:val="000000" w:themeColor="text1"/>
            <w:sz w:val="16"/>
            <w:szCs w:val="16"/>
          </w:rPr>
          <w:t xml:space="preserve"> Data </w:t>
        </w:r>
        <w:proofErr w:type="spellStart"/>
        <w:r w:rsidRPr="005843B6">
          <w:rPr>
            <w:rStyle w:val="Hipervnculo"/>
            <w:rFonts w:ascii="Calibri" w:eastAsiaTheme="majorEastAsia" w:hAnsi="Calibri" w:cs="Calibri"/>
            <w:color w:val="000000" w:themeColor="text1"/>
            <w:sz w:val="16"/>
            <w:szCs w:val="16"/>
          </w:rPr>
          <w:t>Platform</w:t>
        </w:r>
        <w:proofErr w:type="spellEnd"/>
        <w:r w:rsidRPr="005843B6">
          <w:rPr>
            <w:rStyle w:val="Hipervnculo"/>
            <w:rFonts w:ascii="Calibri" w:eastAsiaTheme="majorEastAsia" w:hAnsi="Calibri" w:cs="Calibri"/>
            <w:color w:val="000000" w:themeColor="text1"/>
            <w:sz w:val="16"/>
            <w:szCs w:val="16"/>
          </w:rPr>
          <w:t xml:space="preserve"> - UNEP</w:t>
        </w:r>
      </w:hyperlink>
      <w:r w:rsidRPr="005843B6">
        <w:rPr>
          <w:rFonts w:ascii="Calibri" w:hAnsi="Calibri" w:cs="Calibri"/>
          <w:color w:val="000000" w:themeColor="text1"/>
          <w:sz w:val="16"/>
          <w:szCs w:val="16"/>
        </w:rPr>
        <w:t>: Datos sobre desastres naturales para calcular FEN.</w:t>
      </w:r>
    </w:p>
    <w:p w14:paraId="34D52531" w14:textId="77777777" w:rsidR="00B2451E" w:rsidRPr="005843B6" w:rsidRDefault="00B2451E" w:rsidP="00B2451E">
      <w:pPr>
        <w:numPr>
          <w:ilvl w:val="0"/>
          <w:numId w:val="21"/>
        </w:numPr>
        <w:rPr>
          <w:rFonts w:ascii="Calibri" w:hAnsi="Calibri" w:cs="Calibri"/>
          <w:color w:val="000000" w:themeColor="text1"/>
          <w:sz w:val="16"/>
          <w:szCs w:val="16"/>
        </w:rPr>
      </w:pPr>
      <w:hyperlink r:id="rId55"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Terrorism</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Database</w:t>
        </w:r>
        <w:proofErr w:type="spellEnd"/>
        <w:r w:rsidRPr="005843B6">
          <w:rPr>
            <w:rStyle w:val="Hipervnculo"/>
            <w:rFonts w:ascii="Calibri" w:eastAsiaTheme="majorEastAsia" w:hAnsi="Calibri" w:cs="Calibri"/>
            <w:color w:val="000000" w:themeColor="text1"/>
            <w:sz w:val="16"/>
            <w:szCs w:val="16"/>
          </w:rPr>
          <w:t xml:space="preserve"> - START</w:t>
        </w:r>
      </w:hyperlink>
      <w:r w:rsidRPr="005843B6">
        <w:rPr>
          <w:rFonts w:ascii="Calibri" w:hAnsi="Calibri" w:cs="Calibri"/>
          <w:color w:val="000000" w:themeColor="text1"/>
          <w:sz w:val="16"/>
          <w:szCs w:val="16"/>
        </w:rPr>
        <w:t>: Datos históricos sobre ataques terroristas y sabotajes para calcular FANC.</w:t>
      </w:r>
    </w:p>
    <w:p w14:paraId="70009646" w14:textId="77777777" w:rsidR="00B2451E" w:rsidRPr="005843B6" w:rsidRDefault="00B2451E" w:rsidP="00B2451E">
      <w:pPr>
        <w:numPr>
          <w:ilvl w:val="0"/>
          <w:numId w:val="21"/>
        </w:numPr>
        <w:rPr>
          <w:rFonts w:ascii="Calibri" w:hAnsi="Calibri" w:cs="Calibri"/>
          <w:color w:val="000000" w:themeColor="text1"/>
          <w:sz w:val="16"/>
          <w:szCs w:val="16"/>
        </w:rPr>
      </w:pPr>
      <w:hyperlink r:id="rId56"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Cybersecurity</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Index</w:t>
        </w:r>
        <w:proofErr w:type="spellEnd"/>
        <w:r w:rsidRPr="005843B6">
          <w:rPr>
            <w:rStyle w:val="Hipervnculo"/>
            <w:rFonts w:ascii="Calibri" w:eastAsiaTheme="majorEastAsia" w:hAnsi="Calibri" w:cs="Calibri"/>
            <w:color w:val="000000" w:themeColor="text1"/>
            <w:sz w:val="16"/>
            <w:szCs w:val="16"/>
          </w:rPr>
          <w:t xml:space="preserve"> - ITU</w:t>
        </w:r>
      </w:hyperlink>
      <w:r w:rsidRPr="005843B6">
        <w:rPr>
          <w:rFonts w:ascii="Calibri" w:hAnsi="Calibri" w:cs="Calibri"/>
          <w:color w:val="000000" w:themeColor="text1"/>
          <w:sz w:val="16"/>
          <w:szCs w:val="16"/>
        </w:rPr>
        <w:t>: Datos sobre exposición tecnológica para calcular VT.</w:t>
      </w:r>
    </w:p>
    <w:p w14:paraId="6191F496" w14:textId="77777777" w:rsidR="00B2451E" w:rsidRPr="005843B6" w:rsidRDefault="00B2451E" w:rsidP="00B2451E">
      <w:pPr>
        <w:numPr>
          <w:ilvl w:val="0"/>
          <w:numId w:val="21"/>
        </w:numPr>
        <w:rPr>
          <w:rFonts w:ascii="Calibri" w:hAnsi="Calibri" w:cs="Calibri"/>
          <w:color w:val="000000" w:themeColor="text1"/>
          <w:sz w:val="16"/>
          <w:szCs w:val="16"/>
        </w:rPr>
      </w:pPr>
      <w:hyperlink r:id="rId57"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Infrastructure</w:t>
        </w:r>
        <w:proofErr w:type="spellEnd"/>
        <w:r w:rsidRPr="005843B6">
          <w:rPr>
            <w:rStyle w:val="Hipervnculo"/>
            <w:rFonts w:ascii="Calibri" w:eastAsiaTheme="majorEastAsia" w:hAnsi="Calibri" w:cs="Calibri"/>
            <w:color w:val="000000" w:themeColor="text1"/>
            <w:sz w:val="16"/>
            <w:szCs w:val="16"/>
          </w:rPr>
          <w:t xml:space="preserve"> Outlook - GIH</w:t>
        </w:r>
      </w:hyperlink>
      <w:r w:rsidRPr="005843B6">
        <w:rPr>
          <w:rFonts w:ascii="Calibri" w:hAnsi="Calibri" w:cs="Calibri"/>
          <w:color w:val="000000" w:themeColor="text1"/>
          <w:sz w:val="16"/>
          <w:szCs w:val="16"/>
        </w:rPr>
        <w:t>: Datos sobre importancia económica de la infraestructura para calcular IB.</w:t>
      </w:r>
    </w:p>
    <w:p w14:paraId="376113C1" w14:textId="77777777" w:rsidR="00B2451E" w:rsidRPr="005843B6" w:rsidRDefault="00B2451E" w:rsidP="00B2451E">
      <w:pPr>
        <w:numPr>
          <w:ilvl w:val="0"/>
          <w:numId w:val="21"/>
        </w:numPr>
        <w:rPr>
          <w:rFonts w:ascii="Calibri" w:hAnsi="Calibri" w:cs="Calibri"/>
          <w:color w:val="000000" w:themeColor="text1"/>
          <w:sz w:val="16"/>
          <w:szCs w:val="16"/>
        </w:rPr>
      </w:pPr>
      <w:hyperlink r:id="rId58"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Conflict</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Risk</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Index</w:t>
        </w:r>
        <w:proofErr w:type="spellEnd"/>
        <w:r w:rsidRPr="005843B6">
          <w:rPr>
            <w:rStyle w:val="Hipervnculo"/>
            <w:rFonts w:ascii="Calibri" w:eastAsiaTheme="majorEastAsia" w:hAnsi="Calibri" w:cs="Calibri"/>
            <w:color w:val="000000" w:themeColor="text1"/>
            <w:sz w:val="16"/>
            <w:szCs w:val="16"/>
          </w:rPr>
          <w:t xml:space="preserve"> - JRC</w:t>
        </w:r>
      </w:hyperlink>
      <w:r w:rsidRPr="005843B6">
        <w:rPr>
          <w:rFonts w:ascii="Calibri" w:hAnsi="Calibri" w:cs="Calibri"/>
          <w:color w:val="000000" w:themeColor="text1"/>
          <w:sz w:val="16"/>
          <w:szCs w:val="16"/>
        </w:rPr>
        <w:t>: Índices de riesgo de conflicto para contextualizar el IRMD.</w:t>
      </w:r>
    </w:p>
    <w:p w14:paraId="223FB738" w14:textId="77777777" w:rsidR="00B2451E" w:rsidRPr="005843B6" w:rsidRDefault="00B2451E" w:rsidP="00B2451E">
      <w:pPr>
        <w:numPr>
          <w:ilvl w:val="0"/>
          <w:numId w:val="21"/>
        </w:numPr>
        <w:rPr>
          <w:rFonts w:ascii="Calibri" w:hAnsi="Calibri" w:cs="Calibri"/>
          <w:color w:val="000000" w:themeColor="text1"/>
          <w:sz w:val="16"/>
          <w:szCs w:val="16"/>
        </w:rPr>
      </w:pPr>
      <w:hyperlink r:id="rId59" w:tgtFrame="_blank" w:history="1">
        <w:r w:rsidRPr="005843B6">
          <w:rPr>
            <w:rStyle w:val="Hipervnculo"/>
            <w:rFonts w:ascii="Calibri" w:eastAsiaTheme="majorEastAsia" w:hAnsi="Calibri" w:cs="Calibri"/>
            <w:color w:val="000000" w:themeColor="text1"/>
            <w:sz w:val="16"/>
            <w:szCs w:val="16"/>
          </w:rPr>
          <w:t xml:space="preserve">Global </w:t>
        </w:r>
        <w:proofErr w:type="spellStart"/>
        <w:r w:rsidRPr="005843B6">
          <w:rPr>
            <w:rStyle w:val="Hipervnculo"/>
            <w:rFonts w:ascii="Calibri" w:eastAsiaTheme="majorEastAsia" w:hAnsi="Calibri" w:cs="Calibri"/>
            <w:color w:val="000000" w:themeColor="text1"/>
            <w:sz w:val="16"/>
            <w:szCs w:val="16"/>
          </w:rPr>
          <w:t>Power</w:t>
        </w:r>
        <w:proofErr w:type="spellEnd"/>
        <w:r w:rsidRPr="005843B6">
          <w:rPr>
            <w:rStyle w:val="Hipervnculo"/>
            <w:rFonts w:ascii="Calibri" w:eastAsiaTheme="majorEastAsia" w:hAnsi="Calibri" w:cs="Calibri"/>
            <w:color w:val="000000" w:themeColor="text1"/>
            <w:sz w:val="16"/>
            <w:szCs w:val="16"/>
          </w:rPr>
          <w:t xml:space="preserve"> </w:t>
        </w:r>
        <w:proofErr w:type="spellStart"/>
        <w:r w:rsidRPr="005843B6">
          <w:rPr>
            <w:rStyle w:val="Hipervnculo"/>
            <w:rFonts w:ascii="Calibri" w:eastAsiaTheme="majorEastAsia" w:hAnsi="Calibri" w:cs="Calibri"/>
            <w:color w:val="000000" w:themeColor="text1"/>
            <w:sz w:val="16"/>
            <w:szCs w:val="16"/>
          </w:rPr>
          <w:t>Index</w:t>
        </w:r>
        <w:proofErr w:type="spellEnd"/>
        <w:r w:rsidRPr="005843B6">
          <w:rPr>
            <w:rStyle w:val="Hipervnculo"/>
            <w:rFonts w:ascii="Calibri" w:eastAsiaTheme="majorEastAsia" w:hAnsi="Calibri" w:cs="Calibri"/>
            <w:color w:val="000000" w:themeColor="text1"/>
            <w:sz w:val="16"/>
            <w:szCs w:val="16"/>
          </w:rPr>
          <w:t xml:space="preserve"> - GFP</w:t>
        </w:r>
      </w:hyperlink>
      <w:r w:rsidRPr="005843B6">
        <w:rPr>
          <w:rFonts w:ascii="Calibri" w:hAnsi="Calibri" w:cs="Calibri"/>
          <w:color w:val="000000" w:themeColor="text1"/>
          <w:sz w:val="16"/>
          <w:szCs w:val="16"/>
        </w:rPr>
        <w:t>: Datos sobre poder nacional para respaldar las ponderaciones de PNT.</w:t>
      </w:r>
    </w:p>
    <w:p w14:paraId="0164AC99" w14:textId="77777777" w:rsidR="00B2451E" w:rsidRPr="005843B6" w:rsidRDefault="00300068" w:rsidP="00B2451E">
      <w:pPr>
        <w:rPr>
          <w:rFonts w:ascii="Calibri" w:hAnsi="Calibri" w:cs="Calibri"/>
          <w:color w:val="000000" w:themeColor="text1"/>
          <w:sz w:val="20"/>
          <w:szCs w:val="20"/>
        </w:rPr>
      </w:pPr>
      <w:r w:rsidRPr="00300068">
        <w:rPr>
          <w:rFonts w:ascii="Calibri" w:hAnsi="Calibri" w:cs="Calibri"/>
          <w:noProof/>
          <w:color w:val="000000" w:themeColor="text1"/>
          <w:sz w:val="20"/>
          <w:szCs w:val="20"/>
          <w14:ligatures w14:val="standardContextual"/>
        </w:rPr>
        <w:pict w14:anchorId="13ED3365">
          <v:rect id="_x0000_i1025" alt="" style="width:441.9pt;height:.05pt;mso-width-percent:0;mso-height-percent:0;mso-width-percent:0;mso-height-percent:0" o:hralign="center" o:hrstd="t" o:hr="t" fillcolor="#a0a0a0" stroked="f"/>
        </w:pict>
      </w:r>
    </w:p>
    <w:p w14:paraId="0E3E277A" w14:textId="77777777" w:rsidR="00B2451E" w:rsidRDefault="00B2451E" w:rsidP="00B2451E">
      <w:pPr>
        <w:pStyle w:val="Ttulo3"/>
        <w:spacing w:before="0" w:after="0"/>
        <w:rPr>
          <w:rFonts w:cs="Calibri"/>
          <w:color w:val="000000" w:themeColor="text1"/>
          <w:sz w:val="20"/>
          <w:szCs w:val="20"/>
        </w:rPr>
      </w:pPr>
    </w:p>
    <w:p w14:paraId="017D2826" w14:textId="77777777" w:rsidR="00B2451E" w:rsidRPr="005843B6" w:rsidRDefault="00B2451E" w:rsidP="00B2451E">
      <w:pPr>
        <w:pStyle w:val="TtulosVariable"/>
      </w:pPr>
      <w:r w:rsidRPr="005843B6">
        <w:t>Reflexión Final</w:t>
      </w:r>
    </w:p>
    <w:p w14:paraId="3979FAF5" w14:textId="77777777" w:rsidR="00B2451E" w:rsidRDefault="00B2451E" w:rsidP="00B2451E">
      <w:pPr>
        <w:pStyle w:val="NormalWeb"/>
        <w:spacing w:before="0" w:beforeAutospacing="0" w:after="0" w:afterAutospacing="0"/>
        <w:rPr>
          <w:color w:val="000000" w:themeColor="text1"/>
        </w:rPr>
      </w:pPr>
    </w:p>
    <w:p w14:paraId="179D4D3B" w14:textId="77777777" w:rsidR="00B2451E" w:rsidRPr="005843B6" w:rsidRDefault="00B2451E" w:rsidP="00B2451E">
      <w:pPr>
        <w:pStyle w:val="NormalWeb"/>
        <w:spacing w:before="0" w:beforeAutospacing="0" w:after="0" w:afterAutospacing="0"/>
        <w:jc w:val="both"/>
        <w:rPr>
          <w:color w:val="000000" w:themeColor="text1"/>
        </w:rPr>
      </w:pPr>
      <w:r w:rsidRPr="005843B6">
        <w:rPr>
          <w:color w:val="000000" w:themeColor="text1"/>
        </w:rPr>
        <w:t>Las métricas de la tabla están diseñadas para evaluar de manera integral los riesgos de los elementos de infraestructura crítica en el contexto de un modelo de análisis de conflictos. La Fragilidad ante Eventos Naturales (FEN) y Ataques No Convencionales (FANC) identifican vulnerabilidades específicas, mientras que la Importancia Base (IB) y la Vulnerabilidad Tecnológica (VT) contextualizan la relevancia y exposición del elemento. El Factor de Vulnerabilidad Total (FVT) y la Ponderación Final (PF) integran estas métricas en una evaluación de riesgo general, y el Impacto en el RMD (IRMD) mide su contribución a dinámicas de conflicto. Las ponderaciones (CAMO=0.25, PNT=0.1) aseguran que el análisis priorice las capacidades militares y la importancia estratégica, proporcionando un enfoque equilibrado para la gestión de riesgos.</w:t>
      </w:r>
    </w:p>
    <w:p w14:paraId="111AD889" w14:textId="77777777" w:rsidR="00AD1EB2" w:rsidRDefault="00AD1EB2"/>
    <w:sectPr w:rsidR="00AD1EB2">
      <w:headerReference w:type="default" r:id="rId60"/>
      <w:footerReference w:type="default" r:id="rId6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FCDD6" w14:textId="77777777" w:rsidR="00300068" w:rsidRDefault="00300068" w:rsidP="00B2451E">
      <w:r>
        <w:separator/>
      </w:r>
    </w:p>
  </w:endnote>
  <w:endnote w:type="continuationSeparator" w:id="0">
    <w:p w14:paraId="0F8B2D13" w14:textId="77777777" w:rsidR="00300068" w:rsidRDefault="00300068" w:rsidP="00B24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Futura">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Futura" w:hAnsi="Futura" w:cs="Futura"/>
        <w:b/>
        <w:bCs/>
        <w:color w:val="0070C0"/>
      </w:rPr>
      <w:id w:val="1024443282"/>
      <w:docPartObj>
        <w:docPartGallery w:val="Page Numbers (Bottom of Page)"/>
        <w:docPartUnique/>
      </w:docPartObj>
    </w:sdtPr>
    <w:sdtContent>
      <w:p w14:paraId="7BAE9111" w14:textId="77777777" w:rsidR="00B2451E" w:rsidRPr="00E55F81" w:rsidRDefault="00B2451E" w:rsidP="00B2451E">
        <w:pPr>
          <w:pStyle w:val="Piedepgina"/>
          <w:framePr w:w="638" w:wrap="none" w:vAnchor="text" w:hAnchor="page" w:x="10863" w:y="-44"/>
          <w:jc w:val="right"/>
          <w:rPr>
            <w:rStyle w:val="Nmerodepgina"/>
            <w:rFonts w:ascii="Futura" w:hAnsi="Futura" w:cs="Futura"/>
            <w:b/>
            <w:bCs/>
            <w:color w:val="0070C0"/>
          </w:rPr>
        </w:pPr>
        <w:r w:rsidRPr="00E55F81">
          <w:rPr>
            <w:rStyle w:val="Nmerodepgina"/>
            <w:rFonts w:ascii="Futura" w:hAnsi="Futura" w:cs="Futura"/>
            <w:b/>
            <w:bCs/>
            <w:color w:val="0070C0"/>
          </w:rPr>
          <w:fldChar w:fldCharType="begin"/>
        </w:r>
        <w:r w:rsidRPr="00E55F81">
          <w:rPr>
            <w:rStyle w:val="Nmerodepgina"/>
            <w:rFonts w:ascii="Futura" w:hAnsi="Futura" w:cs="Futura"/>
            <w:b/>
            <w:bCs/>
            <w:color w:val="0070C0"/>
          </w:rPr>
          <w:instrText xml:space="preserve"> PAGE </w:instrText>
        </w:r>
        <w:r w:rsidRPr="00E55F81">
          <w:rPr>
            <w:rStyle w:val="Nmerodepgina"/>
            <w:rFonts w:ascii="Futura" w:hAnsi="Futura" w:cs="Futura"/>
            <w:b/>
            <w:bCs/>
            <w:color w:val="0070C0"/>
          </w:rPr>
          <w:fldChar w:fldCharType="separate"/>
        </w:r>
        <w:r>
          <w:rPr>
            <w:rStyle w:val="Nmerodepgina"/>
            <w:rFonts w:ascii="Futura" w:hAnsi="Futura" w:cs="Futura"/>
            <w:b/>
            <w:bCs/>
            <w:color w:val="0070C0"/>
          </w:rPr>
          <w:t>141</w:t>
        </w:r>
        <w:r w:rsidRPr="00E55F81">
          <w:rPr>
            <w:rStyle w:val="Nmerodepgina"/>
            <w:rFonts w:ascii="Futura" w:hAnsi="Futura" w:cs="Futura"/>
            <w:b/>
            <w:bCs/>
            <w:color w:val="0070C0"/>
          </w:rPr>
          <w:fldChar w:fldCharType="end"/>
        </w:r>
      </w:p>
    </w:sdtContent>
  </w:sdt>
  <w:p w14:paraId="56B0E79E" w14:textId="091C7E96" w:rsidR="00B2451E" w:rsidRPr="00B2451E" w:rsidRDefault="00B2451E" w:rsidP="00B2451E">
    <w:pPr>
      <w:ind w:right="360"/>
      <w:rPr>
        <w:rFonts w:ascii="Calibri" w:hAnsi="Calibri" w:cs="Calibri"/>
      </w:rPr>
    </w:pPr>
    <w:r>
      <w:tab/>
    </w:r>
    <w:r w:rsidRPr="000C6B2F">
      <w:rPr>
        <w:rFonts w:ascii="Calibri" w:hAnsi="Calibri" w:cs="Calibri"/>
      </w:rPr>
      <w:ptab w:relativeTo="margin" w:alignment="center" w:leader="none"/>
    </w:r>
    <w:r w:rsidRPr="000C6B2F">
      <w:rPr>
        <w:rFonts w:ascii="Calibri" w:hAnsi="Calibri" w:cs="Calibri"/>
        <w:b/>
        <w:bCs/>
        <w:sz w:val="13"/>
        <w:szCs w:val="13"/>
        <w:lang w:val="es-ES_tradnl"/>
      </w:rPr>
      <w:t>Modelo de Revolución Molecular Disipada - RMD 2.0</w:t>
    </w:r>
    <w:r>
      <w:rPr>
        <w:rFonts w:ascii="Calibri" w:hAnsi="Calibri" w:cs="Calibri"/>
        <w:b/>
        <w:bCs/>
        <w:sz w:val="13"/>
        <w:szCs w:val="13"/>
        <w:lang w:val="es-ES_tradnl"/>
      </w:rPr>
      <w:t xml:space="preserve"> </w:t>
    </w:r>
    <w:r>
      <w:rPr>
        <w:rFonts w:ascii="Calibri" w:hAnsi="Calibri" w:cs="Calibri"/>
        <w:b/>
        <w:bCs/>
        <w:sz w:val="20"/>
        <w:szCs w:val="20"/>
        <w:lang w:val="es-ES_tradnl"/>
      </w:rPr>
      <w:t>®</w:t>
    </w:r>
    <w:r w:rsidRPr="000C6B2F">
      <w:rPr>
        <w:rFonts w:ascii="Calibri" w:hAnsi="Calibri" w:cs="Calibri"/>
        <w:b/>
        <w:bCs/>
        <w:sz w:val="13"/>
        <w:szCs w:val="13"/>
        <w:lang w:val="es-ES_tradnl"/>
      </w:rPr>
      <w:t xml:space="preserve"> - Alexis López Tapia &amp; </w:t>
    </w:r>
    <w:proofErr w:type="spellStart"/>
    <w:r w:rsidRPr="000C6B2F">
      <w:rPr>
        <w:rFonts w:ascii="Calibri" w:hAnsi="Calibri" w:cs="Calibri"/>
        <w:b/>
        <w:bCs/>
        <w:sz w:val="13"/>
        <w:szCs w:val="13"/>
        <w:lang w:val="es-ES_tradnl"/>
      </w:rPr>
      <w:t>Grok</w:t>
    </w:r>
    <w:proofErr w:type="spellEnd"/>
    <w:r w:rsidRPr="000C6B2F">
      <w:rPr>
        <w:rFonts w:ascii="Calibri" w:hAnsi="Calibri" w:cs="Calibri"/>
        <w:b/>
        <w:bCs/>
        <w:sz w:val="13"/>
        <w:szCs w:val="13"/>
        <w:lang w:val="es-ES_tradnl"/>
      </w:rPr>
      <w:t xml:space="preserve"> (</w:t>
    </w:r>
    <w:proofErr w:type="spellStart"/>
    <w:r w:rsidRPr="000C6B2F">
      <w:rPr>
        <w:rFonts w:ascii="Calibri" w:hAnsi="Calibri" w:cs="Calibri"/>
        <w:b/>
        <w:bCs/>
        <w:sz w:val="13"/>
        <w:szCs w:val="13"/>
        <w:lang w:val="es-ES_tradnl"/>
      </w:rPr>
      <w:t>xAI</w:t>
    </w:r>
    <w:proofErr w:type="spellEnd"/>
    <w:r w:rsidRPr="000C6B2F">
      <w:rPr>
        <w:rFonts w:ascii="Calibri" w:hAnsi="Calibri" w:cs="Calibri"/>
        <w:b/>
        <w:bCs/>
        <w:sz w:val="13"/>
        <w:szCs w:val="13"/>
        <w:lang w:val="es-ES_tradnl"/>
      </w:rPr>
      <w:t>),</w:t>
    </w:r>
    <w:r>
      <w:rPr>
        <w:rFonts w:ascii="Calibri" w:hAnsi="Calibri" w:cs="Calibri"/>
        <w:b/>
        <w:bCs/>
        <w:sz w:val="13"/>
        <w:szCs w:val="13"/>
        <w:lang w:val="es-ES_tradnl"/>
      </w:rPr>
      <w:t xml:space="preserve"> </w:t>
    </w:r>
    <w:r w:rsidRPr="000C6B2F">
      <w:rPr>
        <w:rFonts w:ascii="Calibri" w:hAnsi="Calibri" w:cs="Calibri"/>
        <w:b/>
        <w:bCs/>
        <w:sz w:val="13"/>
        <w:szCs w:val="13"/>
        <w:lang w:val="es-ES_tradnl"/>
      </w:rPr>
      <w:t xml:space="preserve">2025 </w:t>
    </w:r>
    <w:r w:rsidRPr="000C6B2F">
      <w:rPr>
        <w:rFonts w:ascii="Calibri" w:hAnsi="Calibri" w:cs="Calibri"/>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7AF68" w14:textId="77777777" w:rsidR="00300068" w:rsidRDefault="00300068" w:rsidP="00B2451E">
      <w:r>
        <w:separator/>
      </w:r>
    </w:p>
  </w:footnote>
  <w:footnote w:type="continuationSeparator" w:id="0">
    <w:p w14:paraId="7D01EB2C" w14:textId="77777777" w:rsidR="00300068" w:rsidRDefault="00300068" w:rsidP="00B245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4CBF" w14:textId="77777777" w:rsidR="00B2451E" w:rsidRPr="00587474" w:rsidRDefault="00B2451E" w:rsidP="00B2451E">
    <w:pPr>
      <w:pStyle w:val="Encabezado"/>
      <w:tabs>
        <w:tab w:val="clear" w:pos="4419"/>
        <w:tab w:val="clear" w:pos="8838"/>
        <w:tab w:val="right" w:pos="10065"/>
      </w:tabs>
      <w:rPr>
        <w:color w:val="002060"/>
      </w:rPr>
    </w:pPr>
    <w:r>
      <w:rPr>
        <w:rFonts w:ascii="Futura" w:hAnsi="Futura" w:cs="Futura"/>
        <w:b/>
        <w:bCs/>
        <w:color w:val="002060"/>
        <w:lang w:val="es-ES_tradnl"/>
      </w:rPr>
      <w:t>MODELO DE REVOLUCIÓN MOLECULAR DISIPADA</w:t>
    </w:r>
    <w:r w:rsidRPr="00587474">
      <w:rPr>
        <w:rFonts w:ascii="Futura" w:hAnsi="Futura" w:cs="Futura"/>
        <w:b/>
        <w:bCs/>
        <w:color w:val="002060"/>
        <w:lang w:val="es-ES_tradnl"/>
      </w:rPr>
      <w:tab/>
    </w:r>
    <w:r>
      <w:rPr>
        <w:rFonts w:ascii="Futura" w:hAnsi="Futura" w:cs="Futura"/>
        <w:b/>
        <w:bCs/>
        <w:color w:val="002060"/>
        <w:lang w:val="es-ES_tradnl"/>
      </w:rPr>
      <w:t>RMD 2.0</w:t>
    </w:r>
  </w:p>
  <w:p w14:paraId="7F2C3D1A" w14:textId="77777777" w:rsidR="00B2451E" w:rsidRDefault="00B245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2C0"/>
    <w:multiLevelType w:val="multilevel"/>
    <w:tmpl w:val="1A50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527A4"/>
    <w:multiLevelType w:val="multilevel"/>
    <w:tmpl w:val="027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C1BED"/>
    <w:multiLevelType w:val="multilevel"/>
    <w:tmpl w:val="2C3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E66E0"/>
    <w:multiLevelType w:val="multilevel"/>
    <w:tmpl w:val="F8C6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911CF"/>
    <w:multiLevelType w:val="multilevel"/>
    <w:tmpl w:val="D968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81204"/>
    <w:multiLevelType w:val="multilevel"/>
    <w:tmpl w:val="C148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F1862"/>
    <w:multiLevelType w:val="multilevel"/>
    <w:tmpl w:val="18D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2569F"/>
    <w:multiLevelType w:val="multilevel"/>
    <w:tmpl w:val="B63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3417B"/>
    <w:multiLevelType w:val="multilevel"/>
    <w:tmpl w:val="B348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10EEA"/>
    <w:multiLevelType w:val="multilevel"/>
    <w:tmpl w:val="9F4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B7D7D"/>
    <w:multiLevelType w:val="multilevel"/>
    <w:tmpl w:val="EA2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A7FBD"/>
    <w:multiLevelType w:val="multilevel"/>
    <w:tmpl w:val="968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521E8"/>
    <w:multiLevelType w:val="multilevel"/>
    <w:tmpl w:val="1380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23535"/>
    <w:multiLevelType w:val="multilevel"/>
    <w:tmpl w:val="F262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82325"/>
    <w:multiLevelType w:val="multilevel"/>
    <w:tmpl w:val="D4E0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139BE"/>
    <w:multiLevelType w:val="multilevel"/>
    <w:tmpl w:val="F3D4A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6046A"/>
    <w:multiLevelType w:val="multilevel"/>
    <w:tmpl w:val="010C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14B95"/>
    <w:multiLevelType w:val="multilevel"/>
    <w:tmpl w:val="9AA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E2DA6"/>
    <w:multiLevelType w:val="multilevel"/>
    <w:tmpl w:val="EA6C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F7D03"/>
    <w:multiLevelType w:val="multilevel"/>
    <w:tmpl w:val="7CD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A4C83"/>
    <w:multiLevelType w:val="hybridMultilevel"/>
    <w:tmpl w:val="19C612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C9376A8"/>
    <w:multiLevelType w:val="multilevel"/>
    <w:tmpl w:val="D302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F6CCB"/>
    <w:multiLevelType w:val="multilevel"/>
    <w:tmpl w:val="D55C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D5026"/>
    <w:multiLevelType w:val="multilevel"/>
    <w:tmpl w:val="181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B2E5A"/>
    <w:multiLevelType w:val="multilevel"/>
    <w:tmpl w:val="F80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120DB"/>
    <w:multiLevelType w:val="multilevel"/>
    <w:tmpl w:val="5D5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2C0B9C"/>
    <w:multiLevelType w:val="multilevel"/>
    <w:tmpl w:val="FE1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40B40"/>
    <w:multiLevelType w:val="multilevel"/>
    <w:tmpl w:val="A94A0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7B02B3"/>
    <w:multiLevelType w:val="multilevel"/>
    <w:tmpl w:val="954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22FB5"/>
    <w:multiLevelType w:val="multilevel"/>
    <w:tmpl w:val="EA34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27FBC"/>
    <w:multiLevelType w:val="multilevel"/>
    <w:tmpl w:val="6A8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67588"/>
    <w:multiLevelType w:val="multilevel"/>
    <w:tmpl w:val="4A4E2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6505C"/>
    <w:multiLevelType w:val="multilevel"/>
    <w:tmpl w:val="64BC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B1F21"/>
    <w:multiLevelType w:val="hybridMultilevel"/>
    <w:tmpl w:val="ECE81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4C5E96"/>
    <w:multiLevelType w:val="multilevel"/>
    <w:tmpl w:val="EE04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966319">
    <w:abstractNumId w:val="22"/>
  </w:num>
  <w:num w:numId="2" w16cid:durableId="1225945682">
    <w:abstractNumId w:val="18"/>
  </w:num>
  <w:num w:numId="3" w16cid:durableId="935404779">
    <w:abstractNumId w:val="31"/>
  </w:num>
  <w:num w:numId="4" w16cid:durableId="1532526474">
    <w:abstractNumId w:val="32"/>
  </w:num>
  <w:num w:numId="5" w16cid:durableId="1294364124">
    <w:abstractNumId w:val="15"/>
  </w:num>
  <w:num w:numId="6" w16cid:durableId="319039437">
    <w:abstractNumId w:val="26"/>
  </w:num>
  <w:num w:numId="7" w16cid:durableId="285083260">
    <w:abstractNumId w:val="10"/>
  </w:num>
  <w:num w:numId="8" w16cid:durableId="2046758865">
    <w:abstractNumId w:val="30"/>
  </w:num>
  <w:num w:numId="9" w16cid:durableId="1011760772">
    <w:abstractNumId w:val="34"/>
  </w:num>
  <w:num w:numId="10" w16cid:durableId="106967552">
    <w:abstractNumId w:val="0"/>
  </w:num>
  <w:num w:numId="11" w16cid:durableId="658266506">
    <w:abstractNumId w:val="29"/>
  </w:num>
  <w:num w:numId="12" w16cid:durableId="1893036131">
    <w:abstractNumId w:val="17"/>
  </w:num>
  <w:num w:numId="13" w16cid:durableId="1609771136">
    <w:abstractNumId w:val="25"/>
  </w:num>
  <w:num w:numId="14" w16cid:durableId="863594764">
    <w:abstractNumId w:val="28"/>
  </w:num>
  <w:num w:numId="15" w16cid:durableId="143861761">
    <w:abstractNumId w:val="19"/>
  </w:num>
  <w:num w:numId="16" w16cid:durableId="207493142">
    <w:abstractNumId w:val="27"/>
  </w:num>
  <w:num w:numId="17" w16cid:durableId="2030833281">
    <w:abstractNumId w:val="21"/>
  </w:num>
  <w:num w:numId="18" w16cid:durableId="196312463">
    <w:abstractNumId w:val="5"/>
  </w:num>
  <w:num w:numId="19" w16cid:durableId="1880123908">
    <w:abstractNumId w:val="6"/>
  </w:num>
  <w:num w:numId="20" w16cid:durableId="998996870">
    <w:abstractNumId w:val="7"/>
  </w:num>
  <w:num w:numId="21" w16cid:durableId="1735933385">
    <w:abstractNumId w:val="14"/>
  </w:num>
  <w:num w:numId="22" w16cid:durableId="143619659">
    <w:abstractNumId w:val="33"/>
  </w:num>
  <w:num w:numId="23" w16cid:durableId="288123194">
    <w:abstractNumId w:val="4"/>
  </w:num>
  <w:num w:numId="24" w16cid:durableId="906378110">
    <w:abstractNumId w:val="16"/>
  </w:num>
  <w:num w:numId="25" w16cid:durableId="1100219740">
    <w:abstractNumId w:val="9"/>
  </w:num>
  <w:num w:numId="26" w16cid:durableId="1445805129">
    <w:abstractNumId w:val="24"/>
  </w:num>
  <w:num w:numId="27" w16cid:durableId="1891456716">
    <w:abstractNumId w:val="1"/>
  </w:num>
  <w:num w:numId="28" w16cid:durableId="2068602335">
    <w:abstractNumId w:val="8"/>
  </w:num>
  <w:num w:numId="29" w16cid:durableId="2033721672">
    <w:abstractNumId w:val="3"/>
  </w:num>
  <w:num w:numId="30" w16cid:durableId="1398094545">
    <w:abstractNumId w:val="2"/>
  </w:num>
  <w:num w:numId="31" w16cid:durableId="571234590">
    <w:abstractNumId w:val="13"/>
  </w:num>
  <w:num w:numId="32" w16cid:durableId="1512254974">
    <w:abstractNumId w:val="11"/>
  </w:num>
  <w:num w:numId="33" w16cid:durableId="1705522928">
    <w:abstractNumId w:val="12"/>
  </w:num>
  <w:num w:numId="34" w16cid:durableId="1148742168">
    <w:abstractNumId w:val="23"/>
  </w:num>
  <w:num w:numId="35" w16cid:durableId="12027453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1E"/>
    <w:rsid w:val="000D62EC"/>
    <w:rsid w:val="002B7A25"/>
    <w:rsid w:val="00300068"/>
    <w:rsid w:val="0037302C"/>
    <w:rsid w:val="00441300"/>
    <w:rsid w:val="006F7759"/>
    <w:rsid w:val="0072515A"/>
    <w:rsid w:val="007732B8"/>
    <w:rsid w:val="00932FB8"/>
    <w:rsid w:val="009C5CC3"/>
    <w:rsid w:val="009F25F3"/>
    <w:rsid w:val="00AD1EB2"/>
    <w:rsid w:val="00B2451E"/>
    <w:rsid w:val="00B66E42"/>
    <w:rsid w:val="00BF1059"/>
    <w:rsid w:val="00C121DD"/>
    <w:rsid w:val="00D97720"/>
    <w:rsid w:val="00F43F32"/>
    <w:rsid w:val="00F84E3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555A0"/>
  <w15:chartTrackingRefBased/>
  <w15:docId w15:val="{2A114570-82E9-6246-B167-FE356124B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059"/>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B24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4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245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245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45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451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451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451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451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45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45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245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245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45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45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45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45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451E"/>
    <w:rPr>
      <w:rFonts w:eastAsiaTheme="majorEastAsia" w:cstheme="majorBidi"/>
      <w:color w:val="272727" w:themeColor="text1" w:themeTint="D8"/>
    </w:rPr>
  </w:style>
  <w:style w:type="paragraph" w:styleId="Ttulo">
    <w:name w:val="Title"/>
    <w:basedOn w:val="Normal"/>
    <w:next w:val="Normal"/>
    <w:link w:val="TtuloCar"/>
    <w:uiPriority w:val="10"/>
    <w:qFormat/>
    <w:rsid w:val="00B2451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45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45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45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451E"/>
    <w:pPr>
      <w:spacing w:before="160"/>
      <w:jc w:val="center"/>
    </w:pPr>
    <w:rPr>
      <w:i/>
      <w:iCs/>
      <w:color w:val="404040" w:themeColor="text1" w:themeTint="BF"/>
    </w:rPr>
  </w:style>
  <w:style w:type="character" w:customStyle="1" w:styleId="CitaCar">
    <w:name w:val="Cita Car"/>
    <w:basedOn w:val="Fuentedeprrafopredeter"/>
    <w:link w:val="Cita"/>
    <w:uiPriority w:val="29"/>
    <w:rsid w:val="00B2451E"/>
    <w:rPr>
      <w:i/>
      <w:iCs/>
      <w:color w:val="404040" w:themeColor="text1" w:themeTint="BF"/>
    </w:rPr>
  </w:style>
  <w:style w:type="paragraph" w:styleId="Prrafodelista">
    <w:name w:val="List Paragraph"/>
    <w:basedOn w:val="Normal"/>
    <w:uiPriority w:val="34"/>
    <w:qFormat/>
    <w:rsid w:val="00B2451E"/>
    <w:pPr>
      <w:ind w:left="720"/>
      <w:contextualSpacing/>
    </w:pPr>
  </w:style>
  <w:style w:type="character" w:styleId="nfasisintenso">
    <w:name w:val="Intense Emphasis"/>
    <w:basedOn w:val="Fuentedeprrafopredeter"/>
    <w:uiPriority w:val="21"/>
    <w:qFormat/>
    <w:rsid w:val="00B2451E"/>
    <w:rPr>
      <w:i/>
      <w:iCs/>
      <w:color w:val="0F4761" w:themeColor="accent1" w:themeShade="BF"/>
    </w:rPr>
  </w:style>
  <w:style w:type="paragraph" w:styleId="Citadestacada">
    <w:name w:val="Intense Quote"/>
    <w:basedOn w:val="Normal"/>
    <w:next w:val="Normal"/>
    <w:link w:val="CitadestacadaCar"/>
    <w:uiPriority w:val="30"/>
    <w:qFormat/>
    <w:rsid w:val="00B24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451E"/>
    <w:rPr>
      <w:i/>
      <w:iCs/>
      <w:color w:val="0F4761" w:themeColor="accent1" w:themeShade="BF"/>
    </w:rPr>
  </w:style>
  <w:style w:type="character" w:styleId="Referenciaintensa">
    <w:name w:val="Intense Reference"/>
    <w:basedOn w:val="Fuentedeprrafopredeter"/>
    <w:uiPriority w:val="32"/>
    <w:qFormat/>
    <w:rsid w:val="00B2451E"/>
    <w:rPr>
      <w:b/>
      <w:bCs/>
      <w:smallCaps/>
      <w:color w:val="0F4761" w:themeColor="accent1" w:themeShade="BF"/>
      <w:spacing w:val="5"/>
    </w:rPr>
  </w:style>
  <w:style w:type="paragraph" w:customStyle="1" w:styleId="TtulosVariable">
    <w:name w:val="Títulos Variable"/>
    <w:basedOn w:val="Normal"/>
    <w:qFormat/>
    <w:rsid w:val="00B2451E"/>
    <w:pPr>
      <w:autoSpaceDE w:val="0"/>
      <w:autoSpaceDN w:val="0"/>
      <w:adjustRightInd w:val="0"/>
      <w:jc w:val="both"/>
    </w:pPr>
    <w:rPr>
      <w:rFonts w:ascii="Calibri" w:eastAsiaTheme="minorHAnsi" w:hAnsi="Calibri" w:cs="Calibri"/>
      <w:b/>
      <w:bCs/>
      <w:color w:val="002060"/>
      <w:sz w:val="20"/>
      <w:szCs w:val="20"/>
      <w:lang w:val="es-MX" w:eastAsia="en-US"/>
      <w14:ligatures w14:val="standardContextual"/>
    </w:rPr>
  </w:style>
  <w:style w:type="character" w:styleId="Hipervnculo">
    <w:name w:val="Hyperlink"/>
    <w:basedOn w:val="Fuentedeprrafopredeter"/>
    <w:uiPriority w:val="99"/>
    <w:unhideWhenUsed/>
    <w:rsid w:val="00B2451E"/>
    <w:rPr>
      <w:color w:val="467886" w:themeColor="hyperlink"/>
      <w:u w:val="single"/>
    </w:rPr>
  </w:style>
  <w:style w:type="paragraph" w:customStyle="1" w:styleId="TtulodeEsquizes">
    <w:name w:val="Título de Esquizes"/>
    <w:basedOn w:val="Normal"/>
    <w:qFormat/>
    <w:rsid w:val="00B2451E"/>
    <w:pPr>
      <w:spacing w:line="278" w:lineRule="auto"/>
      <w:jc w:val="both"/>
    </w:pPr>
    <w:rPr>
      <w:rFonts w:ascii="Futura" w:eastAsiaTheme="minorHAnsi" w:hAnsi="Futura" w:cs="Futura"/>
      <w:b/>
      <w:bCs/>
      <w:caps/>
      <w:color w:val="0070C0"/>
      <w:sz w:val="20"/>
      <w:szCs w:val="20"/>
      <w:lang w:val="es-MX" w:eastAsia="en-US"/>
      <w14:ligatures w14:val="standardContextual"/>
    </w:rPr>
  </w:style>
  <w:style w:type="paragraph" w:styleId="NormalWeb">
    <w:name w:val="Normal (Web)"/>
    <w:basedOn w:val="Normal"/>
    <w:uiPriority w:val="99"/>
    <w:unhideWhenUsed/>
    <w:rsid w:val="00B2451E"/>
    <w:pPr>
      <w:spacing w:before="100" w:beforeAutospacing="1" w:after="100" w:afterAutospacing="1"/>
    </w:pPr>
    <w:rPr>
      <w:rFonts w:ascii="Calibri" w:hAnsi="Calibri" w:cs="Calibri"/>
      <w:sz w:val="20"/>
      <w:szCs w:val="20"/>
    </w:rPr>
  </w:style>
  <w:style w:type="character" w:styleId="Textoennegrita">
    <w:name w:val="Strong"/>
    <w:basedOn w:val="Fuentedeprrafopredeter"/>
    <w:uiPriority w:val="22"/>
    <w:qFormat/>
    <w:rsid w:val="00B2451E"/>
    <w:rPr>
      <w:b/>
      <w:bCs/>
    </w:rPr>
  </w:style>
  <w:style w:type="table" w:styleId="Tablaconcuadrcula4-nfasis1">
    <w:name w:val="Grid Table 4 Accent 1"/>
    <w:basedOn w:val="Tablanormal"/>
    <w:uiPriority w:val="49"/>
    <w:rsid w:val="00B2451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cabezado">
    <w:name w:val="header"/>
    <w:basedOn w:val="Normal"/>
    <w:link w:val="EncabezadoCar"/>
    <w:uiPriority w:val="99"/>
    <w:unhideWhenUsed/>
    <w:rsid w:val="00B2451E"/>
    <w:pPr>
      <w:tabs>
        <w:tab w:val="center" w:pos="4419"/>
        <w:tab w:val="right" w:pos="8838"/>
      </w:tabs>
    </w:pPr>
  </w:style>
  <w:style w:type="character" w:customStyle="1" w:styleId="EncabezadoCar">
    <w:name w:val="Encabezado Car"/>
    <w:basedOn w:val="Fuentedeprrafopredeter"/>
    <w:link w:val="Encabezado"/>
    <w:uiPriority w:val="99"/>
    <w:rsid w:val="00B2451E"/>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B2451E"/>
    <w:pPr>
      <w:tabs>
        <w:tab w:val="center" w:pos="4419"/>
        <w:tab w:val="right" w:pos="8838"/>
      </w:tabs>
    </w:pPr>
  </w:style>
  <w:style w:type="character" w:customStyle="1" w:styleId="PiedepginaCar">
    <w:name w:val="Pie de página Car"/>
    <w:basedOn w:val="Fuentedeprrafopredeter"/>
    <w:link w:val="Piedepgina"/>
    <w:uiPriority w:val="99"/>
    <w:rsid w:val="00B2451E"/>
    <w:rPr>
      <w:rFonts w:ascii="Times New Roman" w:eastAsia="Times New Roman" w:hAnsi="Times New Roman" w:cs="Times New Roman"/>
      <w:kern w:val="0"/>
      <w:lang w:eastAsia="es-MX"/>
      <w14:ligatures w14:val="none"/>
    </w:rPr>
  </w:style>
  <w:style w:type="character" w:styleId="Nmerodepgina">
    <w:name w:val="page number"/>
    <w:basedOn w:val="Fuentedeprrafopredeter"/>
    <w:uiPriority w:val="99"/>
    <w:semiHidden/>
    <w:unhideWhenUsed/>
    <w:rsid w:val="00B2451E"/>
  </w:style>
  <w:style w:type="paragraph" w:customStyle="1" w:styleId="break-words">
    <w:name w:val="break-words"/>
    <w:basedOn w:val="Normal"/>
    <w:rsid w:val="00F43F32"/>
    <w:pPr>
      <w:spacing w:before="100" w:beforeAutospacing="1" w:after="100" w:afterAutospacing="1"/>
    </w:pPr>
  </w:style>
  <w:style w:type="character" w:customStyle="1" w:styleId="katex-mathml">
    <w:name w:val="katex-mathml"/>
    <w:basedOn w:val="Fuentedeprrafopredeter"/>
    <w:rsid w:val="00F43F32"/>
  </w:style>
  <w:style w:type="character" w:customStyle="1" w:styleId="mord">
    <w:name w:val="mord"/>
    <w:basedOn w:val="Fuentedeprrafopredeter"/>
    <w:rsid w:val="00F43F32"/>
  </w:style>
  <w:style w:type="character" w:customStyle="1" w:styleId="vlist-s">
    <w:name w:val="vlist-s"/>
    <w:basedOn w:val="Fuentedeprrafopredeter"/>
    <w:rsid w:val="00F43F32"/>
  </w:style>
  <w:style w:type="character" w:customStyle="1" w:styleId="mrel">
    <w:name w:val="mrel"/>
    <w:basedOn w:val="Fuentedeprrafopredeter"/>
    <w:rsid w:val="00F43F32"/>
  </w:style>
  <w:style w:type="character" w:customStyle="1" w:styleId="mbin">
    <w:name w:val="mbin"/>
    <w:basedOn w:val="Fuentedeprrafopredeter"/>
    <w:rsid w:val="00F43F32"/>
  </w:style>
  <w:style w:type="character" w:customStyle="1" w:styleId="mop">
    <w:name w:val="mop"/>
    <w:basedOn w:val="Fuentedeprrafopredeter"/>
    <w:rsid w:val="00F43F32"/>
  </w:style>
  <w:style w:type="character" w:customStyle="1" w:styleId="mopen">
    <w:name w:val="mopen"/>
    <w:basedOn w:val="Fuentedeprrafopredeter"/>
    <w:rsid w:val="00F43F32"/>
  </w:style>
  <w:style w:type="character" w:customStyle="1" w:styleId="mclose">
    <w:name w:val="mclose"/>
    <w:basedOn w:val="Fuentedeprrafopredeter"/>
    <w:rsid w:val="00F43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31408">
      <w:bodyDiv w:val="1"/>
      <w:marLeft w:val="0"/>
      <w:marRight w:val="0"/>
      <w:marTop w:val="0"/>
      <w:marBottom w:val="0"/>
      <w:divBdr>
        <w:top w:val="none" w:sz="0" w:space="0" w:color="auto"/>
        <w:left w:val="none" w:sz="0" w:space="0" w:color="auto"/>
        <w:bottom w:val="none" w:sz="0" w:space="0" w:color="auto"/>
        <w:right w:val="none" w:sz="0" w:space="0" w:color="auto"/>
      </w:divBdr>
    </w:div>
    <w:div w:id="1663701097">
      <w:bodyDiv w:val="1"/>
      <w:marLeft w:val="0"/>
      <w:marRight w:val="0"/>
      <w:marTop w:val="0"/>
      <w:marBottom w:val="0"/>
      <w:divBdr>
        <w:top w:val="none" w:sz="0" w:space="0" w:color="auto"/>
        <w:left w:val="none" w:sz="0" w:space="0" w:color="auto"/>
        <w:bottom w:val="none" w:sz="0" w:space="0" w:color="auto"/>
        <w:right w:val="none" w:sz="0" w:space="0" w:color="auto"/>
      </w:divBdr>
    </w:div>
    <w:div w:id="1914969101">
      <w:bodyDiv w:val="1"/>
      <w:marLeft w:val="0"/>
      <w:marRight w:val="0"/>
      <w:marTop w:val="0"/>
      <w:marBottom w:val="0"/>
      <w:divBdr>
        <w:top w:val="none" w:sz="0" w:space="0" w:color="auto"/>
        <w:left w:val="none" w:sz="0" w:space="0" w:color="auto"/>
        <w:bottom w:val="none" w:sz="0" w:space="0" w:color="auto"/>
        <w:right w:val="none" w:sz="0" w:space="0" w:color="auto"/>
      </w:divBdr>
    </w:div>
    <w:div w:id="207299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frastructurereportcard.org/" TargetMode="External"/><Relationship Id="rId18" Type="http://schemas.openxmlformats.org/officeDocument/2006/relationships/hyperlink" Target="https://www.dhs.gov/publication/infrastructure-vulnerability-assessment" TargetMode="External"/><Relationship Id="rId26" Type="http://schemas.openxmlformats.org/officeDocument/2006/relationships/hyperlink" Target="https://www.enisa.europa.eu/publications/enisa-threat-landscape-2023" TargetMode="External"/><Relationship Id="rId39" Type="http://schemas.openxmlformats.org/officeDocument/2006/relationships/hyperlink" Target="https://www.dhs.gov/" TargetMode="External"/><Relationship Id="rId21" Type="http://schemas.openxmlformats.org/officeDocument/2006/relationships/hyperlink" Target="https://www.oecd.org/dac/conflict-fragility-resilience/conflict-fragility-framework.htm" TargetMode="External"/><Relationship Id="rId34" Type="http://schemas.openxmlformats.org/officeDocument/2006/relationships/hyperlink" Target="https://www.cisa.gov/" TargetMode="External"/><Relationship Id="rId42" Type="http://schemas.openxmlformats.org/officeDocument/2006/relationships/hyperlink" Target="https://www.gihub.org/" TargetMode="External"/><Relationship Id="rId47" Type="http://schemas.openxmlformats.org/officeDocument/2006/relationships/hyperlink" Target="https://media.defense.gov/2023/Oct/19/2003323409/-1/-1/1/2023-MILITARY-AND-SECURITY-DEVELOPMENTS-INVOLVING-THE-PEOPLES-REPUBLIC-OF-CHINA.PDF" TargetMode="External"/><Relationship Id="rId50" Type="http://schemas.openxmlformats.org/officeDocument/2006/relationships/hyperlink" Target="https://www.un.org/counterterrorism/protection-critical-infrastructure" TargetMode="External"/><Relationship Id="rId55" Type="http://schemas.openxmlformats.org/officeDocument/2006/relationships/hyperlink" Target="https://www.start.umd.edu/gtd/" TargetMode="External"/><Relationship Id="rId63" Type="http://schemas.openxmlformats.org/officeDocument/2006/relationships/theme" Target="theme/theme1.xml"/><Relationship Id="rId7" Type="http://schemas.openxmlformats.org/officeDocument/2006/relationships/hyperlink" Target="https://www.cisa.gov/topics/critical-infrastructure-security-and-resilience/critical-infrastructure-sectors" TargetMode="External"/><Relationship Id="rId2" Type="http://schemas.openxmlformats.org/officeDocument/2006/relationships/styles" Target="styles.xml"/><Relationship Id="rId16" Type="http://schemas.openxmlformats.org/officeDocument/2006/relationships/hyperlink" Target="https://www.itu.int/en/ITU-D/Cybersecurity/Pages/global-cybersecurity-index.aspx" TargetMode="External"/><Relationship Id="rId29" Type="http://schemas.openxmlformats.org/officeDocument/2006/relationships/hyperlink" Target="https://preview.grid.unep.ch/" TargetMode="External"/><Relationship Id="rId11" Type="http://schemas.openxmlformats.org/officeDocument/2006/relationships/hyperlink" Target="https://www.start.umd.edu/gtd/" TargetMode="External"/><Relationship Id="rId24" Type="http://schemas.openxmlformats.org/officeDocument/2006/relationships/hyperlink" Target="https://www.un.org/counterterrorism/protection-critical-infrastructure" TargetMode="External"/><Relationship Id="rId32" Type="http://schemas.openxmlformats.org/officeDocument/2006/relationships/hyperlink" Target="https://www.iiss.org/research/military-balance" TargetMode="External"/><Relationship Id="rId37" Type="http://schemas.openxmlformats.org/officeDocument/2006/relationships/hyperlink" Target="https://www.start.umd.edu/gtd/" TargetMode="External"/><Relationship Id="rId40" Type="http://schemas.openxmlformats.org/officeDocument/2006/relationships/hyperlink" Target="https://www.enisa.europa.eu/publications/enisa-threat-landscape-2023" TargetMode="External"/><Relationship Id="rId45" Type="http://schemas.openxmlformats.org/officeDocument/2006/relationships/hyperlink" Target="https://www.oecd.org/" TargetMode="External"/><Relationship Id="rId53" Type="http://schemas.openxmlformats.org/officeDocument/2006/relationships/hyperlink" Target="https://www.who.int/publications/i/item/water-sanitation-and-hygiene-in-emergencies" TargetMode="External"/><Relationship Id="rId58" Type="http://schemas.openxmlformats.org/officeDocument/2006/relationships/hyperlink" Target="https://ec.europa.eu/jrc/en/global-conflict-risk-index" TargetMode="Externa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hyperlink" Target="https://ec.europa.eu/home-affairs/critical-infrastructure-risk-assessment_en" TargetMode="External"/><Relationship Id="rId14" Type="http://schemas.openxmlformats.org/officeDocument/2006/relationships/hyperlink" Target="https://outlook.gihub.org/" TargetMode="External"/><Relationship Id="rId22" Type="http://schemas.openxmlformats.org/officeDocument/2006/relationships/hyperlink" Target="https://ec.europa.eu/jrc/en/global-conflict-risk-index" TargetMode="External"/><Relationship Id="rId27" Type="http://schemas.openxmlformats.org/officeDocument/2006/relationships/hyperlink" Target="https://www.start.umd.edu/gtd/" TargetMode="External"/><Relationship Id="rId30" Type="http://schemas.openxmlformats.org/officeDocument/2006/relationships/hyperlink" Target="https://www.worldbank.org/en/results/2013/04/12/building-resilience-integrating-climate-disaster-risk-development" TargetMode="External"/><Relationship Id="rId35" Type="http://schemas.openxmlformats.org/officeDocument/2006/relationships/hyperlink" Target="https://weltrisikobericht.de/en/" TargetMode="External"/><Relationship Id="rId43" Type="http://schemas.openxmlformats.org/officeDocument/2006/relationships/hyperlink" Target="https://www.iiss.org/" TargetMode="External"/><Relationship Id="rId48" Type="http://schemas.openxmlformats.org/officeDocument/2006/relationships/hyperlink" Target="https://home-affairs.ec.europa.eu/policies/internal-security/protection-critical-infrastructure_en" TargetMode="External"/><Relationship Id="rId56" Type="http://schemas.openxmlformats.org/officeDocument/2006/relationships/hyperlink" Target="https://www.itu.int/en/ITU-D/Cybersecurity/Pages/global-cybersecurity-index.aspx" TargetMode="External"/><Relationship Id="rId8" Type="http://schemas.openxmlformats.org/officeDocument/2006/relationships/hyperlink" Target="https://www.un.org/counterterrorism/sites/www.un.org.counterterrorism/files/uncct_cip_guidelines.pdf" TargetMode="External"/><Relationship Id="rId51" Type="http://schemas.openxmlformats.org/officeDocument/2006/relationships/hyperlink" Target="https://preview.grid.unep.ch/" TargetMode="External"/><Relationship Id="rId3" Type="http://schemas.openxmlformats.org/officeDocument/2006/relationships/settings" Target="settings.xml"/><Relationship Id="rId12" Type="http://schemas.openxmlformats.org/officeDocument/2006/relationships/hyperlink" Target="https://www.enisa.europa.eu/topics/cyber-threats" TargetMode="External"/><Relationship Id="rId17" Type="http://schemas.openxmlformats.org/officeDocument/2006/relationships/hyperlink" Target="https://csrc.nist.gov/publications/detail/sp/800-30/rev-1/final" TargetMode="External"/><Relationship Id="rId25" Type="http://schemas.openxmlformats.org/officeDocument/2006/relationships/hyperlink" Target="https://www.start.umd.edu/gtd/" TargetMode="External"/><Relationship Id="rId33" Type="http://schemas.openxmlformats.org/officeDocument/2006/relationships/hyperlink" Target="https://www.globalfirepower.com/" TargetMode="External"/><Relationship Id="rId38" Type="http://schemas.openxmlformats.org/officeDocument/2006/relationships/hyperlink" Target="https://www.csis.org/programs/strategic-technologies-program/significant-cyber-incidents" TargetMode="External"/><Relationship Id="rId46" Type="http://schemas.openxmlformats.org/officeDocument/2006/relationships/hyperlink" Target="https://www.asce.org/" TargetMode="External"/><Relationship Id="rId59" Type="http://schemas.openxmlformats.org/officeDocument/2006/relationships/hyperlink" Target="https://www.globalfirepower.com/" TargetMode="External"/><Relationship Id="rId20" Type="http://schemas.openxmlformats.org/officeDocument/2006/relationships/hyperlink" Target="https://www.worldbank.org/en/topic/disasterriskmanagement/publication/risk-prioritization-framework" TargetMode="External"/><Relationship Id="rId41" Type="http://schemas.openxmlformats.org/officeDocument/2006/relationships/hyperlink" Target="https://www.globalfirepower.com/" TargetMode="External"/><Relationship Id="rId54" Type="http://schemas.openxmlformats.org/officeDocument/2006/relationships/hyperlink" Target="https://preview.grid.unep.ch/"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isa.gov/publication/cybersecurity-reports" TargetMode="External"/><Relationship Id="rId23" Type="http://schemas.openxmlformats.org/officeDocument/2006/relationships/hyperlink" Target="https://media.defense.gov/2023/Oct/19/2003323409/-1/-1/1/2023-MILITARY-AND-SECURITY-DEVELOPMENTS-INVOLVING-THE-PEOPLES-REPUBLIC-OF-CHINA.PDF" TargetMode="External"/><Relationship Id="rId28" Type="http://schemas.openxmlformats.org/officeDocument/2006/relationships/hyperlink" Target="https://www.csis.org/programs/strategic-technologies-program/significant-cyber-incidents" TargetMode="External"/><Relationship Id="rId36" Type="http://schemas.openxmlformats.org/officeDocument/2006/relationships/hyperlink" Target="https://joint-research-centre.ec.europa.eu/index_en" TargetMode="External"/><Relationship Id="rId49" Type="http://schemas.openxmlformats.org/officeDocument/2006/relationships/hyperlink" Target="https://www.itu.int/en/ITU-D/Cybersecurity/Pages/global-cybersecurity-index.aspx" TargetMode="External"/><Relationship Id="rId57" Type="http://schemas.openxmlformats.org/officeDocument/2006/relationships/hyperlink" Target="https://outlook.gihub.org/" TargetMode="External"/><Relationship Id="rId10" Type="http://schemas.openxmlformats.org/officeDocument/2006/relationships/hyperlink" Target="https://weltrisikobericht.de/en/world-risk-report-2023/" TargetMode="External"/><Relationship Id="rId31" Type="http://schemas.openxmlformats.org/officeDocument/2006/relationships/hyperlink" Target="https://www.who.int/publications/i/item/water-sanitation-and-hygiene-in-emergencies" TargetMode="External"/><Relationship Id="rId44" Type="http://schemas.openxmlformats.org/officeDocument/2006/relationships/hyperlink" Target="https://csrc.nist.gov/projects/risk-management" TargetMode="External"/><Relationship Id="rId52" Type="http://schemas.openxmlformats.org/officeDocument/2006/relationships/hyperlink" Target="https://www.worldbank.org/en/results/2013/04/12/building-resilience-integrating-climate-disaster-risk-development" TargetMode="External"/><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review.grid.unep.ch/"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5328</Words>
  <Characters>29304</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4</cp:revision>
  <dcterms:created xsi:type="dcterms:W3CDTF">2025-05-15T21:23:00Z</dcterms:created>
  <dcterms:modified xsi:type="dcterms:W3CDTF">2025-05-17T23:25:00Z</dcterms:modified>
</cp:coreProperties>
</file>