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160" w:before="0"/>
        <w:jc w:val="center"/>
      </w:pPr>
      <w:r>
        <w:rPr>
          <w:rFonts w:ascii="Arial" w:cs="Arial" w:eastAsia="Arial" w:hAnsi="Arial"/>
          <w:b/>
          <w:bCs/>
          <w:color w:val="1F3864"/>
          <w:sz w:val="52"/>
          <w:szCs w:val="52"/>
        </w:rPr>
        <w:t xml:space="preserve">FÓRMULAS COSMOSEMIÓTICAS HOMOLOGADAS</w:t>
      </w:r>
    </w:p>
    <w:p>
      <w:pPr>
        <w:spacing w:after="80" w:before="0"/>
        <w:jc w:val="center"/>
      </w:pPr>
      <w:r>
        <w:rPr>
          <w:rFonts w:ascii="Arial" w:cs="Arial" w:eastAsia="Arial" w:hAnsi="Arial"/>
          <w:i/>
          <w:iCs/>
          <w:color w:val="2E75B6"/>
          <w:sz w:val="28"/>
          <w:szCs w:val="28"/>
        </w:rPr>
        <w:t xml:space="preserve">Modelo Cosmosemiótico — Versión FINAL Revisada</w:t>
      </w:r>
    </w:p>
    <w:p>
      <w:pPr>
        <w:spacing w:after="80" w:before="0"/>
        <w:jc w:val="center"/>
      </w:pPr>
      <w:r>
        <w:rPr>
          <w:rFonts w:ascii="Arial" w:cs="Arial" w:eastAsia="Arial" w:hAnsi="Arial"/>
          <w:color w:val="777777"/>
          <w:sz w:val="22"/>
          <w:szCs w:val="22"/>
        </w:rPr>
        <w:t xml:space="preserve">Consolidación de revisiones Claude + DeepSeek</w:t>
      </w:r>
    </w:p>
    <w:p>
      <w:pPr>
        <w:pBdr>
          <w:bottom w:val="single" w:color="2E75B6" w:sz="8" w:space="1"/>
        </w:pBdr>
        <w:spacing w:after="160" w:before="160"/>
      </w:pPr>
      <w:r>
        <w:t xml:space="preserve"/>
      </w:r>
    </w:p>
    <w:p>
      <w:pPr>
        <w:spacing w:after="0" w:before="0"/>
      </w:pPr>
      <w:r>
        <w:t xml:space="preserve"/>
      </w:r>
    </w:p>
    <w:p>
      <w:pPr>
        <w:spacing w:after="60" w:before="80"/>
      </w:pPr>
      <w:r>
        <w:rPr>
          <w:rFonts w:ascii="Arial" w:cs="Arial" w:eastAsia="Arial" w:hAnsi="Arial"/>
          <w:b/>
          <w:bCs/>
          <w:color w:val="1F3864"/>
          <w:sz w:val="22"/>
          <w:szCs w:val="22"/>
        </w:rPr>
        <w:t xml:space="preserve">INVARIANTE ESTRUCTURAL DEL NÚCLEO:</w:t>
      </w:r>
    </w:p>
    <w:p>
      <w:pPr>
        <w:shd w:fill="D6E4F0" w:val="clear"/>
        <w:spacing w:after="140" w:before="140"/>
        <w:jc w:val="center"/>
      </w:pPr>
      <w:r>
        <w:rPr>
          <w:rFonts w:ascii="Courier New" w:cs="Courier New" w:eastAsia="Courier New" w:hAnsi="Courier New"/>
          <w:b/>
          <w:bCs/>
          <w:color w:val="1F3864"/>
          <w:sz w:val="24"/>
          <w:szCs w:val="24"/>
        </w:rPr>
        <w:t xml:space="preserve">ICR + IRDE = RC</w:t>
      </w:r>
    </w:p>
    <w:p>
      <w:pPr>
        <w:spacing w:after="70" w:before="60"/>
      </w:pPr>
      <w:r>
        <w:rPr>
          <w:rFonts w:ascii="Arial" w:cs="Arial" w:eastAsia="Arial" w:hAnsi="Arial"/>
          <w:b/>
          <w:bCs/>
          <w:sz w:val="22"/>
          <w:szCs w:val="22"/>
        </w:rPr>
        <w:t xml:space="preserve">Regla Canónica Rectora:</w:t>
      </w:r>
      <w:r>
        <w:rPr>
          <w:rFonts w:ascii="Arial" w:cs="Arial" w:eastAsia="Arial" w:hAnsi="Arial"/>
          <w:sz w:val="22"/>
          <w:szCs w:val="22"/>
        </w:rPr>
        <w:t xml:space="preserve"> Toda fórmula cosmosemiótica derivada debe preservar la compatibilidad con el núcleo RC–INR–ICR/IRDE del paper base. Cuando una magnitud derivada no sea intrínsecamente [0,1], deberá declararse obligatoriamente en versión </w:t>
      </w:r>
      <w:r>
        <w:rPr>
          <w:rFonts w:ascii="Arial" w:cs="Arial" w:eastAsia="Arial" w:hAnsi="Arial"/>
          <w:b/>
          <w:bCs/>
          <w:sz w:val="22"/>
          <w:szCs w:val="22"/>
        </w:rPr>
        <w:t xml:space="preserve">raw</w:t>
      </w:r>
      <w:r>
        <w:rPr>
          <w:rFonts w:ascii="Arial" w:cs="Arial" w:eastAsia="Arial" w:hAnsi="Arial"/>
          <w:sz w:val="22"/>
          <w:szCs w:val="22"/>
        </w:rPr>
        <w:t xml:space="preserve"> y versión </w:t>
      </w:r>
      <w:r>
        <w:rPr>
          <w:rFonts w:ascii="Arial" w:cs="Arial" w:eastAsia="Arial" w:hAnsi="Arial"/>
          <w:b/>
          <w:bCs/>
          <w:sz w:val="22"/>
          <w:szCs w:val="22"/>
        </w:rPr>
        <w:t xml:space="preserve">normalizada (_n)</w:t>
      </w:r>
      <w:r>
        <w:rPr>
          <w:rFonts w:ascii="Arial" w:cs="Arial" w:eastAsia="Arial" w:hAnsi="Arial"/>
          <w:sz w:val="22"/>
          <w:szCs w:val="22"/>
        </w:rPr>
        <w:t xml:space="preserve">, evitando presentar como "índice normalizado" una razón o producto de rango abierto.</w:t>
      </w:r>
    </w:p>
    <w:p>
      <w:pPr>
        <w:spacing w:after="0" w:before="0"/>
      </w:pPr>
      <w:r>
        <w:t xml:space="preserve"/>
      </w:r>
    </w:p>
    <w:p>
      <w:pPr>
        <w:spacing w:after="60" w:before="80"/>
      </w:pPr>
      <w:r>
        <w:rPr>
          <w:rFonts w:ascii="Arial" w:cs="Arial" w:eastAsia="Arial" w:hAnsi="Arial"/>
          <w:b/>
          <w:bCs/>
          <w:color w:val="C00000"/>
          <w:sz w:val="22"/>
          <w:szCs w:val="22"/>
        </w:rPr>
        <w:t xml:space="preserve">REGLA DE PLANO DE ANÁLISIS (CANÓNICA):</w:t>
      </w:r>
    </w:p>
    <w:p>
      <w:pPr>
        <w:spacing w:after="70" w:before="60"/>
      </w:pPr>
      <w:r>
        <w:rPr>
          <w:rFonts w:ascii="Arial" w:cs="Arial" w:eastAsia="Arial" w:hAnsi="Arial"/>
          <w:sz w:val="22"/>
          <w:szCs w:val="22"/>
        </w:rPr>
        <w:t xml:space="preserve">Antes de aplicar cualquier fórmula, el analista debe declarar el plano: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Plano</w:t>
            </w:r>
          </w:p>
        </w:tc>
        <w:tc>
          <w:tcPr>
            <w:tcW w:type="dxa" w:w="3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Objeto de análisis</w:t>
            </w:r>
          </w:p>
        </w:tc>
        <w:tc>
          <w:tcPr>
            <w:tcW w:type="dxa" w:w="4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Métricas principales</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 — Semiótico</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Texto / discurso como sistema semiótico</w:t>
            </w:r>
          </w:p>
        </w:tc>
        <w:tc>
          <w:tcPr>
            <w:tcW w:type="dxa" w:w="4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ICR, IRDE, IEOS, IAS_X, IDCS, Ceff, PS, Ls, IEES, IDP, IGM-Cos, LFE(t)</w:t>
            </w:r>
          </w:p>
        </w:tc>
      </w:tr>
      <w:tr>
        <w:tc>
          <w:tcPr>
            <w:tcW w:type="dxa" w:w="1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 — Sistémico</w:t>
            </w:r>
          </w:p>
        </w:tc>
        <w:tc>
          <w:tcPr>
            <w:tcW w:type="dxa" w:w="3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Fenómeno real (agente, entorno, sistema)</w:t>
            </w:r>
          </w:p>
        </w:tc>
        <w:tc>
          <w:tcPr>
            <w:tcW w:type="dxa" w:w="4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IDSΨ, IAH, IEES (Plano B), IPEM-Cos, Bext-Cos, CEE-Cos, LF_inmune, SIE</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 — Correspondencia</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Vínculo entre Plano A y Plano B (variable puente)</w:t>
            </w:r>
          </w:p>
        </w:tc>
        <w:tc>
          <w:tcPr>
            <w:tcW w:type="dxa" w:w="4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Mmeta, IExap, VDA-Cos, ICRA</w:t>
            </w:r>
          </w:p>
        </w:tc>
      </w:tr>
    </w:tbl>
    <w:p>
      <w:pPr>
        <w:spacing w:after="80" w:before="80"/>
        <w:ind w:left="560"/>
      </w:pPr>
      <w:r>
        <w:rPr>
          <w:rFonts w:ascii="Arial" w:cs="Arial" w:eastAsia="Arial" w:hAnsi="Arial"/>
          <w:b/>
          <w:bCs/>
          <w:i/>
          <w:iCs/>
          <w:color w:val="2E75B6"/>
          <w:sz w:val="20"/>
          <w:szCs w:val="20"/>
        </w:rPr>
        <w:t xml:space="preserve">Restricción: </w:t>
      </w:r>
      <w:r>
        <w:rPr>
          <w:rFonts w:ascii="Arial" w:cs="Arial" w:eastAsia="Arial" w:hAnsi="Arial"/>
          <w:i/>
          <w:iCs/>
          <w:sz w:val="20"/>
          <w:szCs w:val="20"/>
        </w:rPr>
        <w:t xml:space="preserve">No se permite mezclar planos sin transición explícita. Toda aplicación que cruce planos debe declarar el punto de transición y la variable puente utilizada.</w:t>
      </w:r>
    </w:p>
    <w:p>
      <w:pPr>
        <w:pBdr>
          <w:bottom w:val="single" w:color="2E75B6" w:sz="8" w:space="1"/>
        </w:pBdr>
        <w:spacing w:after="160" w:before="160"/>
      </w:pPr>
      <w:r>
        <w:t xml:space="preserve"/>
      </w:r>
    </w:p>
    <w:p>
      <w:pPr>
        <w:pageBreakBefore/>
      </w:pPr>
      <w:r>
        <w:t xml:space="preserve"/>
      </w:r>
    </w:p>
    <w:p>
      <w:pPr>
        <w:shd w:fill="1F3864" w:val="clear"/>
        <w:spacing w:after="200" w:before="300"/>
      </w:pPr>
      <w:r>
        <w:rPr>
          <w:rFonts w:ascii="Arial" w:cs="Arial" w:eastAsia="Arial" w:hAnsi="Arial"/>
          <w:b/>
          <w:bCs/>
          <w:color w:val="FFFFFF"/>
          <w:sz w:val="30"/>
          <w:szCs w:val="30"/>
        </w:rPr>
        <w:t xml:space="preserve">  LOTE 1 — MÉTRICAS FUNDAMENTALES (NÚCLEO INTOCABLE)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2600"/>
        <w:gridCol w:w="2900"/>
        <w:gridCol w:w="800"/>
        <w:gridCol w:w="760"/>
      </w:tblGrid>
      <w:tr>
        <w:trPr>
          <w:tblHeader/>
        </w:trPr>
        <w:tc>
          <w:tcPr>
            <w:tcW w:type="dxa" w:w="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Nº</w:t>
            </w:r>
          </w:p>
        </w:tc>
        <w:tc>
          <w:tcPr>
            <w:tcW w:type="dxa" w:w="9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Sigla</w:t>
            </w:r>
          </w:p>
        </w:tc>
        <w:tc>
          <w:tcPr>
            <w:tcW w:type="dxa" w:w="2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Nombre</w:t>
            </w:r>
          </w:p>
        </w:tc>
        <w:tc>
          <w:tcPr>
            <w:tcW w:type="dxa" w:w="29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Fórmula</w:t>
            </w:r>
          </w:p>
        </w:tc>
        <w:tc>
          <w:tcPr>
            <w:tcW w:type="dxa" w:w="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Rango</w:t>
            </w:r>
          </w:p>
        </w:tc>
        <w:tc>
          <w:tcPr>
            <w:tcW w:type="dxa" w:w="7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Plano</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ICR</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Índice de Conversión de Ruido</w:t>
            </w:r>
          </w:p>
        </w:tc>
        <w:tc>
          <w:tcPr>
            <w:tcW w:type="dxa" w:w="2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ICR = RC × (1 − INR)</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w:t>
            </w:r>
          </w:p>
        </w:tc>
        <w:tc>
          <w:tcPr>
            <w:tcW w:type="dxa" w:w="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w:t>
            </w:r>
          </w:p>
        </w:tc>
      </w:tr>
      <w:tr>
        <w:tc>
          <w:tcPr>
            <w:tcW w:type="dxa" w:w="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w:t>
            </w:r>
          </w:p>
        </w:tc>
        <w:tc>
          <w:tcPr>
            <w:tcW w:type="dxa" w:w="9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IRDE</w:t>
            </w:r>
          </w:p>
        </w:tc>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Índice de Riesgo de Desviación Ética</w:t>
            </w:r>
          </w:p>
        </w:tc>
        <w:tc>
          <w:tcPr>
            <w:tcW w:type="dxa" w:w="29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IRDE = RC × INR</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w:t>
            </w:r>
          </w:p>
        </w:tc>
        <w:tc>
          <w:tcPr>
            <w:tcW w:type="dxa" w:w="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IEOS</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Índice de Eficiencia de Operadores Semióticos</w:t>
            </w:r>
          </w:p>
        </w:tc>
        <w:tc>
          <w:tcPr>
            <w:tcW w:type="dxa" w:w="2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IEOS = wI·eI + wΦ·eΦ + wK·eK</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w:t>
            </w:r>
          </w:p>
        </w:tc>
        <w:tc>
          <w:tcPr>
            <w:tcW w:type="dxa" w:w="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w:t>
            </w:r>
          </w:p>
        </w:tc>
      </w:tr>
      <w:tr>
        <w:tc>
          <w:tcPr>
            <w:tcW w:type="dxa" w:w="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w:t>
            </w:r>
          </w:p>
        </w:tc>
        <w:tc>
          <w:tcPr>
            <w:tcW w:type="dxa" w:w="9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IExap</w:t>
            </w:r>
          </w:p>
        </w:tc>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Índice de Exaptación Funcional</w:t>
            </w:r>
          </w:p>
        </w:tc>
        <w:tc>
          <w:tcPr>
            <w:tcW w:type="dxa" w:w="29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IExap_n = min(1, max(0,α·ΔICR)+β·Πmod)</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w:t>
            </w:r>
          </w:p>
        </w:tc>
        <w:tc>
          <w:tcPr>
            <w:tcW w:type="dxa" w:w="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5</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IAS_X</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Índice de Acoplamiento Señal/Ruido</w:t>
            </w:r>
          </w:p>
        </w:tc>
        <w:tc>
          <w:tcPr>
            <w:tcW w:type="dxa" w:w="2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IAS_X = σs/(σs+κs)</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w:t>
            </w:r>
          </w:p>
        </w:tc>
        <w:tc>
          <w:tcPr>
            <w:tcW w:type="dxa" w:w="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w:t>
            </w:r>
          </w:p>
        </w:tc>
      </w:tr>
      <w:tr>
        <w:tc>
          <w:tcPr>
            <w:tcW w:type="dxa" w:w="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6</w:t>
            </w:r>
          </w:p>
        </w:tc>
        <w:tc>
          <w:tcPr>
            <w:tcW w:type="dxa" w:w="9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IDCS</w:t>
            </w:r>
          </w:p>
        </w:tc>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Índice de Contradicción Semiótica</w:t>
            </w:r>
          </w:p>
        </w:tc>
        <w:tc>
          <w:tcPr>
            <w:tcW w:type="dxa" w:w="29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IDCS = 1 − |σs−κs|/(σs+κs)</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w:t>
            </w:r>
          </w:p>
        </w:tc>
        <w:tc>
          <w:tcPr>
            <w:tcW w:type="dxa" w:w="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7</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IDD</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Índice de Detección en Dispersión</w:t>
            </w:r>
          </w:p>
        </w:tc>
        <w:tc>
          <w:tcPr>
            <w:tcW w:type="dxa" w:w="2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IDD = α·√(ICR·ρ) + β·ρ</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w:t>
            </w:r>
          </w:p>
        </w:tc>
        <w:tc>
          <w:tcPr>
            <w:tcW w:type="dxa" w:w="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w:t>
            </w:r>
          </w:p>
        </w:tc>
      </w:tr>
      <w:tr>
        <w:tc>
          <w:tcPr>
            <w:tcW w:type="dxa" w:w="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8</w:t>
            </w:r>
          </w:p>
        </w:tc>
        <w:tc>
          <w:tcPr>
            <w:tcW w:type="dxa" w:w="9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ICRA</w:t>
            </w:r>
          </w:p>
        </w:tc>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Índice de Curva RC–INR Óptima</w:t>
            </w:r>
          </w:p>
        </w:tc>
        <w:tc>
          <w:tcPr>
            <w:tcW w:type="dxa" w:w="29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arg max{RC·[1−INR·(1+λ)]}</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(RC*,INR*)</w:t>
            </w:r>
          </w:p>
        </w:tc>
        <w:tc>
          <w:tcPr>
            <w:tcW w:type="dxa" w:w="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w:t>
            </w:r>
          </w:p>
        </w:tc>
      </w:tr>
    </w:tbl>
    <w:p>
      <w:pPr>
        <w:spacing w:after="0" w:before="0"/>
      </w:pPr>
      <w:r>
        <w:t xml:space="preserve"/>
      </w:r>
    </w:p>
    <w:p>
      <w:pPr>
        <w:shd w:fill="2E75B6" w:val="clear"/>
        <w:spacing w:after="80" w:before="200"/>
      </w:pPr>
      <w:r>
        <w:rPr>
          <w:rFonts w:ascii="Arial" w:cs="Arial" w:eastAsia="Arial" w:hAnsi="Arial"/>
          <w:b/>
          <w:bCs/>
          <w:color w:val="FFFFFF"/>
          <w:sz w:val="26"/>
          <w:szCs w:val="26"/>
        </w:rPr>
        <w:t xml:space="preserve">  1. ICR  —  Índice de Conversión de Ruido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Plano de análisis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 — Semiótico (texto / discurso)</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canónica</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ICR = RC × (1 − INR)</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Rango</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Fuente</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Exaptación de la variable LF del paper «Evolución, Inteligencia y Cosmosemiótica» (2025)</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Introducción</w:t>
      </w:r>
    </w:p>
    <w:p>
      <w:pPr>
        <w:spacing w:after="70" w:before="60"/>
      </w:pPr>
      <w:r>
        <w:rPr>
          <w:rFonts w:ascii="Arial" w:cs="Arial" w:eastAsia="Arial" w:hAnsi="Arial"/>
          <w:sz w:val="22"/>
          <w:szCs w:val="22"/>
        </w:rPr>
        <w:t xml:space="preserve">El Índice de Conversión de Ruido (ICR) es una métrica fundamental del bloque Cosmosemiótica del RMD 2.0. No es una invención del RMD, sino la exaptación de la variable LF (Libertad Funcional) definida en el paper «Evolución, Inteligencia y Cosmosemiótica» (2025).</w:t>
      </w:r>
    </w:p>
    <w:p>
      <w:pPr>
        <w:spacing w:after="70" w:before="60"/>
      </w:pPr>
      <w:r>
        <w:rPr>
          <w:rFonts w:ascii="Arial" w:cs="Arial" w:eastAsia="Arial" w:hAnsi="Arial"/>
          <w:sz w:val="22"/>
          <w:szCs w:val="22"/>
        </w:rPr>
        <w:t xml:space="preserve">El ICR mide la potencia semiótica efectiva de un sistema: su capacidad para transformar el "ruido contextual" (RC) —la información dispersa, ambigua o lateral presente en un mensaje o canal— en "sentido" útil y comprensible, minimizando la distancia interpretativa (INR). Es la métrica de la eficacia semiótica.</w:t>
      </w:r>
    </w:p>
    <w:p>
      <w:pPr>
        <w:spacing w:after="70" w:before="60"/>
      </w:pPr>
      <w:r>
        <w:rPr>
          <w:rFonts w:ascii="Arial" w:cs="Arial" w:eastAsia="Arial" w:hAnsi="Arial"/>
          <w:b/>
          <w:bCs/>
          <w:sz w:val="22"/>
          <w:szCs w:val="22"/>
        </w:rPr>
        <w:t xml:space="preserve">Un ICR alto</w:t>
      </w:r>
      <w:r>
        <w:rPr>
          <w:rFonts w:ascii="Arial" w:cs="Arial" w:eastAsia="Arial" w:hAnsi="Arial"/>
          <w:sz w:val="22"/>
          <w:szCs w:val="22"/>
        </w:rPr>
        <w:t xml:space="preserve"> indica que el sistema opera en un "jardín fértil": aprovecha la ambigüedad del entorno para generar significado sin caer en la confusión. </w:t>
      </w:r>
      <w:r>
        <w:rPr>
          <w:rFonts w:ascii="Arial" w:cs="Arial" w:eastAsia="Arial" w:hAnsi="Arial"/>
          <w:b/>
          <w:bCs/>
          <w:sz w:val="22"/>
          <w:szCs w:val="22"/>
        </w:rPr>
        <w:t xml:space="preserve">Un ICR bajo</w:t>
      </w:r>
      <w:r>
        <w:rPr>
          <w:rFonts w:ascii="Arial" w:cs="Arial" w:eastAsia="Arial" w:hAnsi="Arial"/>
          <w:sz w:val="22"/>
          <w:szCs w:val="22"/>
        </w:rPr>
        <w:t xml:space="preserve"> indica esterilidad o caos. El ICR es el complemento necesario del IRDE (Riesgo de Desviación Ética): mientras uno mide la eficacia, el otro mide el peligro.</w:t>
      </w:r>
    </w:p>
    <w:p>
      <w:pPr>
        <w:spacing w:after="0" w:before="0"/>
      </w:pPr>
      <w:r>
        <w:t xml:space="preserve"/>
      </w:r>
    </w:p>
    <w:p>
      <w:pPr>
        <w:pStyle w:val="Heading3"/>
        <w:spacing w:after="60" w:before="220"/>
      </w:pPr>
      <w:r>
        <w:rPr>
          <w:rFonts w:ascii="Arial" w:cs="Arial" w:eastAsia="Arial" w:hAnsi="Arial"/>
          <w:b/>
          <w:bCs/>
          <w:color w:val="1F3864"/>
          <w:sz w:val="23"/>
          <w:szCs w:val="23"/>
        </w:rPr>
        <w:t xml:space="preserve">Nota terminológica canónica</w:t>
      </w:r>
    </w:p>
    <w:p>
      <w:pPr>
        <w:spacing w:after="70" w:before="60"/>
      </w:pPr>
      <w:r>
        <w:rPr>
          <w:rFonts w:ascii="Arial" w:cs="Arial" w:eastAsia="Arial" w:hAnsi="Arial"/>
          <w:sz w:val="22"/>
          <w:szCs w:val="22"/>
        </w:rPr>
        <w:t xml:space="preserve">En el modelo, el término "ruido" se utiliza en dos sentidos distintos que deben distinguirse explícitamente:</w:t>
      </w:r>
    </w:p>
    <w:p>
      <w:pPr>
        <w:spacing w:after="40" w:before="40"/>
        <w:ind w:left="720" w:hanging="360"/>
      </w:pPr>
      <w:r>
        <w:rPr>
          <w:rFonts w:ascii="Arial" w:cs="Arial" w:eastAsia="Arial" w:hAnsi="Arial"/>
          <w:sz w:val="21"/>
          <w:szCs w:val="21"/>
        </w:rPr>
        <w:t xml:space="preserve">•  **RC (Ruido Contextual):** ambigüedad fértil, información lateral o implícita que puede ser transformada en sentido.</w:t>
      </w:r>
    </w:p>
    <w:p>
      <w:pPr>
        <w:spacing w:after="40" w:before="40"/>
        <w:ind w:left="720" w:hanging="360"/>
      </w:pPr>
      <w:r>
        <w:rPr>
          <w:rFonts w:ascii="Arial" w:cs="Arial" w:eastAsia="Arial" w:hAnsi="Arial"/>
          <w:sz w:val="21"/>
          <w:szCs w:val="21"/>
        </w:rPr>
        <w:t xml:space="preserve">•  **κs (Ruido Semántico):** interferencia degradativa que dificulta o distorsiona la interpretación.</w:t>
      </w:r>
    </w:p>
    <w:p>
      <w:pPr>
        <w:spacing w:after="70" w:before="60"/>
      </w:pPr>
      <w:r>
        <w:rPr>
          <w:rFonts w:ascii="Arial" w:cs="Arial" w:eastAsia="Arial" w:hAnsi="Arial"/>
          <w:sz w:val="22"/>
          <w:szCs w:val="22"/>
        </w:rPr>
        <w:t xml:space="preserve">Ambos no deben confundirse, ya que operan en planos distintos del proceso semiótico.</w:t>
      </w:r>
    </w:p>
    <w:p>
      <w:pPr>
        <w:spacing w:after="0" w:before="0"/>
      </w:pPr>
      <w:r>
        <w:t xml:space="preserve"/>
      </w:r>
    </w:p>
    <w:p>
      <w:pPr>
        <w:pStyle w:val="Heading3"/>
        <w:spacing w:after="60" w:before="220"/>
      </w:pPr>
      <w:r>
        <w:rPr>
          <w:rFonts w:ascii="Arial" w:cs="Arial" w:eastAsia="Arial" w:hAnsi="Arial"/>
          <w:b/>
          <w:bCs/>
          <w:color w:val="1F3864"/>
          <w:sz w:val="23"/>
          <w:szCs w:val="23"/>
        </w:rPr>
        <w:t xml:space="preserve">Definición de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560"/>
        <w:gridCol w:w="1400"/>
      </w:tblGrid>
      <w:tr>
        <w:trPr>
          <w:tblHeader/>
        </w:trPr>
        <w:tc>
          <w:tcPr>
            <w:tcW w:type="dxa" w:w="1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Parámetro</w:t>
            </w:r>
          </w:p>
        </w:tc>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Nombre</w:t>
            </w:r>
          </w:p>
        </w:tc>
        <w:tc>
          <w:tcPr>
            <w:tcW w:type="dxa" w:w="45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Definición operativa</w:t>
            </w:r>
          </w:p>
        </w:tc>
        <w:tc>
          <w:tcPr>
            <w:tcW w:type="dxa" w:w="1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Rango</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RC</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Ruido Contextual</w:t>
            </w:r>
          </w:p>
        </w:tc>
        <w:tc>
          <w:tcPr>
            <w:tcW w:type="dxa" w:w="4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Proporción de señales laterales, ambigüedades o información dispersa aprovechable. Un RC alto indica un entorno rico en matices, metáforas o información implícita.</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r>
        <w:tc>
          <w:tcPr>
            <w:tcW w:type="dxa" w:w="1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INR</w:t>
            </w:r>
          </w:p>
        </w:tc>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Índice de No-Ruido (Distancia Interpretativa)</w:t>
            </w:r>
          </w:p>
        </w:tc>
        <w:tc>
          <w:tcPr>
            <w:tcW w:type="dxa" w:w="45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Distancia semántica entre lo que se emite y lo que se comprende. 0 = comprensión perfecta; 1 = incomprensión total.</w:t>
            </w:r>
          </w:p>
        </w:tc>
        <w:tc>
          <w:tcPr>
            <w:tcW w:type="dxa" w:w="1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Fórmula numérica (canónica del paper)</w:t>
      </w:r>
    </w:p>
    <w:p>
      <w:pPr>
        <w:shd w:fill="D6E4F0" w:val="clear"/>
        <w:spacing w:after="140" w:before="140"/>
        <w:jc w:val="center"/>
      </w:pPr>
      <w:r>
        <w:rPr>
          <w:rFonts w:ascii="Courier New" w:cs="Courier New" w:eastAsia="Courier New" w:hAnsi="Courier New"/>
          <w:b/>
          <w:bCs/>
          <w:color w:val="1F3864"/>
          <w:sz w:val="24"/>
          <w:szCs w:val="24"/>
        </w:rPr>
        <w:t xml:space="preserve">ICR = RC × (1 − INR)</w:t>
      </w:r>
    </w:p>
    <w:p>
      <w:pPr>
        <w:spacing w:after="80" w:before="80"/>
        <w:ind w:left="560"/>
      </w:pPr>
      <w:r>
        <w:rPr>
          <w:rFonts w:ascii="Arial" w:cs="Arial" w:eastAsia="Arial" w:hAnsi="Arial"/>
          <w:b/>
          <w:bCs/>
          <w:i/>
          <w:iCs/>
          <w:color w:val="2E75B6"/>
          <w:sz w:val="20"/>
          <w:szCs w:val="20"/>
        </w:rPr>
        <w:t xml:space="preserve">Saturación: </w:t>
      </w:r>
      <w:r>
        <w:rPr>
          <w:rFonts w:ascii="Arial" w:cs="Arial" w:eastAsia="Arial" w:hAnsi="Arial"/>
          <w:i/>
          <w:iCs/>
          <w:sz w:val="20"/>
          <w:szCs w:val="20"/>
        </w:rPr>
        <w:t xml:space="preserve">El ICR tiene un techo natural de 1, al ser el producto de dos factores acotados entre 0 y 1. ICR = 0 indica esterilidad semiótica total; ICR → 1 indica conversión de ruido en sentido con máxima eficacia.</w:t>
      </w:r>
    </w:p>
    <w:p>
      <w:pPr>
        <w:spacing w:after="0" w:before="0"/>
      </w:pPr>
      <w:r>
        <w:t xml:space="preserve"/>
      </w:r>
    </w:p>
    <w:p>
      <w:pPr>
        <w:pStyle w:val="Heading3"/>
        <w:spacing w:after="60" w:before="220"/>
      </w:pPr>
      <w:r>
        <w:rPr>
          <w:rFonts w:ascii="Arial" w:cs="Arial" w:eastAsia="Arial" w:hAnsi="Arial"/>
          <w:b/>
          <w:bCs/>
          <w:color w:val="1F3864"/>
          <w:sz w:val="23"/>
          <w:szCs w:val="23"/>
        </w:rPr>
        <w:t xml:space="preserve">Tabla canónica de interpretación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Rango</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Nivel</w:t>
            </w:r>
          </w:p>
        </w:tc>
        <w:tc>
          <w:tcPr>
            <w:tcW w:type="dxa" w:w="5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Interpretación</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0.00 – 0.15</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Esterilidad</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no logra extraer sentido del ruido. La comunicación es ineficaz.</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0.16 – 0.35</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Baja eficacia</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 aprovecha una fracción pequeña del ruido. Predominan los mensajes literales.</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0.36 – 0.65</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Eficacia media</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aprovecha el ruido de forma moderada. Hay espacio para la metáfora.</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0.66 – 0.85</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Alta eficacia</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es fértil. Extrae sentido incluso de entornos complejos.</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0.86 – 1.00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Eficacia máxima</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opera en el "jardín fértil". Convierte casi todo el ruido en sentido.</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¿Cómo entenderlo sin fórmulas?</w:t>
      </w:r>
    </w:p>
    <w:p>
      <w:pPr>
        <w:spacing w:after="70" w:before="60"/>
      </w:pPr>
      <w:r>
        <w:rPr>
          <w:rFonts w:ascii="Arial" w:cs="Arial" w:eastAsia="Arial" w:hAnsi="Arial"/>
          <w:i/>
          <w:iCs/>
          <w:color w:val="555555"/>
          <w:sz w:val="21"/>
          <w:szCs w:val="21"/>
        </w:rPr>
        <w:t xml:space="preserve">Imagina que estás en una fiesta con mucho ruido de fondo (RC alto). Alguien te dice algo importante, pero no logras entenderlo bien (INR alto). El ICR mide qué tan bien logras, a pesar del ruido, captar el mensaje. Si eres bueno leyendo labios o el mensaje es muy claro, tu ICR es alto. Si no entiendes nada, tu ICR es bajo.</w:t>
      </w:r>
    </w:p>
    <w:p>
      <w:pPr>
        <w:spacing w:after="0" w:before="0"/>
      </w:pPr>
      <w:r>
        <w:t xml:space="preserve"/>
      </w:r>
    </w:p>
    <w:p>
      <w:pPr>
        <w:shd w:fill="2E75B6" w:val="clear"/>
        <w:spacing w:after="80" w:before="200"/>
      </w:pPr>
      <w:r>
        <w:rPr>
          <w:rFonts w:ascii="Arial" w:cs="Arial" w:eastAsia="Arial" w:hAnsi="Arial"/>
          <w:b/>
          <w:bCs/>
          <w:color w:val="FFFFFF"/>
          <w:sz w:val="26"/>
          <w:szCs w:val="26"/>
        </w:rPr>
        <w:t xml:space="preserve">  2. IRDE  —  Índice de Riesgo de Desviación Ética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Plano de análisis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 — Semiótico (texto / discurso)</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canónica</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IRDE = RC × INR</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Forma extendida</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IRDE* = RC × INR × Sd  (con severidad contextual, opcional)</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Rango</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Fuente</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Exaptación de la variable RDE del paper base (2025)</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Introducción</w:t>
      </w:r>
    </w:p>
    <w:p>
      <w:pPr>
        <w:spacing w:after="70" w:before="60"/>
      </w:pPr>
      <w:r>
        <w:rPr>
          <w:rFonts w:ascii="Arial" w:cs="Arial" w:eastAsia="Arial" w:hAnsi="Arial"/>
          <w:sz w:val="22"/>
          <w:szCs w:val="22"/>
        </w:rPr>
        <w:t xml:space="preserve">El Índice de Riesgo de Desviación Ética (IRDE) mide el </w:t>
      </w:r>
      <w:r>
        <w:rPr>
          <w:rFonts w:ascii="Arial" w:cs="Arial" w:eastAsia="Arial" w:hAnsi="Arial"/>
          <w:b/>
          <w:bCs/>
          <w:sz w:val="22"/>
          <w:szCs w:val="22"/>
        </w:rPr>
        <w:t xml:space="preserve">peligro semiótico</w:t>
      </w:r>
      <w:r>
        <w:rPr>
          <w:rFonts w:ascii="Arial" w:cs="Arial" w:eastAsia="Arial" w:hAnsi="Arial"/>
          <w:sz w:val="22"/>
          <w:szCs w:val="22"/>
        </w:rPr>
        <w:t xml:space="preserve">: la probabilidad de que un sistema, al procesar ruido contextual (RC) con alta distancia interpretativa (INR), genere interpretaciones erróneas, maliciosas o éticamente desviadas.</w:t>
      </w:r>
    </w:p>
    <w:p>
      <w:pPr>
        <w:spacing w:after="70" w:before="60"/>
      </w:pPr>
      <w:r>
        <w:rPr>
          <w:rFonts w:ascii="Arial" w:cs="Arial" w:eastAsia="Arial" w:hAnsi="Arial"/>
          <w:sz w:val="22"/>
          <w:szCs w:val="22"/>
        </w:rPr>
        <w:t xml:space="preserve">Mientras que el ICR mide la eficacia semiótica (cuánto ruido se convierte en sentido), el IRDE mide el riesgo: la fracción de ese mismo ruido que puede desviar el sistema hacia interpretaciones peligrosas o erróneas. Es el complemento necesario del ICR.</w:t>
      </w:r>
    </w:p>
    <w:p>
      <w:pPr>
        <w:spacing w:after="70" w:before="60"/>
      </w:pPr>
      <w:r>
        <w:rPr>
          <w:rFonts w:ascii="Arial" w:cs="Arial" w:eastAsia="Arial" w:hAnsi="Arial"/>
          <w:b/>
          <w:bCs/>
          <w:sz w:val="22"/>
          <w:szCs w:val="22"/>
        </w:rPr>
        <w:t xml:space="preserve">Un IRDE bajo</w:t>
      </w:r>
      <w:r>
        <w:rPr>
          <w:rFonts w:ascii="Arial" w:cs="Arial" w:eastAsia="Arial" w:hAnsi="Arial"/>
          <w:sz w:val="22"/>
          <w:szCs w:val="22"/>
        </w:rPr>
        <w:t xml:space="preserve"> indica un entorno seguro. </w:t>
      </w:r>
      <w:r>
        <w:rPr>
          <w:rFonts w:ascii="Arial" w:cs="Arial" w:eastAsia="Arial" w:hAnsi="Arial"/>
          <w:b/>
          <w:bCs/>
          <w:sz w:val="22"/>
          <w:szCs w:val="22"/>
        </w:rPr>
        <w:t xml:space="preserve">Un IRDE alto</w:t>
      </w:r>
      <w:r>
        <w:rPr>
          <w:rFonts w:ascii="Arial" w:cs="Arial" w:eastAsia="Arial" w:hAnsi="Arial"/>
          <w:sz w:val="22"/>
          <w:szCs w:val="22"/>
        </w:rPr>
        <w:t xml:space="preserve"> indica una zona de riesgo. IRDE = 1 solo es alcanzable si RC = 1 y INR = 1 simultáneamente (ruido total e incomprensión total).</w:t>
      </w:r>
    </w:p>
    <w:p>
      <w:pPr>
        <w:spacing w:after="0" w:before="0"/>
      </w:pPr>
      <w:r>
        <w:t xml:space="preserve"/>
      </w:r>
    </w:p>
    <w:p>
      <w:pPr>
        <w:pStyle w:val="Heading3"/>
        <w:spacing w:after="60" w:before="220"/>
      </w:pPr>
      <w:r>
        <w:rPr>
          <w:rFonts w:ascii="Arial" w:cs="Arial" w:eastAsia="Arial" w:hAnsi="Arial"/>
          <w:b/>
          <w:bCs/>
          <w:color w:val="1F3864"/>
          <w:sz w:val="23"/>
          <w:szCs w:val="23"/>
        </w:rPr>
        <w:t xml:space="preserve">Identidad estructural: la ley de conservación del ruido</w:t>
      </w:r>
    </w:p>
    <w:p>
      <w:pPr>
        <w:spacing w:after="70" w:before="60"/>
      </w:pPr>
      <w:r>
        <w:rPr>
          <w:rFonts w:ascii="Arial" w:cs="Arial" w:eastAsia="Arial" w:hAnsi="Arial"/>
          <w:sz w:val="22"/>
          <w:szCs w:val="22"/>
        </w:rPr>
        <w:t xml:space="preserve">ICR e IRDE no son métricas independientes. Comparten los mismos parámetros (RC, INR) y su suma revela una propiedad fundamental del modelo:</w:t>
      </w:r>
    </w:p>
    <w:p>
      <w:pPr>
        <w:shd w:fill="D6E4F0" w:val="clear"/>
        <w:spacing w:after="140" w:before="140"/>
        <w:jc w:val="center"/>
      </w:pPr>
      <w:r>
        <w:rPr>
          <w:rFonts w:ascii="Courier New" w:cs="Courier New" w:eastAsia="Courier New" w:hAnsi="Courier New"/>
          <w:b/>
          <w:bCs/>
          <w:color w:val="1F3864"/>
          <w:sz w:val="24"/>
          <w:szCs w:val="24"/>
        </w:rPr>
        <w:t xml:space="preserve">ICR + IRDE = RC × (1−INR) + RC × INR = RC</w:t>
      </w:r>
    </w:p>
    <w:p>
      <w:pPr>
        <w:spacing w:after="70" w:before="60"/>
      </w:pPr>
      <w:r>
        <w:rPr>
          <w:rFonts w:ascii="Arial" w:cs="Arial" w:eastAsia="Arial" w:hAnsi="Arial"/>
          <w:b/>
          <w:bCs/>
          <w:sz w:val="22"/>
          <w:szCs w:val="22"/>
        </w:rPr>
        <w:t xml:space="preserve">RC = ICR + IRDE</w:t>
      </w:r>
      <w:r>
        <w:rPr>
          <w:rFonts w:ascii="Arial" w:cs="Arial" w:eastAsia="Arial" w:hAnsi="Arial"/>
          <w:sz w:val="22"/>
          <w:szCs w:val="22"/>
        </w:rPr>
        <w:t xml:space="preserve"> es una ley de conservación exacta: el ruido contextual total se distribuye entre la fracción que el sistema convierte en sentido (ICR) y la fracción que permanece como riesgo de desviación ética (IRDE). No es una correlación: es una identidad algebraica bajo las mismas condiciones de estimación.</w:t>
      </w:r>
    </w:p>
    <w:p>
      <w:pPr>
        <w:spacing w:after="0" w:before="0"/>
      </w:pPr>
      <w:r>
        <w:t xml:space="preserve"/>
      </w:r>
    </w:p>
    <w:p>
      <w:pPr>
        <w:pStyle w:val="Heading3"/>
        <w:spacing w:after="60" w:before="220"/>
      </w:pPr>
      <w:r>
        <w:rPr>
          <w:rFonts w:ascii="Arial" w:cs="Arial" w:eastAsia="Arial" w:hAnsi="Arial"/>
          <w:b/>
          <w:bCs/>
          <w:color w:val="1F3864"/>
          <w:sz w:val="23"/>
          <w:szCs w:val="23"/>
        </w:rPr>
        <w:t xml:space="preserve">Forma derivada: IRDE_d</w:t>
      </w:r>
    </w:p>
    <w:p>
      <w:pPr>
        <w:spacing w:after="70" w:before="60"/>
      </w:pPr>
      <w:r>
        <w:rPr>
          <w:rFonts w:ascii="Arial" w:cs="Arial" w:eastAsia="Arial" w:hAnsi="Arial"/>
          <w:sz w:val="22"/>
          <w:szCs w:val="22"/>
        </w:rPr>
        <w:t xml:space="preserve">De la identidad anterior se desprende directamente:</w:t>
      </w:r>
    </w:p>
    <w:p>
      <w:pPr>
        <w:shd w:fill="D6E4F0" w:val="clear"/>
        <w:spacing w:after="140" w:before="140"/>
        <w:jc w:val="center"/>
      </w:pPr>
      <w:r>
        <w:rPr>
          <w:rFonts w:ascii="Courier New" w:cs="Courier New" w:eastAsia="Courier New" w:hAnsi="Courier New"/>
          <w:b/>
          <w:bCs/>
          <w:color w:val="1F3864"/>
          <w:sz w:val="24"/>
          <w:szCs w:val="24"/>
        </w:rPr>
        <w:t xml:space="preserve">IRDE_d = RC − ICR</w:t>
      </w:r>
    </w:p>
    <w:p>
      <w:pPr>
        <w:spacing w:after="70" w:before="60"/>
      </w:pPr>
      <w:r>
        <w:rPr>
          <w:rFonts w:ascii="Arial" w:cs="Arial" w:eastAsia="Arial" w:hAnsi="Arial"/>
          <w:sz w:val="22"/>
          <w:szCs w:val="22"/>
        </w:rPr>
        <w:t xml:space="preserve">Esta forma expresa el IRDE como </w:t>
      </w:r>
      <w:r>
        <w:rPr>
          <w:rFonts w:ascii="Arial" w:cs="Arial" w:eastAsia="Arial" w:hAnsi="Arial"/>
          <w:b/>
          <w:bCs/>
          <w:sz w:val="22"/>
          <w:szCs w:val="22"/>
        </w:rPr>
        <w:t xml:space="preserve">residuo del proceso semiótico</w:t>
      </w:r>
      <w:r>
        <w:rPr>
          <w:rFonts w:ascii="Arial" w:cs="Arial" w:eastAsia="Arial" w:hAnsi="Arial"/>
          <w:sz w:val="22"/>
          <w:szCs w:val="22"/>
        </w:rPr>
        <w:t xml:space="preserve">: lo que el sistema no logra convertir en sentido, permanece como riesgo. Si ICR aumenta → IRDE_d disminuye, y viceversa. La relación es exacta, no estadística.</w:t>
      </w:r>
    </w:p>
    <w:p>
      <w:pPr>
        <w:spacing w:after="80" w:before="80"/>
        <w:ind w:left="560"/>
      </w:pPr>
      <w:r>
        <w:rPr>
          <w:rFonts w:ascii="Arial" w:cs="Arial" w:eastAsia="Arial" w:hAnsi="Arial"/>
          <w:b/>
          <w:bCs/>
          <w:i/>
          <w:iCs/>
          <w:color w:val="2E75B6"/>
          <w:sz w:val="20"/>
          <w:szCs w:val="20"/>
        </w:rPr>
        <w:t xml:space="preserve">Aplicación: </w:t>
      </w:r>
      <w:r>
        <w:rPr>
          <w:rFonts w:ascii="Arial" w:cs="Arial" w:eastAsia="Arial" w:hAnsi="Arial"/>
          <w:i/>
          <w:iCs/>
          <w:sz w:val="20"/>
          <w:szCs w:val="20"/>
        </w:rPr>
        <w:t xml:space="preserve">IRDE_d es útil cuando ya se cuenta con ICR calculado y se quiere estimar el riesgo sin recalcular desde RC e INR.</w:t>
      </w:r>
    </w:p>
    <w:p>
      <w:pPr>
        <w:spacing w:after="0" w:before="0"/>
      </w:pPr>
      <w:r>
        <w:t xml:space="preserve"/>
      </w:r>
    </w:p>
    <w:p>
      <w:pPr>
        <w:pStyle w:val="Heading3"/>
        <w:spacing w:after="60" w:before="220"/>
      </w:pPr>
      <w:r>
        <w:rPr>
          <w:rFonts w:ascii="Arial" w:cs="Arial" w:eastAsia="Arial" w:hAnsi="Arial"/>
          <w:b/>
          <w:bCs/>
          <w:color w:val="1F3864"/>
          <w:sz w:val="23"/>
          <w:szCs w:val="23"/>
        </w:rPr>
        <w:t xml:space="preserve">Definición de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360"/>
        <w:gridCol w:w="1600"/>
      </w:tblGrid>
      <w:tr>
        <w:trPr>
          <w:tblHeader/>
        </w:trPr>
        <w:tc>
          <w:tcPr>
            <w:tcW w:type="dxa" w:w="1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Parámetro</w:t>
            </w:r>
          </w:p>
        </w:tc>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Nombre</w:t>
            </w:r>
          </w:p>
        </w:tc>
        <w:tc>
          <w:tcPr>
            <w:tcW w:type="dxa" w:w="4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Definición operativa</w:t>
            </w:r>
          </w:p>
        </w:tc>
        <w:tc>
          <w:tcPr>
            <w:tcW w:type="dxa" w:w="1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Rango</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RC</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Ruido Contextual</w:t>
            </w:r>
          </w:p>
        </w:tc>
        <w:tc>
          <w:tcPr>
            <w:tcW w:type="dxa" w:w="4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Misma definición que en ICR. Proporción de señales laterales, ambigüedades o información dispersa.</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r>
        <w:tc>
          <w:tcPr>
            <w:tcW w:type="dxa" w:w="1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INR</w:t>
            </w:r>
          </w:p>
        </w:tc>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Distancia Interpretativa</w:t>
            </w:r>
          </w:p>
        </w:tc>
        <w:tc>
          <w:tcPr>
            <w:tcW w:type="dxa" w:w="4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Distancia semántica entre lo emitido y lo comprendido. INR alto = espacio para interpretaciones divergentes.</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Sd</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Factor de Severidad (opcional)</w:t>
            </w:r>
          </w:p>
        </w:tc>
        <w:tc>
          <w:tcPr>
            <w:tcW w:type="dxa" w:w="4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Ajusta el riesgo según la criticidad del dominio (salud, defensa, finanzas). Por defecto: Sd = 1.</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Tabla canónica de interpretación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Rango</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Nivel</w:t>
            </w:r>
          </w:p>
        </w:tc>
        <w:tc>
          <w:tcPr>
            <w:tcW w:type="dxa" w:w="5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Interpretación</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0.00 – 0.15</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Riesgo muy bajo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Entorno semióticamente seguro. La comunicación es clara.</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0.16 – 0.35</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Riesgo bajo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Existe cierto margen de seguridad. Pequeñas desviaciones posibles.</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0.36 – 0.50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Riesgo moderado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Zona de atención. El sistema comienza a operar en entorno ambiguo.</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0.51 – 0.65</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Riesgo alto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La desviación ética es probable. Se recomienda intervención.</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0.66 – 0.85</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Riesgo crítico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está en zona peligrosa. Manipulación o colapso narrativo inminente.</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0.86 – 1.00</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Riesgo máximo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Caos semiótico. El sistema no distingue sentido de ruido. "Pantano tóxico".</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Matriz de zonas ICR / IRDE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4960"/>
      </w:tblGrid>
      <w:tr>
        <w:trPr>
          <w:tblHeader/>
        </w:trPr>
        <w:tc>
          <w:tcPr>
            <w:tcW w:type="dxa" w:w="1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ICR</w:t>
            </w:r>
          </w:p>
        </w:tc>
        <w:tc>
          <w:tcPr>
            <w:tcW w:type="dxa" w:w="1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IRDE</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Zona</w:t>
            </w:r>
          </w:p>
        </w:tc>
        <w:tc>
          <w:tcPr>
            <w:tcW w:type="dxa" w:w="49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Diagnóstico</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Alto</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Bajo</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Jardín fértil</w:t>
            </w:r>
          </w:p>
        </w:tc>
        <w:tc>
          <w:tcPr>
            <w:tcW w:type="dxa" w:w="4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Zona óptima. El sistema es eficaz y seguro.</w:t>
            </w:r>
          </w:p>
        </w:tc>
      </w:tr>
      <w:tr>
        <w:tc>
          <w:tcPr>
            <w:tcW w:type="dxa" w:w="1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Bajo</w:t>
            </w:r>
          </w:p>
        </w:tc>
        <w:tc>
          <w:tcPr>
            <w:tcW w:type="dxa" w:w="1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Bajo</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Desierto estéril</w:t>
            </w:r>
          </w:p>
        </w:tc>
        <w:tc>
          <w:tcPr>
            <w:tcW w:type="dxa" w:w="4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Sin ruido ni sentido. Comunicación pobre pero segura.</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Alto</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Alto</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Selva hostil</w:t>
            </w:r>
          </w:p>
        </w:tc>
        <w:tc>
          <w:tcPr>
            <w:tcW w:type="dxa" w:w="4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extrae sentido, pero a costa de alto riesgo.</w:t>
            </w:r>
          </w:p>
        </w:tc>
      </w:tr>
      <w:tr>
        <w:tc>
          <w:tcPr>
            <w:tcW w:type="dxa" w:w="1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Bajo</w:t>
            </w:r>
          </w:p>
        </w:tc>
        <w:tc>
          <w:tcPr>
            <w:tcW w:type="dxa" w:w="1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Alto</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Pantano tóxico</w:t>
            </w:r>
          </w:p>
        </w:tc>
        <w:tc>
          <w:tcPr>
            <w:tcW w:type="dxa" w:w="4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no extrae sentido y el riesgo es alto. Zona de caos.</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¿Cómo entenderlo sin fórmulas?</w:t>
      </w:r>
    </w:p>
    <w:p>
      <w:pPr>
        <w:spacing w:after="70" w:before="60"/>
      </w:pPr>
      <w:r>
        <w:rPr>
          <w:rFonts w:ascii="Arial" w:cs="Arial" w:eastAsia="Arial" w:hAnsi="Arial"/>
          <w:i/>
          <w:iCs/>
          <w:color w:val="555555"/>
          <w:sz w:val="21"/>
          <w:szCs w:val="21"/>
        </w:rPr>
        <w:t xml:space="preserve">Imagina un filtro de agua. RC es toda el agua que entra. ICR es la parte que logras limpiar. IRDE_d es la parte que queda sucia. Lo que no logras limpiar, se convierte en riesgo.</w:t>
      </w:r>
    </w:p>
    <w:p>
      <w:pPr>
        <w:spacing w:after="0" w:before="0"/>
      </w:pPr>
      <w:r>
        <w:t xml:space="preserve"/>
      </w:r>
    </w:p>
    <w:p>
      <w:pPr>
        <w:shd w:fill="2E75B6" w:val="clear"/>
        <w:spacing w:after="80" w:before="200"/>
      </w:pPr>
      <w:r>
        <w:rPr>
          <w:rFonts w:ascii="Arial" w:cs="Arial" w:eastAsia="Arial" w:hAnsi="Arial"/>
          <w:b/>
          <w:bCs/>
          <w:color w:val="FFFFFF"/>
          <w:sz w:val="26"/>
          <w:szCs w:val="26"/>
        </w:rPr>
        <w:t xml:space="preserve">  3. IEOS  —  Índice de Eficiencia de Operadores Semióticos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Plano de análisis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 — Semiótico</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canónica</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IEOS = wI·eI + wΦ·eΦ + wK·eK   (Σw = 1)</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Rango</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Introducción</w:t>
      </w:r>
    </w:p>
    <w:p>
      <w:pPr>
        <w:spacing w:after="70" w:before="60"/>
      </w:pPr>
      <w:r>
        <w:rPr>
          <w:rFonts w:ascii="Arial" w:cs="Arial" w:eastAsia="Arial" w:hAnsi="Arial"/>
          <w:sz w:val="22"/>
          <w:szCs w:val="22"/>
        </w:rPr>
        <w:t xml:space="preserve">El IEOS mide la eficacia combinada de los tres operadores semióticos universales en la generación, transmisión e interpretación de sentido:</w:t>
      </w:r>
    </w:p>
    <w:p>
      <w:pPr>
        <w:spacing w:after="40" w:before="40"/>
        <w:ind w:left="720" w:hanging="360"/>
      </w:pPr>
      <w:r>
        <w:rPr>
          <w:rFonts w:ascii="Arial" w:cs="Arial" w:eastAsia="Arial" w:hAnsi="Arial"/>
          <w:sz w:val="21"/>
          <w:szCs w:val="21"/>
        </w:rPr>
        <w:t xml:space="preserve">•  **Operador Icónico (I):** imágenes, metáforas, analogías, similitudes (relaciones de semejanza).</w:t>
      </w:r>
    </w:p>
    <w:p>
      <w:pPr>
        <w:spacing w:after="40" w:before="40"/>
        <w:ind w:left="720" w:hanging="360"/>
      </w:pPr>
      <w:r>
        <w:rPr>
          <w:rFonts w:ascii="Arial" w:cs="Arial" w:eastAsia="Arial" w:hAnsi="Arial"/>
          <w:sz w:val="21"/>
          <w:szCs w:val="21"/>
        </w:rPr>
        <w:t xml:space="preserve">•  **Operador Φ-Indexical (Φ):** señales contextuales, índices, huellas, referencias directas (relaciones de contigüidad causa-efecto).</w:t>
      </w:r>
    </w:p>
    <w:p>
      <w:pPr>
        <w:spacing w:after="40" w:before="40"/>
        <w:ind w:left="720" w:hanging="360"/>
      </w:pPr>
      <w:r>
        <w:rPr>
          <w:rFonts w:ascii="Arial" w:cs="Arial" w:eastAsia="Arial" w:hAnsi="Arial"/>
          <w:sz w:val="21"/>
          <w:szCs w:val="21"/>
        </w:rPr>
        <w:t xml:space="preserve">•  **Operador K-Kódico (K):** símbolos convencionales, reglas gramaticales, códigos compartidos (relaciones arbitrarias acordadas socialmente).</w:t>
      </w:r>
    </w:p>
    <w:p>
      <w:pPr>
        <w:spacing w:after="70" w:before="60"/>
      </w:pPr>
      <w:r>
        <w:rPr>
          <w:rFonts w:ascii="Arial" w:cs="Arial" w:eastAsia="Arial" w:hAnsi="Arial"/>
          <w:b/>
          <w:bCs/>
          <w:sz w:val="22"/>
          <w:szCs w:val="22"/>
        </w:rPr>
        <w:t xml:space="preserve">Un IEOS alto</w:t>
      </w:r>
      <w:r>
        <w:rPr>
          <w:rFonts w:ascii="Arial" w:cs="Arial" w:eastAsia="Arial" w:hAnsi="Arial"/>
          <w:sz w:val="22"/>
          <w:szCs w:val="22"/>
        </w:rPr>
        <w:t xml:space="preserve"> indica que el sistema domina los tres registros semióticos: puede usar metáforas (icónico), señales contextuales (indexical) y símbolos convencionales (kódico) de manera equilibrada y eficaz. </w:t>
      </w:r>
      <w:r>
        <w:rPr>
          <w:rFonts w:ascii="Arial" w:cs="Arial" w:eastAsia="Arial" w:hAnsi="Arial"/>
          <w:b/>
          <w:bCs/>
          <w:sz w:val="22"/>
          <w:szCs w:val="22"/>
        </w:rPr>
        <w:t xml:space="preserve">Un IEOS bajo</w:t>
      </w:r>
      <w:r>
        <w:rPr>
          <w:rFonts w:ascii="Arial" w:cs="Arial" w:eastAsia="Arial" w:hAnsi="Arial"/>
          <w:sz w:val="22"/>
          <w:szCs w:val="22"/>
        </w:rPr>
        <w:t xml:space="preserve"> indica pobreza semiótica.</w:t>
      </w:r>
    </w:p>
    <w:p>
      <w:pPr>
        <w:spacing w:after="0" w:before="0"/>
      </w:pPr>
      <w:r>
        <w:t xml:space="preserve"/>
      </w:r>
    </w:p>
    <w:p>
      <w:pPr>
        <w:pStyle w:val="Heading3"/>
        <w:spacing w:after="60" w:before="220"/>
      </w:pPr>
      <w:r>
        <w:rPr>
          <w:rFonts w:ascii="Arial" w:cs="Arial" w:eastAsia="Arial" w:hAnsi="Arial"/>
          <w:b/>
          <w:bCs/>
          <w:color w:val="1F3864"/>
          <w:sz w:val="23"/>
          <w:szCs w:val="23"/>
        </w:rPr>
        <w:t xml:space="preserve">Fórmula y pesos por dominio</w:t>
      </w:r>
    </w:p>
    <w:p>
      <w:pPr>
        <w:shd w:fill="D6E4F0" w:val="clear"/>
        <w:spacing w:after="140" w:before="140"/>
        <w:jc w:val="center"/>
      </w:pPr>
      <w:r>
        <w:rPr>
          <w:rFonts w:ascii="Courier New" w:cs="Courier New" w:eastAsia="Courier New" w:hAnsi="Courier New"/>
          <w:b/>
          <w:bCs/>
          <w:color w:val="1F3864"/>
          <w:sz w:val="24"/>
          <w:szCs w:val="24"/>
        </w:rPr>
        <w:t xml:space="preserve">IEOS = wI × eI + wΦ × eΦ + wK × eK     (Σw = 1; por defecto: wI = wΦ = wK =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Dominio</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wI</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wΦ</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wK</w:t>
            </w:r>
          </w:p>
        </w:tc>
      </w:tr>
      <w:tr>
        <w:tc>
          <w:tcPr>
            <w:tcW w:type="dxa" w:w="3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Política / discurso ideopolítico</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0.2</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w:t>
            </w:r>
          </w:p>
        </w:tc>
      </w:tr>
      <w:tr>
        <w:tc>
          <w:tcPr>
            <w:tcW w:type="dxa" w:w="3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Publicidad / propaganda visual</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0.2</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w:t>
            </w:r>
          </w:p>
        </w:tc>
      </w:tr>
      <w:tr>
        <w:tc>
          <w:tcPr>
            <w:tcW w:type="dxa" w:w="3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Inteligencia / análisis de indicios</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0.2</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w:t>
            </w:r>
          </w:p>
        </w:tc>
      </w:tr>
      <w:tr>
        <w:tc>
          <w:tcPr>
            <w:tcW w:type="dxa" w:w="3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Derecho / normativa</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0.2</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Tabla canónica de interpretación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Rango</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Nivel</w:t>
            </w:r>
          </w:p>
        </w:tc>
        <w:tc>
          <w:tcPr>
            <w:tcW w:type="dxa" w:w="5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Interpretación</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0.00 – 0.15</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Muy bajo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Sistema semióticamente primitivo. La comunicación es rudimentaria.</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0.16 – 0.35</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Predomina un solo operador. El sistema es funcional pero limitado.</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0.36 – 0.55</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Medio-bajo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Hay cierta diversidad semiótica, pero con desequilibrios significativos.</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0.56 – 0.75</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Medio-alto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maneja dos operadores con eficacia. Comunicación rica.</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0.76 – 0.90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domina los tres operadores. Comunicación sofisticada.</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0.91 – 1.00</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Muy alto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Excelencia semiótica. El sistema es un "políglota del sentido".</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¿Cómo entenderlo sin fórmulas?</w:t>
      </w:r>
    </w:p>
    <w:p>
      <w:pPr>
        <w:spacing w:after="70" w:before="60"/>
      </w:pPr>
      <w:r>
        <w:rPr>
          <w:rFonts w:ascii="Arial" w:cs="Arial" w:eastAsia="Arial" w:hAnsi="Arial"/>
          <w:i/>
          <w:iCs/>
          <w:color w:val="555555"/>
          <w:sz w:val="21"/>
          <w:szCs w:val="21"/>
        </w:rPr>
        <w:t xml:space="preserve">Imagina que te comunicas de tres maneras: usando dibujos y metáforas (icónico), señalando cosas del contexto (indexical), y usando palabras con significados acordados (kódico). El IEOS mide qué tan bien usas estas tres formas combinadas. Si solo usas una, tu IEOS es bajo. Si usas las tres con soltura, eres un gran comunicador.</w:t>
      </w:r>
    </w:p>
    <w:p>
      <w:pPr>
        <w:spacing w:after="0" w:before="0"/>
      </w:pPr>
      <w:r>
        <w:t xml:space="preserve"/>
      </w:r>
    </w:p>
    <w:p>
      <w:pPr>
        <w:shd w:fill="2E75B6" w:val="clear"/>
        <w:spacing w:after="80" w:before="200"/>
      </w:pPr>
      <w:r>
        <w:rPr>
          <w:rFonts w:ascii="Arial" w:cs="Arial" w:eastAsia="Arial" w:hAnsi="Arial"/>
          <w:b/>
          <w:bCs/>
          <w:color w:val="FFFFFF"/>
          <w:sz w:val="26"/>
          <w:szCs w:val="26"/>
        </w:rPr>
        <w:t xml:space="preserve">  4. IExap  —  Índice de Exaptación Funcional  [Plano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Plano de análisis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 — Correspondencia (puente entre planos)</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raw</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IExap_raw = max(0, α·ΔICR) + β·Πmod</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normaliz.</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IExap_n = min(1, IExap_raw)</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Rango</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Introducción</w:t>
      </w:r>
    </w:p>
    <w:p>
      <w:pPr>
        <w:spacing w:after="70" w:before="60"/>
      </w:pPr>
      <w:r>
        <w:rPr>
          <w:rFonts w:ascii="Arial" w:cs="Arial" w:eastAsia="Arial" w:hAnsi="Arial"/>
          <w:sz w:val="22"/>
          <w:szCs w:val="22"/>
        </w:rPr>
        <w:t xml:space="preserve">El IExap mide la capacidad de un sistema para </w:t>
      </w:r>
      <w:r>
        <w:rPr>
          <w:rFonts w:ascii="Arial" w:cs="Arial" w:eastAsia="Arial" w:hAnsi="Arial"/>
          <w:b/>
          <w:bCs/>
          <w:sz w:val="22"/>
          <w:szCs w:val="22"/>
        </w:rPr>
        <w:t xml:space="preserve">reutilizar estructuras semióticas preexistentes</w:t>
      </w:r>
      <w:r>
        <w:rPr>
          <w:rFonts w:ascii="Arial" w:cs="Arial" w:eastAsia="Arial" w:hAnsi="Arial"/>
          <w:sz w:val="22"/>
          <w:szCs w:val="22"/>
        </w:rPr>
        <w:t xml:space="preserve"> —diseñadas para una función original— en nuevos contextos funcionales con mínima inversión energética. Inspirado en el concepto biológico de exaptación (Gould &amp; Vrba, 1982).</w:t>
      </w:r>
    </w:p>
    <w:p>
      <w:pPr>
        <w:spacing w:after="70" w:before="60"/>
      </w:pPr>
      <w:r>
        <w:rPr>
          <w:rFonts w:ascii="Arial" w:cs="Arial" w:eastAsia="Arial" w:hAnsi="Arial"/>
          <w:b/>
          <w:bCs/>
          <w:sz w:val="22"/>
          <w:szCs w:val="22"/>
        </w:rPr>
        <w:t xml:space="preserve">Un IExap alto</w:t>
      </w:r>
      <w:r>
        <w:rPr>
          <w:rFonts w:ascii="Arial" w:cs="Arial" w:eastAsia="Arial" w:hAnsi="Arial"/>
          <w:sz w:val="22"/>
          <w:szCs w:val="22"/>
        </w:rPr>
        <w:t xml:space="preserve"> indica que el sistema es plástico, creativo y eficiente: puede adaptar sus recursos semióticos existentes a nuevas demandas. </w:t>
      </w:r>
      <w:r>
        <w:rPr>
          <w:rFonts w:ascii="Arial" w:cs="Arial" w:eastAsia="Arial" w:hAnsi="Arial"/>
          <w:b/>
          <w:bCs/>
          <w:sz w:val="22"/>
          <w:szCs w:val="22"/>
        </w:rPr>
        <w:t xml:space="preserve">Un IExap bajo</w:t>
      </w:r>
      <w:r>
        <w:rPr>
          <w:rFonts w:ascii="Arial" w:cs="Arial" w:eastAsia="Arial" w:hAnsi="Arial"/>
          <w:sz w:val="22"/>
          <w:szCs w:val="22"/>
        </w:rPr>
        <w:t xml:space="preserve"> indica rigidez: el sistema solo puede operar dentro de su dominio original.</w:t>
      </w:r>
    </w:p>
    <w:p>
      <w:pPr>
        <w:spacing w:after="0" w:before="0"/>
      </w:pPr>
      <w:r>
        <w:t xml:space="preserve"/>
      </w:r>
    </w:p>
    <w:p>
      <w:pPr>
        <w:pStyle w:val="Heading3"/>
        <w:spacing w:after="60" w:before="220"/>
      </w:pPr>
      <w:r>
        <w:rPr>
          <w:rFonts w:ascii="Arial" w:cs="Arial" w:eastAsia="Arial" w:hAnsi="Arial"/>
          <w:b/>
          <w:bCs/>
          <w:color w:val="1F3864"/>
          <w:sz w:val="23"/>
          <w:szCs w:val="23"/>
        </w:rPr>
        <w:t xml:space="preserve">Definición de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760"/>
        <w:gridCol w:w="1400"/>
      </w:tblGrid>
      <w:tr>
        <w:trPr>
          <w:tblHeader/>
        </w:trPr>
        <w:tc>
          <w:tcPr>
            <w:tcW w:type="dxa" w:w="1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Parámetro</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Nombre</w:t>
            </w:r>
          </w:p>
        </w:tc>
        <w:tc>
          <w:tcPr>
            <w:tcW w:type="dxa" w:w="47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Definición operativa</w:t>
            </w:r>
          </w:p>
        </w:tc>
        <w:tc>
          <w:tcPr>
            <w:tcW w:type="dxa" w:w="1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Rango</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ΔICR</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Cambio en el ICR</w:t>
            </w:r>
          </w:p>
        </w:tc>
        <w:tc>
          <w:tcPr>
            <w:tcW w:type="dxa" w:w="4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Diferencia entre el ICR post-exaptación y el pre-exaptación. Mide la ganancia en eficacia semiótica gracias a la reutilización. Se usa max(0, ΔICR) para ignorar pérdidas.</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 1]</w:t>
            </w:r>
          </w:p>
        </w:tc>
      </w:tr>
      <w:tr>
        <w:tc>
          <w:tcPr>
            <w:tcW w:type="dxa" w:w="1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Πmod</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Modularidad del sistema</w:t>
            </w:r>
          </w:p>
        </w:tc>
        <w:tc>
          <w:tcPr>
            <w:tcW w:type="dxa" w:w="4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Grado en que las estructuras semióticas son reutilizables (bajo acoplamiento, alta cohesión).</w:t>
            </w:r>
          </w:p>
        </w:tc>
        <w:tc>
          <w:tcPr>
            <w:tcW w:type="dxa" w:w="1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α, β</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Pesos de cada componente</w:t>
            </w:r>
          </w:p>
        </w:tc>
        <w:tc>
          <w:tcPr>
            <w:tcW w:type="dxa" w:w="4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Importancia relativa de la ganancia en eficacia (α) vs. la modularidad estructural (β). Por defecto: α = 0.6, β = 0.4.</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α+β=1</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Tabla canónica de interpretación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Rango</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Nivel</w:t>
            </w:r>
          </w:p>
        </w:tc>
        <w:tc>
          <w:tcPr>
            <w:tcW w:type="dxa" w:w="5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Interpretación</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0.00 – 0.10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Nulo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Rigidez total. El sistema no puede salir de su dominio original.</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0.11 – 0.30</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Exaptación incipiente. Pequeñas adaptaciones sin innovación significativa.</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0.31 – 0.50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Moderado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puede reutilizar algunas estructuras en contextos similares.</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0.51 – 0.70</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Notable</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Buena capacidad exaptativa. El sistema innova con eficiencia.</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0.71 – 0.85</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es un "exaptador natural". Reutiliza estructuras con creatividad.</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0.86 – 1.00</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Muy alto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Excelencia exaptativa. El sistema es un motor de innovación semiótica.</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¿Cómo entenderlo sin fórmulas?</w:t>
      </w:r>
    </w:p>
    <w:p>
      <w:pPr>
        <w:spacing w:after="70" w:before="60"/>
      </w:pPr>
      <w:r>
        <w:rPr>
          <w:rFonts w:ascii="Arial" w:cs="Arial" w:eastAsia="Arial" w:hAnsi="Arial"/>
          <w:i/>
          <w:iCs/>
          <w:color w:val="555555"/>
          <w:sz w:val="21"/>
          <w:szCs w:val="21"/>
        </w:rPr>
        <w:t xml:space="preserve">Imagina que tienes un destornillador. Fue diseñado para atornillar. Pero tú lo usas para abrir una lata de pintura. Eso es exaptación: reutilizar algo para lo que no fue diseñado. El IExap mide qué tan bueno eres haciendo eso. Si solo puedes usar el destornillador para atornillar, tu IExap es 0. Si además lo usas para palanquear, rascar, marcar… tu IExap es alto.</w:t>
      </w:r>
    </w:p>
    <w:p>
      <w:pPr>
        <w:spacing w:after="0" w:before="0"/>
      </w:pPr>
      <w:r>
        <w:t xml:space="preserve"/>
      </w:r>
    </w:p>
    <w:p>
      <w:pPr>
        <w:shd w:fill="2E75B6" w:val="clear"/>
        <w:spacing w:after="80" w:before="200"/>
      </w:pPr>
      <w:r>
        <w:rPr>
          <w:rFonts w:ascii="Arial" w:cs="Arial" w:eastAsia="Arial" w:hAnsi="Arial"/>
          <w:b/>
          <w:bCs/>
          <w:color w:val="FFFFFF"/>
          <w:sz w:val="26"/>
          <w:szCs w:val="26"/>
        </w:rPr>
        <w:t xml:space="preserve">  5. IAS_X  —  Índice de Acoplamiento Señal/Ruido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Plano de análisis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 — Semiótico</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canónica</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IAS_X = σs / (σs + κs)   [Si σs + κs = 0 → IAS_X = 0]</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Rango</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Introducción</w:t>
      </w:r>
    </w:p>
    <w:p>
      <w:pPr>
        <w:spacing w:after="70" w:before="60"/>
      </w:pPr>
      <w:r>
        <w:rPr>
          <w:rFonts w:ascii="Arial" w:cs="Arial" w:eastAsia="Arial" w:hAnsi="Arial"/>
          <w:sz w:val="22"/>
          <w:szCs w:val="22"/>
        </w:rPr>
        <w:t xml:space="preserve">El IAS_X mide la </w:t>
      </w:r>
      <w:r>
        <w:rPr>
          <w:rFonts w:ascii="Arial" w:cs="Arial" w:eastAsia="Arial" w:hAnsi="Arial"/>
          <w:b/>
          <w:bCs/>
          <w:sz w:val="22"/>
          <w:szCs w:val="22"/>
        </w:rPr>
        <w:t xml:space="preserve">proporción de señal efectiva (σs)</w:t>
      </w:r>
      <w:r>
        <w:rPr>
          <w:rFonts w:ascii="Arial" w:cs="Arial" w:eastAsia="Arial" w:hAnsi="Arial"/>
          <w:sz w:val="22"/>
          <w:szCs w:val="22"/>
        </w:rPr>
        <w:t xml:space="preserve"> en relación con la interferencia total (σs + κs), donde κs representa el ruido semántico. A diferencia de las métricas tradicionales de SNR en telecomunicaciones, el IAS_X opera en el dominio semiótico: no mide potencia eléctrica, sino coherencia semántica.</w:t>
      </w:r>
    </w:p>
    <w:p>
      <w:pPr>
        <w:spacing w:after="70" w:before="60"/>
      </w:pPr>
      <w:r>
        <w:rPr>
          <w:rFonts w:ascii="Arial" w:cs="Arial" w:eastAsia="Arial" w:hAnsi="Arial"/>
          <w:b/>
          <w:bCs/>
          <w:sz w:val="22"/>
          <w:szCs w:val="22"/>
        </w:rPr>
        <w:t xml:space="preserve">Un IAS_X alto</w:t>
      </w:r>
      <w:r>
        <w:rPr>
          <w:rFonts w:ascii="Arial" w:cs="Arial" w:eastAsia="Arial" w:hAnsi="Arial"/>
          <w:sz w:val="22"/>
          <w:szCs w:val="22"/>
        </w:rPr>
        <w:t xml:space="preserve"> indica que la señal domina sobre el ruido semántico: comunicación clara y coherente. </w:t>
      </w:r>
      <w:r>
        <w:rPr>
          <w:rFonts w:ascii="Arial" w:cs="Arial" w:eastAsia="Arial" w:hAnsi="Arial"/>
          <w:b/>
          <w:bCs/>
          <w:sz w:val="22"/>
          <w:szCs w:val="22"/>
        </w:rPr>
        <w:t xml:space="preserve">Un IAS_X bajo</w:t>
      </w:r>
      <w:r>
        <w:rPr>
          <w:rFonts w:ascii="Arial" w:cs="Arial" w:eastAsia="Arial" w:hAnsi="Arial"/>
          <w:sz w:val="22"/>
          <w:szCs w:val="22"/>
        </w:rPr>
        <w:t xml:space="preserve"> indica que el ruido domina, dificultando la interpretación.</w:t>
      </w:r>
    </w:p>
    <w:p>
      <w:pPr>
        <w:spacing w:after="70" w:before="60"/>
      </w:pPr>
      <w:r>
        <w:rPr>
          <w:rFonts w:ascii="Arial" w:cs="Arial" w:eastAsia="Arial" w:hAnsi="Arial"/>
          <w:sz w:val="22"/>
          <w:szCs w:val="22"/>
        </w:rPr>
        <w:t xml:space="preserve">IAS_X es una métrica base para otras cosmosemióticas: IDCS utiliza σs y κs para medir contradicción; IEES utiliza IAS_X para medir degradación estructural.</w:t>
      </w:r>
    </w:p>
    <w:p>
      <w:pPr>
        <w:spacing w:after="0" w:before="0"/>
      </w:pPr>
      <w:r>
        <w:t xml:space="preserve"/>
      </w:r>
    </w:p>
    <w:p>
      <w:pPr>
        <w:pStyle w:val="Heading3"/>
        <w:spacing w:after="60" w:before="220"/>
      </w:pPr>
      <w:r>
        <w:rPr>
          <w:rFonts w:ascii="Arial" w:cs="Arial" w:eastAsia="Arial" w:hAnsi="Arial"/>
          <w:b/>
          <w:bCs/>
          <w:color w:val="1F3864"/>
          <w:sz w:val="23"/>
          <w:szCs w:val="23"/>
        </w:rPr>
        <w:t xml:space="preserve">Tabla canónica de interpretación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Rango</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Nivel</w:t>
            </w:r>
          </w:p>
        </w:tc>
        <w:tc>
          <w:tcPr>
            <w:tcW w:type="dxa" w:w="5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Interpretación</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0.00 – 0.15</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Muy bajo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ruido domina completamente. La comunicación es casi imposible.</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0.16 – 0.35</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ruido es mayor que la señal. Comunicación confusa.</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0.36 – 0.50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Equilibrio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Señal y ruido están balanceados. La interpretación es ambigua.</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0.51 – 0.75</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Bueno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La señal domina al ruido. Comunicación clara con algunos matices.</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0.76 – 0.90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ruido es marginal. Comunicación muy clara y coherente.</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0.91 – 1.00</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Muy alto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Ruido semántico casi nulo. Comunicación perfecta (ideal).</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¿Cómo entenderlo sin fórmulas?</w:t>
      </w:r>
    </w:p>
    <w:p>
      <w:pPr>
        <w:spacing w:after="70" w:before="60"/>
      </w:pPr>
      <w:r>
        <w:rPr>
          <w:rFonts w:ascii="Arial" w:cs="Arial" w:eastAsia="Arial" w:hAnsi="Arial"/>
          <w:i/>
          <w:iCs/>
          <w:color w:val="555555"/>
          <w:sz w:val="21"/>
          <w:szCs w:val="21"/>
        </w:rPr>
        <w:t xml:space="preserve">Imagina que estás escuchando la radio. La señal (σs) es la música que quieres oír. El ruido (κs) es la estática y las interferencias. El IAS_X mide qué proporción de lo que oyes es música y qué proporción es ruido. Si el IAS_X es 0.8, el 80% de lo que oyes es música.</w:t>
      </w:r>
    </w:p>
    <w:p>
      <w:pPr>
        <w:spacing w:after="0" w:before="0"/>
      </w:pPr>
      <w:r>
        <w:t xml:space="preserve"/>
      </w:r>
    </w:p>
    <w:p>
      <w:pPr>
        <w:shd w:fill="2E75B6" w:val="clear"/>
        <w:spacing w:after="80" w:before="200"/>
      </w:pPr>
      <w:r>
        <w:rPr>
          <w:rFonts w:ascii="Arial" w:cs="Arial" w:eastAsia="Arial" w:hAnsi="Arial"/>
          <w:b/>
          <w:bCs/>
          <w:color w:val="FFFFFF"/>
          <w:sz w:val="26"/>
          <w:szCs w:val="26"/>
        </w:rPr>
        <w:t xml:space="preserve">  6. IDCS  —  Índice de Contradicción Semiótica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Plano de análisis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 — Semiótico</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canónica</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IDCS = 1 − |σs − κs| / (σs + κs)   [Si σs + κs = 0 → IDCS = 0]</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Rango</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Introducción</w:t>
      </w:r>
    </w:p>
    <w:p>
      <w:pPr>
        <w:spacing w:after="70" w:before="60"/>
      </w:pPr>
      <w:r>
        <w:rPr>
          <w:rFonts w:ascii="Arial" w:cs="Arial" w:eastAsia="Arial" w:hAnsi="Arial"/>
          <w:sz w:val="22"/>
          <w:szCs w:val="22"/>
        </w:rPr>
        <w:t xml:space="preserve">El IDCS mide el </w:t>
      </w:r>
      <w:r>
        <w:rPr>
          <w:rFonts w:ascii="Arial" w:cs="Arial" w:eastAsia="Arial" w:hAnsi="Arial"/>
          <w:b/>
          <w:bCs/>
          <w:sz w:val="22"/>
          <w:szCs w:val="22"/>
        </w:rPr>
        <w:t xml:space="preserve">grado de conflicto entre la señal efectiva (σs) y el ruido semántico (κs)</w:t>
      </w:r>
      <w:r>
        <w:rPr>
          <w:rFonts w:ascii="Arial" w:cs="Arial" w:eastAsia="Arial" w:hAnsi="Arial"/>
          <w:sz w:val="22"/>
          <w:szCs w:val="22"/>
        </w:rPr>
        <w:t xml:space="preserve">. A diferencia del IAS_X (que mide proporción), el IDCS mide contradicción: qué tan opuestas o incompatibles son la señal y el ruido en magnitud.</w:t>
      </w:r>
    </w:p>
    <w:p>
      <w:pPr>
        <w:spacing w:after="70" w:before="60"/>
      </w:pPr>
      <w:r>
        <w:rPr>
          <w:rFonts w:ascii="Arial" w:cs="Arial" w:eastAsia="Arial" w:hAnsi="Arial"/>
          <w:b/>
          <w:bCs/>
          <w:sz w:val="22"/>
          <w:szCs w:val="22"/>
        </w:rPr>
        <w:t xml:space="preserve">Un IDCS alto</w:t>
      </w:r>
      <w:r>
        <w:rPr>
          <w:rFonts w:ascii="Arial" w:cs="Arial" w:eastAsia="Arial" w:hAnsi="Arial"/>
          <w:sz w:val="22"/>
          <w:szCs w:val="22"/>
        </w:rPr>
        <w:t xml:space="preserve"> (cercano a 1) indica que señal y ruido son casi iguales en magnitud, generando ambigüedad máxima y conflicto interpretativo. </w:t>
      </w:r>
      <w:r>
        <w:rPr>
          <w:rFonts w:ascii="Arial" w:cs="Arial" w:eastAsia="Arial" w:hAnsi="Arial"/>
          <w:b/>
          <w:bCs/>
          <w:sz w:val="22"/>
          <w:szCs w:val="22"/>
        </w:rPr>
        <w:t xml:space="preserve">Un IDCS bajo</w:t>
      </w:r>
      <w:r>
        <w:rPr>
          <w:rFonts w:ascii="Arial" w:cs="Arial" w:eastAsia="Arial" w:hAnsi="Arial"/>
          <w:sz w:val="22"/>
          <w:szCs w:val="22"/>
        </w:rPr>
        <w:t xml:space="preserve"> indica que uno de los dos domina claramente.</w:t>
      </w:r>
    </w:p>
    <w:p>
      <w:pPr>
        <w:shd w:fill="1F3864" w:val="clear"/>
        <w:spacing w:after="100" w:before="100"/>
      </w:pPr>
      <w:r>
        <w:rPr>
          <w:rFonts w:ascii="Arial" w:cs="Arial" w:eastAsia="Arial" w:hAnsi="Arial"/>
          <w:b/>
          <w:bCs/>
          <w:color w:val="FFFFFF"/>
          <w:sz w:val="21"/>
          <w:szCs w:val="21"/>
        </w:rPr>
        <w:t xml:space="preserve">  NOTA CANÓNICA: </w:t>
      </w:r>
      <w:r>
        <w:rPr>
          <w:rFonts w:ascii="Arial" w:cs="Arial" w:eastAsia="Arial" w:hAnsi="Arial"/>
          <w:color w:val="FFFFFF"/>
          <w:sz w:val="21"/>
          <w:szCs w:val="21"/>
        </w:rPr>
        <w:t xml:space="preserve">IDCS mide contradicción de potencia, no de contenido semántico. Que dos señales tengan igual fuerza no significa que sus contenidos sean contradictorios en sentido lógico: significa que ninguna domina sobre la otra en el canal. Esta distinción es fundamental para evitar malinterpretaciones en análisis de discurso y en implementaciones computacionales.</w:t>
      </w:r>
    </w:p>
    <w:p>
      <w:pPr>
        <w:spacing w:after="0" w:before="0"/>
      </w:pPr>
      <w:r>
        <w:t xml:space="preserve"/>
      </w:r>
    </w:p>
    <w:p>
      <w:pPr>
        <w:pStyle w:val="Heading3"/>
        <w:spacing w:after="60" w:before="220"/>
      </w:pPr>
      <w:r>
        <w:rPr>
          <w:rFonts w:ascii="Arial" w:cs="Arial" w:eastAsia="Arial" w:hAnsi="Arial"/>
          <w:b/>
          <w:bCs/>
          <w:color w:val="1F3864"/>
          <w:sz w:val="23"/>
          <w:szCs w:val="23"/>
        </w:rPr>
        <w:t xml:space="preserve">Relación con IAS_X</w:t>
      </w:r>
    </w:p>
    <w:p>
      <w:pPr>
        <w:spacing w:after="70" w:before="60"/>
      </w:pPr>
      <w:r>
        <w:rPr>
          <w:rFonts w:ascii="Arial" w:cs="Arial" w:eastAsia="Arial" w:hAnsi="Arial"/>
          <w:sz w:val="22"/>
          <w:szCs w:val="22"/>
        </w:rPr>
        <w:t xml:space="preserve">IAS_X e IDCS son métricas complementarias pero no equivalentes. IAS_X mide </w:t>
      </w:r>
      <w:r>
        <w:rPr>
          <w:rFonts w:ascii="Arial" w:cs="Arial" w:eastAsia="Arial" w:hAnsi="Arial"/>
          <w:b/>
          <w:bCs/>
          <w:sz w:val="22"/>
          <w:szCs w:val="22"/>
        </w:rPr>
        <w:t xml:space="preserve">predominio</w:t>
      </w:r>
      <w:r>
        <w:rPr>
          <w:rFonts w:ascii="Arial" w:cs="Arial" w:eastAsia="Arial" w:hAnsi="Arial"/>
          <w:sz w:val="22"/>
          <w:szCs w:val="22"/>
        </w:rPr>
        <w:t xml:space="preserve"> de señal; IDCS mide </w:t>
      </w:r>
      <w:r>
        <w:rPr>
          <w:rFonts w:ascii="Arial" w:cs="Arial" w:eastAsia="Arial" w:hAnsi="Arial"/>
          <w:b/>
          <w:bCs/>
          <w:sz w:val="22"/>
          <w:szCs w:val="22"/>
        </w:rPr>
        <w:t xml:space="preserve">tensión</w:t>
      </w:r>
      <w:r>
        <w:rPr>
          <w:rFonts w:ascii="Arial" w:cs="Arial" w:eastAsia="Arial" w:hAnsi="Arial"/>
          <w:sz w:val="22"/>
          <w:szCs w:val="22"/>
        </w:rPr>
        <w:t xml:space="preserve"> entre señal y ruido. Sus valores pueden divergir: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Combinación</w:t>
            </w:r>
          </w:p>
        </w:tc>
        <w:tc>
          <w:tcPr>
            <w:tcW w:type="dxa" w:w="6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Interpretación</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IAS_X alto + IDCS bajo</w:t>
            </w:r>
          </w:p>
        </w:tc>
        <w:tc>
          <w:tcPr>
            <w:tcW w:type="dxa" w:w="6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Señal domina, poca contradicción. Comunicación clara.</w:t>
            </w:r>
          </w:p>
        </w:tc>
      </w:tr>
      <w:tr>
        <w:tc>
          <w:tcPr>
            <w:tcW w:type="dxa" w:w="3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IAS_X bajo + IDCS bajo</w:t>
            </w:r>
          </w:p>
        </w:tc>
        <w:tc>
          <w:tcPr>
            <w:tcW w:type="dxa" w:w="6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Ruido domina, poca contradicción. Comunicación pobre pero no conflictiva.</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IAS_X medio + IDCS alto</w:t>
            </w:r>
          </w:p>
        </w:tc>
        <w:tc>
          <w:tcPr>
            <w:tcW w:type="dxa" w:w="6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Equilibrio tenso. Máxima ambigüedad. Zona de riesgo comunicacional.</w:t>
            </w:r>
          </w:p>
        </w:tc>
      </w:tr>
    </w:tbl>
    <w:p>
      <w:pPr>
        <w:spacing w:after="80" w:before="80"/>
        <w:ind w:left="560"/>
      </w:pPr>
      <w:r>
        <w:rPr>
          <w:rFonts w:ascii="Arial" w:cs="Arial" w:eastAsia="Arial" w:hAnsi="Arial"/>
          <w:b/>
          <w:bCs/>
          <w:i/>
          <w:iCs/>
          <w:color w:val="2E75B6"/>
          <w:sz w:val="20"/>
          <w:szCs w:val="20"/>
        </w:rPr>
        <w:t xml:space="preserve">Nota de diseño: </w:t>
      </w:r>
      <w:r>
        <w:rPr>
          <w:rFonts w:ascii="Arial" w:cs="Arial" w:eastAsia="Arial" w:hAnsi="Arial"/>
          <w:i/>
          <w:iCs/>
          <w:sz w:val="20"/>
          <w:szCs w:val="20"/>
        </w:rPr>
        <w:t xml:space="preserve">En la función unificada del sistema, se usa IDCS en lugar de (1−IAS_X) porque IDCS es más sensible en zonas de equilibrio (cuando señal y ruido son similares), que son precisamente las zonas de mayor riesgo de desalmamiento.</w:t>
      </w:r>
    </w:p>
    <w:p>
      <w:pPr>
        <w:spacing w:after="0" w:before="0"/>
      </w:pPr>
      <w:r>
        <w:t xml:space="preserve"/>
      </w:r>
    </w:p>
    <w:p>
      <w:pPr>
        <w:pStyle w:val="Heading3"/>
        <w:spacing w:after="60" w:before="220"/>
      </w:pPr>
      <w:r>
        <w:rPr>
          <w:rFonts w:ascii="Arial" w:cs="Arial" w:eastAsia="Arial" w:hAnsi="Arial"/>
          <w:b/>
          <w:bCs/>
          <w:color w:val="1F3864"/>
          <w:sz w:val="23"/>
          <w:szCs w:val="23"/>
        </w:rPr>
        <w:t xml:space="preserve">Tabla canónica de interpretación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Rango</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Nivel</w:t>
            </w:r>
          </w:p>
        </w:tc>
        <w:tc>
          <w:tcPr>
            <w:tcW w:type="dxa" w:w="5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Interpretación</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0.00 – 0.15</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Contradicción muy baja</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Dominancia clara de señal o ruido. Ambigüedad baja.</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0.16 – 0.35</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Contradicción baja</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Hay cierto desequilibrio, pero la comunicación es posible.</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0.36 – 0.50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Contradicción moderada</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conflicto es significativo. La interpretación es ambigua.</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0.51 – 0.75</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Contradicción alta</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Señal y ruido se aproximan en magnitud. Zona de tensión.</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0.76 – 1.00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Contradicción máxima</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Equilibrio señal/ruido. Ambigüedad máxima.</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¿Cómo entenderlo sin fórmulas?</w:t>
      </w:r>
    </w:p>
    <w:p>
      <w:pPr>
        <w:spacing w:after="70" w:before="60"/>
      </w:pPr>
      <w:r>
        <w:rPr>
          <w:rFonts w:ascii="Arial" w:cs="Arial" w:eastAsia="Arial" w:hAnsi="Arial"/>
          <w:i/>
          <w:iCs/>
          <w:color w:val="555555"/>
          <w:sz w:val="21"/>
          <w:szCs w:val="21"/>
        </w:rPr>
        <w:t xml:space="preserve">Imagina que dos personas hablan al mismo tiempo. El IDCS mide qué tan equilibradas son sus voces en volumen. Si uno habla muy fuerte y el otro muy bajo (IDCS bajo), entiendes al que habla fuerte. Si los dos hablan exactamente igual de fuerte (IDCS = 1), se anulan mutuamente y no entiendes nada.</w:t>
      </w:r>
    </w:p>
    <w:p>
      <w:pPr>
        <w:spacing w:after="0" w:before="0"/>
      </w:pPr>
      <w:r>
        <w:t xml:space="preserve"/>
      </w:r>
    </w:p>
    <w:p>
      <w:pPr>
        <w:shd w:fill="2E75B6" w:val="clear"/>
        <w:spacing w:after="80" w:before="200"/>
      </w:pPr>
      <w:r>
        <w:rPr>
          <w:rFonts w:ascii="Arial" w:cs="Arial" w:eastAsia="Arial" w:hAnsi="Arial"/>
          <w:b/>
          <w:bCs/>
          <w:color w:val="FFFFFF"/>
          <w:sz w:val="26"/>
          <w:szCs w:val="26"/>
        </w:rPr>
        <w:t xml:space="preserve">  7. IDD  —  Índice de Detección en Dispersión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Plano de análisis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 — Semiótico</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canónica</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IDD = α·√(ICR × ρcanal) + β·ρcanal   (α+β=1; por defecto α=β=0.5)</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Rango</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Introducción</w:t>
      </w:r>
    </w:p>
    <w:p>
      <w:pPr>
        <w:spacing w:after="70" w:before="60"/>
      </w:pPr>
      <w:r>
        <w:rPr>
          <w:rFonts w:ascii="Arial" w:cs="Arial" w:eastAsia="Arial" w:hAnsi="Arial"/>
          <w:sz w:val="22"/>
          <w:szCs w:val="22"/>
        </w:rPr>
        <w:t xml:space="preserve">El IDD mide la </w:t>
      </w:r>
      <w:r>
        <w:rPr>
          <w:rFonts w:ascii="Arial" w:cs="Arial" w:eastAsia="Arial" w:hAnsi="Arial"/>
          <w:b/>
          <w:bCs/>
          <w:sz w:val="22"/>
          <w:szCs w:val="22"/>
        </w:rPr>
        <w:t xml:space="preserve">capacidad de un sistema para detectar señales significativas en entornos de alta dispersión semiótica</w:t>
      </w:r>
      <w:r>
        <w:rPr>
          <w:rFonts w:ascii="Arial" w:cs="Arial" w:eastAsia="Arial" w:hAnsi="Arial"/>
          <w:sz w:val="22"/>
          <w:szCs w:val="22"/>
        </w:rPr>
        <w:t xml:space="preserve"> (múltiples canales, ruido distribuido, información fragmentada). A diferencia del IAS_X (que mide señal vs. ruido en un canal único), el IDD opera en entornos multicanal.</w:t>
      </w:r>
    </w:p>
    <w:p>
      <w:pPr>
        <w:spacing w:after="70" w:before="60"/>
      </w:pPr>
      <w:r>
        <w:rPr>
          <w:rFonts w:ascii="Arial" w:cs="Arial" w:eastAsia="Arial" w:hAnsi="Arial"/>
          <w:sz w:val="22"/>
          <w:szCs w:val="22"/>
        </w:rPr>
        <w:t xml:space="preserve">Utiliza una </w:t>
      </w:r>
      <w:r>
        <w:rPr>
          <w:rFonts w:ascii="Arial" w:cs="Arial" w:eastAsia="Arial" w:hAnsi="Arial"/>
          <w:b/>
          <w:bCs/>
          <w:sz w:val="22"/>
          <w:szCs w:val="22"/>
        </w:rPr>
        <w:t xml:space="preserve">raíz geométrica</w:t>
      </w:r>
      <w:r>
        <w:rPr>
          <w:rFonts w:ascii="Arial" w:cs="Arial" w:eastAsia="Arial" w:hAnsi="Arial"/>
          <w:sz w:val="22"/>
          <w:szCs w:val="22"/>
        </w:rPr>
        <w:t xml:space="preserve"> para combinar la profundidad de la señal (ICR) con la calidad del canal (ρcanal). Esta decisión evita que valores altos en un factor compensen completamente valores bajos en el otro: no basta con que uno de los dos sea alto.</w:t>
      </w:r>
    </w:p>
    <w:p>
      <w:pPr>
        <w:spacing w:after="70" w:before="60"/>
      </w:pPr>
      <w:r>
        <w:rPr>
          <w:rFonts w:ascii="Arial" w:cs="Arial" w:eastAsia="Arial" w:hAnsi="Arial"/>
          <w:b/>
          <w:bCs/>
          <w:sz w:val="22"/>
          <w:szCs w:val="22"/>
        </w:rPr>
        <w:t xml:space="preserve">Un IDD alto</w:t>
      </w:r>
      <w:r>
        <w:rPr>
          <w:rFonts w:ascii="Arial" w:cs="Arial" w:eastAsia="Arial" w:hAnsi="Arial"/>
          <w:sz w:val="22"/>
          <w:szCs w:val="22"/>
        </w:rPr>
        <w:t xml:space="preserve"> indica que el sistema detecta señales débiles o dispersas con eficacia. </w:t>
      </w:r>
      <w:r>
        <w:rPr>
          <w:rFonts w:ascii="Arial" w:cs="Arial" w:eastAsia="Arial" w:hAnsi="Arial"/>
          <w:b/>
          <w:bCs/>
          <w:sz w:val="22"/>
          <w:szCs w:val="22"/>
        </w:rPr>
        <w:t xml:space="preserve">Un IDD bajo</w:t>
      </w:r>
      <w:r>
        <w:rPr>
          <w:rFonts w:ascii="Arial" w:cs="Arial" w:eastAsia="Arial" w:hAnsi="Arial"/>
          <w:sz w:val="22"/>
          <w:szCs w:val="22"/>
        </w:rPr>
        <w:t xml:space="preserve"> indica que el sistema se pierde en la dispersión.</w:t>
      </w:r>
    </w:p>
    <w:p>
      <w:pPr>
        <w:spacing w:after="0" w:before="0"/>
      </w:pPr>
      <w:r>
        <w:t xml:space="preserve"/>
      </w:r>
    </w:p>
    <w:p>
      <w:pPr>
        <w:pStyle w:val="Heading3"/>
        <w:spacing w:after="60" w:before="220"/>
      </w:pPr>
      <w:r>
        <w:rPr>
          <w:rFonts w:ascii="Arial" w:cs="Arial" w:eastAsia="Arial" w:hAnsi="Arial"/>
          <w:b/>
          <w:bCs/>
          <w:color w:val="1F3864"/>
          <w:sz w:val="23"/>
          <w:szCs w:val="23"/>
        </w:rPr>
        <w:t xml:space="preserve">Tabla canónica de interpretación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Rango</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Nivel</w:t>
            </w:r>
          </w:p>
        </w:tc>
        <w:tc>
          <w:tcPr>
            <w:tcW w:type="dxa" w:w="5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Interpretación</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0.00 – 0.29</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Muy bajo / Bajo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Baja capacidad de detección. Solo señales muy fuertes son detectables.</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0.30 – 0.59</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Moderado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detecta señales de intensidad media.</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0.60 – 0.84</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detecta señales débiles en entornos dispersos.</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0.85 – 1.00</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Muy alto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es un "detector de agujas en pajares".</w:t>
            </w:r>
          </w:p>
        </w:tc>
      </w:tr>
    </w:tbl>
    <w:p>
      <w:pPr>
        <w:spacing w:after="0" w:before="0"/>
      </w:pPr>
      <w:r>
        <w:t xml:space="preserve"/>
      </w:r>
    </w:p>
    <w:p>
      <w:pPr>
        <w:shd w:fill="2E75B6" w:val="clear"/>
        <w:spacing w:after="80" w:before="200"/>
      </w:pPr>
      <w:r>
        <w:rPr>
          <w:rFonts w:ascii="Arial" w:cs="Arial" w:eastAsia="Arial" w:hAnsi="Arial"/>
          <w:b/>
          <w:bCs/>
          <w:color w:val="FFFFFF"/>
          <w:sz w:val="26"/>
          <w:szCs w:val="26"/>
        </w:rPr>
        <w:t xml:space="preserve">  8. ICRA  —  Índice de Curva RC–INR Óptima  [Plano C — no es métrica escalar]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Plano de análisis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 — Correspondencia (optimización de diseño)</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Tipo</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Punto óptimo en el espacio (RC, INR) — NO es una métrica escalar</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Función objetivo</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arg max{RC × [1 − INR × (1+λ)]}   s.a. RC, INR ∈ [0,1]</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Solución analítica</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ICRA = (RC* = 1, INR* = 0) para λ finito</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Introducción</w:t>
      </w:r>
    </w:p>
    <w:p>
      <w:pPr>
        <w:spacing w:after="70" w:before="60"/>
      </w:pPr>
      <w:r>
        <w:rPr>
          <w:rFonts w:ascii="Arial" w:cs="Arial" w:eastAsia="Arial" w:hAnsi="Arial"/>
          <w:sz w:val="22"/>
          <w:szCs w:val="22"/>
        </w:rPr>
        <w:t xml:space="preserve">El ICRA responde a la pregunta: </w:t>
      </w:r>
      <w:r>
        <w:rPr>
          <w:rFonts w:ascii="Arial" w:cs="Arial" w:eastAsia="Arial" w:hAnsi="Arial"/>
          <w:b/>
          <w:bCs/>
          <w:sz w:val="22"/>
          <w:szCs w:val="22"/>
        </w:rPr>
        <w:t xml:space="preserve">¿cuál es la combinación de Ruido Contextual (RC) e Índice de No-Ruido (INR) que maximiza la eficacia semiótica (ICR) mientras minimiza el riesgo ético (IRDE)?</w:t>
      </w:r>
    </w:p>
    <w:p>
      <w:pPr>
        <w:spacing w:after="70" w:before="60"/>
      </w:pPr>
      <w:r>
        <w:rPr>
          <w:rFonts w:ascii="Arial" w:cs="Arial" w:eastAsia="Arial" w:hAnsi="Arial"/>
          <w:sz w:val="22"/>
          <w:szCs w:val="22"/>
        </w:rPr>
        <w:t xml:space="preserve">No es una métrica que se calcula sobre un corpus dado, sino un </w:t>
      </w:r>
      <w:r>
        <w:rPr>
          <w:rFonts w:ascii="Arial" w:cs="Arial" w:eastAsia="Arial" w:hAnsi="Arial"/>
          <w:b/>
          <w:bCs/>
          <w:sz w:val="22"/>
          <w:szCs w:val="22"/>
        </w:rPr>
        <w:t xml:space="preserve">punto de referencia de diseño</w:t>
      </w:r>
      <w:r>
        <w:rPr>
          <w:rFonts w:ascii="Arial" w:cs="Arial" w:eastAsia="Arial" w:hAnsi="Arial"/>
          <w:sz w:val="22"/>
          <w:szCs w:val="22"/>
        </w:rPr>
        <w:t xml:space="preserve">: dado un sistema o contexto, el ICRA indica hacia dónde mover los parámetros para operar en la zona óptima.</w:t>
      </w:r>
    </w:p>
    <w:p>
      <w:pPr>
        <w:spacing w:after="70" w:before="60"/>
      </w:pPr>
      <w:r>
        <w:rPr>
          <w:rFonts w:ascii="Arial" w:cs="Arial" w:eastAsia="Arial" w:hAnsi="Arial"/>
          <w:sz w:val="22"/>
          <w:szCs w:val="22"/>
        </w:rPr>
        <w:t xml:space="preserve">El parámetro λ (factor de aversión al riesgo) determina el peso relativo entre maximizar ICR y minimizar IRDE. λ = 0 significa que solo importa la eficacia; λ → ∞ significa que solo importa eliminar el riesgo.</w:t>
      </w:r>
    </w:p>
    <w:p>
      <w:pPr>
        <w:shd w:fill="FFF9E6" w:val="clear"/>
        <w:spacing w:after="100" w:before="100"/>
      </w:pPr>
      <w:r>
        <w:rPr>
          <w:rFonts w:ascii="Arial" w:cs="Arial" w:eastAsia="Arial" w:hAnsi="Arial"/>
          <w:b/>
          <w:bCs/>
          <w:color w:val="C00000"/>
          <w:sz w:val="21"/>
          <w:szCs w:val="21"/>
        </w:rPr>
        <w:t xml:space="preserve">⚠ NOTA DE APLICACIÓN: </w:t>
      </w:r>
      <w:r>
        <w:rPr>
          <w:rFonts w:ascii="Arial" w:cs="Arial" w:eastAsia="Arial" w:hAnsi="Arial"/>
          <w:sz w:val="21"/>
          <w:szCs w:val="21"/>
        </w:rPr>
        <w:t xml:space="preserve">ICRA no describe el estado de un sistema real, sino las condiciones de diseño óptimo del sistema. No debe usarse como métrica de diagnóstico sobre un corpus o agente existente. Su función es normativa (señalar hacia dónde ir), no descriptiva (indicar dónde se está).</w:t>
      </w:r>
    </w:p>
    <w:p>
      <w:pPr>
        <w:spacing w:after="0" w:before="0"/>
      </w:pPr>
      <w:r>
        <w:t xml:space="preserve"/>
      </w:r>
    </w:p>
    <w:p>
      <w:pPr>
        <w:pStyle w:val="Heading3"/>
        <w:spacing w:after="60" w:before="220"/>
      </w:pPr>
      <w:r>
        <w:rPr>
          <w:rFonts w:ascii="Arial" w:cs="Arial" w:eastAsia="Arial" w:hAnsi="Arial"/>
          <w:b/>
          <w:bCs/>
          <w:color w:val="1F3864"/>
          <w:sz w:val="23"/>
          <w:szCs w:val="23"/>
        </w:rPr>
        <w:t xml:space="preserve">Mapa de zonas del espacio RC–INR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80"/>
        <w:gridCol w:w="2080"/>
      </w:tblGrid>
      <w:tr>
        <w:trPr>
          <w:tblHeader/>
        </w:trPr>
        <w:tc>
          <w:tcPr>
            <w:tcW w:type="dxa" w:w="2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Región (RC, INR)</w:t>
            </w:r>
          </w:p>
        </w:tc>
        <w:tc>
          <w:tcPr>
            <w:tcW w:type="dxa" w:w="2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Caracterización</w:t>
            </w:r>
          </w:p>
        </w:tc>
        <w:tc>
          <w:tcPr>
            <w:tcW w:type="dxa" w:w="208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ICR</w:t>
            </w:r>
          </w:p>
        </w:tc>
        <w:tc>
          <w:tcPr>
            <w:tcW w:type="dxa" w:w="208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IRDE</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RC alto, INR bajo</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Jardín fértil (zona óptima)</w:t>
            </w:r>
          </w:p>
        </w:tc>
        <w:tc>
          <w:tcPr>
            <w:tcW w:type="dxa" w:w="2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Alto</w:t>
            </w:r>
          </w:p>
        </w:tc>
        <w:tc>
          <w:tcPr>
            <w:tcW w:type="dxa" w:w="2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Bajo</w:t>
            </w:r>
          </w:p>
        </w:tc>
      </w:tr>
      <w:tr>
        <w:tc>
          <w:tcPr>
            <w:tcW w:type="dxa" w:w="2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RC alto, INR alto</w:t>
            </w:r>
          </w:p>
        </w:tc>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Selva hostil</w:t>
            </w:r>
          </w:p>
        </w:tc>
        <w:tc>
          <w:tcPr>
            <w:tcW w:type="dxa" w:w="208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Bajo</w:t>
            </w:r>
          </w:p>
        </w:tc>
        <w:tc>
          <w:tcPr>
            <w:tcW w:type="dxa" w:w="208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Alto</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RC bajo, INR bajo</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Desierto estéril</w:t>
            </w:r>
          </w:p>
        </w:tc>
        <w:tc>
          <w:tcPr>
            <w:tcW w:type="dxa" w:w="2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Bajo</w:t>
            </w:r>
          </w:p>
        </w:tc>
        <w:tc>
          <w:tcPr>
            <w:tcW w:type="dxa" w:w="2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Bajo</w:t>
            </w:r>
          </w:p>
        </w:tc>
      </w:tr>
      <w:tr>
        <w:tc>
          <w:tcPr>
            <w:tcW w:type="dxa" w:w="2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RC bajo, INR alto</w:t>
            </w:r>
          </w:p>
        </w:tc>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Pantano tóxico</w:t>
            </w:r>
          </w:p>
        </w:tc>
        <w:tc>
          <w:tcPr>
            <w:tcW w:type="dxa" w:w="208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Muy bajo</w:t>
            </w:r>
          </w:p>
        </w:tc>
        <w:tc>
          <w:tcPr>
            <w:tcW w:type="dxa" w:w="208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Bajo (paradójico)</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¿Cómo entenderlo sin fórmulas?</w:t>
      </w:r>
    </w:p>
    <w:p>
      <w:pPr>
        <w:spacing w:after="70" w:before="60"/>
      </w:pPr>
      <w:r>
        <w:rPr>
          <w:rFonts w:ascii="Arial" w:cs="Arial" w:eastAsia="Arial" w:hAnsi="Arial"/>
          <w:i/>
          <w:iCs/>
          <w:color w:val="555555"/>
          <w:sz w:val="21"/>
          <w:szCs w:val="21"/>
        </w:rPr>
        <w:t xml:space="preserve">Imagina que tienes un equipo de sonido con dos controles: Ruido (RC) y Volumen (INR). El ICRA es el punto ideal: mucho ruido (matices, riqueza) pero volumen perfecto (se entiende todo). Es como escuchar a un poeta recitar en una sala con eco: el eco añade belleza, pero no impide entender las palabras.</w:t>
      </w:r>
    </w:p>
    <w:p>
      <w:pPr>
        <w:pBdr>
          <w:bottom w:val="single" w:color="2E75B6" w:sz="8" w:space="1"/>
        </w:pBdr>
        <w:spacing w:after="160" w:before="160"/>
      </w:pPr>
      <w:r>
        <w:t xml:space="preserve"/>
      </w:r>
    </w:p>
    <w:p>
      <w:pPr>
        <w:pageBreakBefore/>
      </w:pPr>
      <w:r>
        <w:t xml:space="preserve"/>
      </w:r>
    </w:p>
    <w:p>
      <w:pPr>
        <w:shd w:fill="1F3864" w:val="clear"/>
        <w:spacing w:after="200" w:before="300"/>
      </w:pPr>
      <w:r>
        <w:rPr>
          <w:rFonts w:ascii="Arial" w:cs="Arial" w:eastAsia="Arial" w:hAnsi="Arial"/>
          <w:b/>
          <w:bCs/>
          <w:color w:val="FFFFFF"/>
          <w:sz w:val="30"/>
          <w:szCs w:val="30"/>
        </w:rPr>
        <w:t xml:space="preserve">  LOTE 2 — MÉTRICAS DE CAPACIDAD, PERSISTENCIA Y CAOS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2100"/>
        <w:gridCol w:w="1900"/>
        <w:gridCol w:w="1800"/>
        <w:gridCol w:w="800"/>
        <w:gridCol w:w="860"/>
      </w:tblGrid>
      <w:tr>
        <w:trPr>
          <w:tblHeader/>
        </w:trPr>
        <w:tc>
          <w:tcPr>
            <w:tcW w:type="dxa" w:w="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Nº</w:t>
            </w:r>
          </w:p>
        </w:tc>
        <w:tc>
          <w:tcPr>
            <w:tcW w:type="dxa" w:w="9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Sigla</w:t>
            </w:r>
          </w:p>
        </w:tc>
        <w:tc>
          <w:tcPr>
            <w:tcW w:type="dxa" w:w="21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Nombre</w:t>
            </w:r>
          </w:p>
        </w:tc>
        <w:tc>
          <w:tcPr>
            <w:tcW w:type="dxa" w:w="19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Fórmula raw</w:t>
            </w:r>
          </w:p>
        </w:tc>
        <w:tc>
          <w:tcPr>
            <w:tcW w:type="dxa" w:w="1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Fórmula _n</w:t>
            </w:r>
          </w:p>
        </w:tc>
        <w:tc>
          <w:tcPr>
            <w:tcW w:type="dxa" w:w="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Rango</w:t>
            </w:r>
          </w:p>
        </w:tc>
        <w:tc>
          <w:tcPr>
            <w:tcW w:type="dxa" w:w="8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Plano</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9</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Ceff</w:t>
            </w:r>
          </w:p>
        </w:tc>
        <w:tc>
          <w:tcPr>
            <w:tcW w:type="dxa" w:w="2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Capacidad Polisémica Efectiva</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log₂(Neff)·B</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Ceff_raw/(1+Ceff_raw)</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w:t>
            </w:r>
          </w:p>
        </w:tc>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w:t>
            </w:r>
          </w:p>
        </w:tc>
      </w:tr>
      <w:tr>
        <w:tc>
          <w:tcPr>
            <w:tcW w:type="dxa" w:w="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10</w:t>
            </w:r>
          </w:p>
        </w:tc>
        <w:tc>
          <w:tcPr>
            <w:tcW w:type="dxa" w:w="9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η</w:t>
            </w:r>
          </w:p>
        </w:tc>
        <w:tc>
          <w:tcPr>
            <w:tcW w:type="dxa" w:w="21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Índice de Economía Polisémica</w:t>
            </w:r>
          </w:p>
        </w:tc>
        <w:tc>
          <w:tcPr>
            <w:tcW w:type="dxa" w:w="19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Ceff_raw/E</w:t>
            </w:r>
          </w:p>
        </w:tc>
        <w:tc>
          <w:tcPr>
            <w:tcW w:type="dxa" w:w="1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η_raw/(1+η_raw)</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w:t>
            </w:r>
          </w:p>
        </w:tc>
        <w:tc>
          <w:tcPr>
            <w:tcW w:type="dxa" w:w="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11</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PS</w:t>
            </w:r>
          </w:p>
        </w:tc>
        <w:tc>
          <w:tcPr>
            <w:tcW w:type="dxa" w:w="2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Persistencia Semiótica</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D·(1−INR)/(ke·Vd)</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PS_raw/(1+PS_raw)</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w:t>
            </w:r>
          </w:p>
        </w:tc>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w:t>
            </w:r>
          </w:p>
        </w:tc>
      </w:tr>
      <w:tr>
        <w:tc>
          <w:tcPr>
            <w:tcW w:type="dxa" w:w="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12</w:t>
            </w:r>
          </w:p>
        </w:tc>
        <w:tc>
          <w:tcPr>
            <w:tcW w:type="dxa" w:w="9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Ls</w:t>
            </w:r>
          </w:p>
        </w:tc>
        <w:tc>
          <w:tcPr>
            <w:tcW w:type="dxa" w:w="21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Número de Lorenz Semiótico</w:t>
            </w:r>
          </w:p>
        </w:tc>
        <w:tc>
          <w:tcPr>
            <w:tcW w:type="dxa" w:w="19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Θ/(σs·κs)</w:t>
            </w:r>
          </w:p>
        </w:tc>
        <w:tc>
          <w:tcPr>
            <w:tcW w:type="dxa" w:w="1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Ls_raw/(1+Ls_raw)</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w:t>
            </w:r>
          </w:p>
        </w:tc>
        <w:tc>
          <w:tcPr>
            <w:tcW w:type="dxa" w:w="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13</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LF_legal</w:t>
            </w:r>
          </w:p>
        </w:tc>
        <w:tc>
          <w:tcPr>
            <w:tcW w:type="dxa" w:w="2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Libertad Funcional Legal</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RC_legal·(1−INR_legal)</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w:t>
            </w:r>
          </w:p>
        </w:tc>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w:t>
            </w:r>
          </w:p>
        </w:tc>
      </w:tr>
      <w:tr>
        <w:tc>
          <w:tcPr>
            <w:tcW w:type="dxa" w:w="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14</w:t>
            </w:r>
          </w:p>
        </w:tc>
        <w:tc>
          <w:tcPr>
            <w:tcW w:type="dxa" w:w="9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LF_inmune</w:t>
            </w:r>
          </w:p>
        </w:tc>
        <w:tc>
          <w:tcPr>
            <w:tcW w:type="dxa" w:w="21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Libertad Funcional Inmune</w:t>
            </w:r>
          </w:p>
        </w:tc>
        <w:tc>
          <w:tcPr>
            <w:tcW w:type="dxa" w:w="19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RC_inmune·(1−INR_inmune)</w:t>
            </w:r>
          </w:p>
        </w:tc>
        <w:tc>
          <w:tcPr>
            <w:tcW w:type="dxa" w:w="1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w:t>
            </w:r>
          </w:p>
        </w:tc>
        <w:tc>
          <w:tcPr>
            <w:tcW w:type="dxa" w:w="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15</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SIE</w:t>
            </w:r>
          </w:p>
        </w:tc>
        <w:tc>
          <w:tcPr>
            <w:tcW w:type="dxa" w:w="2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Semiosis Inmune Efectiva</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wI·LFI+wΦ·LFΦ+wK·LFK</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w:t>
            </w:r>
          </w:p>
        </w:tc>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bl>
    <w:p>
      <w:pPr>
        <w:spacing w:after="0" w:before="0"/>
      </w:pPr>
      <w:r>
        <w:t xml:space="preserve"/>
      </w:r>
    </w:p>
    <w:p>
      <w:pPr>
        <w:shd w:fill="2E75B6" w:val="clear"/>
        <w:spacing w:after="80" w:before="200"/>
      </w:pPr>
      <w:r>
        <w:rPr>
          <w:rFonts w:ascii="Arial" w:cs="Arial" w:eastAsia="Arial" w:hAnsi="Arial"/>
          <w:b/>
          <w:bCs/>
          <w:color w:val="FFFFFF"/>
          <w:sz w:val="26"/>
          <w:szCs w:val="26"/>
        </w:rPr>
        <w:t xml:space="preserve">  9. Ceff  —  Capacidad Polisémica Efectiva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Plano de análisis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 — Semiótico</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raw</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Ceff_raw = log₂(Neff) × B</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normalizada</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Ceff_n = Ceff_raw / (1 + Ceff_raw)</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Rango normalizado</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Introducción</w:t>
      </w:r>
    </w:p>
    <w:p>
      <w:pPr>
        <w:spacing w:after="70" w:before="60"/>
      </w:pPr>
      <w:r>
        <w:rPr>
          <w:rFonts w:ascii="Arial" w:cs="Arial" w:eastAsia="Arial" w:hAnsi="Arial"/>
          <w:sz w:val="22"/>
          <w:szCs w:val="22"/>
        </w:rPr>
        <w:t xml:space="preserve">La Ceff mide la </w:t>
      </w:r>
      <w:r>
        <w:rPr>
          <w:rFonts w:ascii="Arial" w:cs="Arial" w:eastAsia="Arial" w:hAnsi="Arial"/>
          <w:b/>
          <w:bCs/>
          <w:sz w:val="22"/>
          <w:szCs w:val="22"/>
        </w:rPr>
        <w:t xml:space="preserve">cantidad efectiva de sentidos distintos</w:t>
      </w:r>
      <w:r>
        <w:rPr>
          <w:rFonts w:ascii="Arial" w:cs="Arial" w:eastAsia="Arial" w:hAnsi="Arial"/>
          <w:sz w:val="22"/>
          <w:szCs w:val="22"/>
        </w:rPr>
        <w:t xml:space="preserve"> que un sistema puede generar, transmitir o interpretar en un contexto dado. Inspirada en la entropía de Shannon, va más allá al incorporar un factor de riqueza semiótica (B) que pondera la diversidad de canales (I, Φ, K).</w:t>
      </w:r>
    </w:p>
    <w:p>
      <w:pPr>
        <w:spacing w:after="70" w:before="60"/>
      </w:pPr>
      <w:r>
        <w:rPr>
          <w:rFonts w:ascii="Arial" w:cs="Arial" w:eastAsia="Arial" w:hAnsi="Arial"/>
          <w:b/>
          <w:bCs/>
          <w:sz w:val="22"/>
          <w:szCs w:val="22"/>
        </w:rPr>
        <w:t xml:space="preserve">Un Ceff alto</w:t>
      </w:r>
      <w:r>
        <w:rPr>
          <w:rFonts w:ascii="Arial" w:cs="Arial" w:eastAsia="Arial" w:hAnsi="Arial"/>
          <w:sz w:val="22"/>
          <w:szCs w:val="22"/>
        </w:rPr>
        <w:t xml:space="preserve"> indica que el sistema es polisémico: puede decir muchas cosas diferentes de muchas maneras diferentes. </w:t>
      </w:r>
      <w:r>
        <w:rPr>
          <w:rFonts w:ascii="Arial" w:cs="Arial" w:eastAsia="Arial" w:hAnsi="Arial"/>
          <w:b/>
          <w:bCs/>
          <w:sz w:val="22"/>
          <w:szCs w:val="22"/>
        </w:rPr>
        <w:t xml:space="preserve">Un Ceff bajo</w:t>
      </w:r>
      <w:r>
        <w:rPr>
          <w:rFonts w:ascii="Arial" w:cs="Arial" w:eastAsia="Arial" w:hAnsi="Arial"/>
          <w:sz w:val="22"/>
          <w:szCs w:val="22"/>
        </w:rPr>
        <w:t xml:space="preserve"> indica que el sistema tiende a repetirse o a producir respuestas poco diversas.</w:t>
      </w:r>
    </w:p>
    <w:p>
      <w:pPr>
        <w:spacing w:after="70" w:before="60"/>
      </w:pPr>
      <w:r>
        <w:rPr>
          <w:rFonts w:ascii="Arial" w:cs="Arial" w:eastAsia="Arial" w:hAnsi="Arial"/>
          <w:sz w:val="22"/>
          <w:szCs w:val="22"/>
        </w:rPr>
        <w:t xml:space="preserve">La normalización x/(1+x) es la corrección clave que mapea el rango abierto [0, ∞) al rango acotado [0, 1], permitiendo su uso en fórmulas posteriores como IDP.</w:t>
      </w:r>
    </w:p>
    <w:p>
      <w:pPr>
        <w:spacing w:after="80" w:before="80"/>
        <w:ind w:left="560"/>
      </w:pPr>
      <w:r>
        <w:rPr>
          <w:rFonts w:ascii="Arial" w:cs="Arial" w:eastAsia="Arial" w:hAnsi="Arial"/>
          <w:b/>
          <w:bCs/>
          <w:i/>
          <w:iCs/>
          <w:color w:val="2E75B6"/>
          <w:sz w:val="20"/>
          <w:szCs w:val="20"/>
        </w:rPr>
        <w:t xml:space="preserve">Parámetros: </w:t>
      </w:r>
      <w:r>
        <w:rPr>
          <w:rFonts w:ascii="Arial" w:cs="Arial" w:eastAsia="Arial" w:hAnsi="Arial"/>
          <w:i/>
          <w:iCs/>
          <w:sz w:val="20"/>
          <w:szCs w:val="20"/>
        </w:rPr>
        <w:t xml:space="preserve">Neff = número efectivo de sentidos distintos (estimable via clustering semántico o diversidad de n-gramas). B = riqueza semiótica base; por defecto B = IEOS.</w:t>
      </w:r>
    </w:p>
    <w:p>
      <w:pPr>
        <w:spacing w:after="0" w:before="0"/>
      </w:pPr>
      <w:r>
        <w:t xml:space="preserve"/>
      </w:r>
    </w:p>
    <w:p>
      <w:pPr>
        <w:pStyle w:val="Heading3"/>
        <w:spacing w:after="60" w:before="220"/>
      </w:pPr>
      <w:r>
        <w:rPr>
          <w:rFonts w:ascii="Arial" w:cs="Arial" w:eastAsia="Arial" w:hAnsi="Arial"/>
          <w:b/>
          <w:bCs/>
          <w:color w:val="1F3864"/>
          <w:sz w:val="23"/>
          <w:szCs w:val="23"/>
        </w:rPr>
        <w:t xml:space="preserve">Tabla canónica de interpretación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Rango</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Nivel</w:t>
            </w:r>
          </w:p>
        </w:tc>
        <w:tc>
          <w:tcPr>
            <w:tcW w:type="dxa" w:w="5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Interpretación</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0.00 – 0.15</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Muy bajo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Sistema semánticamente pobre. Muy pocos sentidos distintos.</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0.16 – 0.35</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Diversidad limitada. El sistema tiende a repetirse.</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0.36 – 0.55</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Moderado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tiene cierta variedad, pero no es rico.</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0.56 – 0.75</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Buena capacidad polisémica. El sistema es flexible.</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0.76 – 0.90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Muy alto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Alta diversidad semiótica. El sistema es creativo y adaptable.</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0.91 – 1.00</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Extremo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Capacidad virtualmente ilimitada. El sistema es semióticamente "infinito".</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¿Cómo entenderlo sin fórmulas?</w:t>
      </w:r>
    </w:p>
    <w:p>
      <w:pPr>
        <w:spacing w:after="70" w:before="60"/>
      </w:pPr>
      <w:r>
        <w:rPr>
          <w:rFonts w:ascii="Arial" w:cs="Arial" w:eastAsia="Arial" w:hAnsi="Arial"/>
          <w:i/>
          <w:iCs/>
          <w:color w:val="555555"/>
          <w:sz w:val="21"/>
          <w:szCs w:val="21"/>
        </w:rPr>
        <w:t xml:space="preserve">Imagina una caja de lápices de colores. El número de colores distintos es Neff. La calidad de los lápices (viveza, capacidad de mezclarse) es B. La Ceff mide cuántos dibujos diferentes puedes hacer con esos lápices. Si tienes 100 colores pero todos son grises apagados (B bajo), no podrás dibujar mucha variedad.</w:t>
      </w:r>
    </w:p>
    <w:p>
      <w:pPr>
        <w:spacing w:after="0" w:before="0"/>
      </w:pPr>
      <w:r>
        <w:t xml:space="preserve"/>
      </w:r>
    </w:p>
    <w:p>
      <w:pPr>
        <w:shd w:fill="2E75B6" w:val="clear"/>
        <w:spacing w:after="80" w:before="200"/>
      </w:pPr>
      <w:r>
        <w:rPr>
          <w:rFonts w:ascii="Arial" w:cs="Arial" w:eastAsia="Arial" w:hAnsi="Arial"/>
          <w:b/>
          <w:bCs/>
          <w:color w:val="FFFFFF"/>
          <w:sz w:val="26"/>
          <w:szCs w:val="26"/>
        </w:rPr>
        <w:t xml:space="preserve">  10. η  —  Índice de Economía Polisémica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Plano de análisis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 — Semiótico</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raw</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η_raw = Ceff_raw / E</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normalizada</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η_n = η_raw / (1 + η_raw)</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Rango normalizado</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Introducción</w:t>
      </w:r>
    </w:p>
    <w:p>
      <w:pPr>
        <w:spacing w:after="70" w:before="60"/>
      </w:pPr>
      <w:r>
        <w:rPr>
          <w:rFonts w:ascii="Arial" w:cs="Arial" w:eastAsia="Arial" w:hAnsi="Arial"/>
          <w:sz w:val="22"/>
          <w:szCs w:val="22"/>
        </w:rPr>
        <w:t xml:space="preserve">El η mide la </w:t>
      </w:r>
      <w:r>
        <w:rPr>
          <w:rFonts w:ascii="Arial" w:cs="Arial" w:eastAsia="Arial" w:hAnsi="Arial"/>
          <w:b/>
          <w:bCs/>
          <w:sz w:val="22"/>
          <w:szCs w:val="22"/>
        </w:rPr>
        <w:t xml:space="preserve">eficiencia energética de la producción semiótica</w:t>
      </w:r>
      <w:r>
        <w:rPr>
          <w:rFonts w:ascii="Arial" w:cs="Arial" w:eastAsia="Arial" w:hAnsi="Arial"/>
          <w:sz w:val="22"/>
          <w:szCs w:val="22"/>
        </w:rPr>
        <w:t xml:space="preserve">: cuánta capacidad polisémica (Ceff) se obtiene por unidad de energía invertida (E). Inspirado en la economía evolutiva del paper fundacional.</w:t>
      </w:r>
    </w:p>
    <w:p>
      <w:pPr>
        <w:spacing w:after="70" w:before="60"/>
      </w:pPr>
      <w:r>
        <w:rPr>
          <w:rFonts w:ascii="Arial" w:cs="Arial" w:eastAsia="Arial" w:hAnsi="Arial"/>
          <w:b/>
          <w:bCs/>
          <w:sz w:val="22"/>
          <w:szCs w:val="22"/>
        </w:rPr>
        <w:t xml:space="preserve">Un η alto</w:t>
      </w:r>
      <w:r>
        <w:rPr>
          <w:rFonts w:ascii="Arial" w:cs="Arial" w:eastAsia="Arial" w:hAnsi="Arial"/>
          <w:sz w:val="22"/>
          <w:szCs w:val="22"/>
        </w:rPr>
        <w:t xml:space="preserve"> indica que el sistema produce mucha diversidad con poca energía. </w:t>
      </w:r>
      <w:r>
        <w:rPr>
          <w:rFonts w:ascii="Arial" w:cs="Arial" w:eastAsia="Arial" w:hAnsi="Arial"/>
          <w:b/>
          <w:bCs/>
          <w:sz w:val="22"/>
          <w:szCs w:val="22"/>
        </w:rPr>
        <w:t xml:space="preserve">Un η bajo</w:t>
      </w:r>
      <w:r>
        <w:rPr>
          <w:rFonts w:ascii="Arial" w:cs="Arial" w:eastAsia="Arial" w:hAnsi="Arial"/>
          <w:sz w:val="22"/>
          <w:szCs w:val="22"/>
        </w:rPr>
        <w:t xml:space="preserve"> indica que el sistema es derrochador: invierte mucho para comunicar poco.</w:t>
      </w:r>
    </w:p>
    <w:p>
      <w:pPr>
        <w:spacing w:after="80" w:before="80"/>
        <w:ind w:left="560"/>
      </w:pPr>
      <w:r>
        <w:rPr>
          <w:rFonts w:ascii="Arial" w:cs="Arial" w:eastAsia="Arial" w:hAnsi="Arial"/>
          <w:b/>
          <w:bCs/>
          <w:i/>
          <w:iCs/>
          <w:color w:val="2E75B6"/>
          <w:sz w:val="20"/>
          <w:szCs w:val="20"/>
        </w:rPr>
        <w:t xml:space="preserve">Aplicación: </w:t>
      </w:r>
      <w:r>
        <w:rPr>
          <w:rFonts w:ascii="Arial" w:cs="Arial" w:eastAsia="Arial" w:hAnsi="Arial"/>
          <w:i/>
          <w:iCs/>
          <w:sz w:val="20"/>
          <w:szCs w:val="20"/>
        </w:rPr>
        <w:t xml:space="preserve">E puede medirse en Joules, kWh, o cualquier unidad consistente (energía computacional, metabólica o social).</w:t>
      </w:r>
    </w:p>
    <w:p>
      <w:pPr>
        <w:spacing w:after="0" w:before="0"/>
      </w:pPr>
      <w:r>
        <w:t xml:space="preserve"/>
      </w:r>
    </w:p>
    <w:p>
      <w:pPr>
        <w:pStyle w:val="Heading3"/>
        <w:spacing w:after="60" w:before="220"/>
      </w:pPr>
      <w:r>
        <w:rPr>
          <w:rFonts w:ascii="Arial" w:cs="Arial" w:eastAsia="Arial" w:hAnsi="Arial"/>
          <w:b/>
          <w:bCs/>
          <w:color w:val="1F3864"/>
          <w:sz w:val="23"/>
          <w:szCs w:val="23"/>
        </w:rPr>
        <w:t xml:space="preserve">¿Cómo entenderlo sin fórmulas?</w:t>
      </w:r>
    </w:p>
    <w:p>
      <w:pPr>
        <w:spacing w:after="70" w:before="60"/>
      </w:pPr>
      <w:r>
        <w:rPr>
          <w:rFonts w:ascii="Arial" w:cs="Arial" w:eastAsia="Arial" w:hAnsi="Arial"/>
          <w:i/>
          <w:iCs/>
          <w:color w:val="555555"/>
          <w:sz w:val="21"/>
          <w:szCs w:val="21"/>
        </w:rPr>
        <w:t xml:space="preserve">Imagina que tienes que contar una historia. Puedes contarla con muchas palabras rebuscadas (mucha energía) o con pocas palabras precisas (poca energía). El η mide qué tan eficiente eres: cuánta historia cuentas por cada palabra que usas. Un buen cuentacuentos tiene η alto.</w:t>
      </w:r>
    </w:p>
    <w:p>
      <w:pPr>
        <w:spacing w:after="0" w:before="0"/>
      </w:pPr>
      <w:r>
        <w:t xml:space="preserve"/>
      </w:r>
    </w:p>
    <w:p>
      <w:pPr>
        <w:shd w:fill="2E75B6" w:val="clear"/>
        <w:spacing w:after="80" w:before="200"/>
      </w:pPr>
      <w:r>
        <w:rPr>
          <w:rFonts w:ascii="Arial" w:cs="Arial" w:eastAsia="Arial" w:hAnsi="Arial"/>
          <w:b/>
          <w:bCs/>
          <w:color w:val="FFFFFF"/>
          <w:sz w:val="26"/>
          <w:szCs w:val="26"/>
        </w:rPr>
        <w:t xml:space="preserve">  11. PS  —  Persistencia Semiótica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Plano de análisis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 — Semiótico</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(Vd &gt; 0)</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PS_raw = D × (1 − INR) / (ke × Vd)</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(Vd = 0)</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PS_raw = D × (1 − INR) × RC / ke</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normalizada</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PS_n = PS_raw / (1 + PS_raw)</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Rango normalizado</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Introducción</w:t>
      </w:r>
    </w:p>
    <w:p>
      <w:pPr>
        <w:spacing w:after="70" w:before="60"/>
      </w:pPr>
      <w:r>
        <w:rPr>
          <w:rFonts w:ascii="Arial" w:cs="Arial" w:eastAsia="Arial" w:hAnsi="Arial"/>
          <w:sz w:val="22"/>
          <w:szCs w:val="22"/>
        </w:rPr>
        <w:t xml:space="preserve">La PS mide la </w:t>
      </w:r>
      <w:r>
        <w:rPr>
          <w:rFonts w:ascii="Arial" w:cs="Arial" w:eastAsia="Arial" w:hAnsi="Arial"/>
          <w:b/>
          <w:bCs/>
          <w:sz w:val="22"/>
          <w:szCs w:val="22"/>
        </w:rPr>
        <w:t xml:space="preserve">capacidad de un sistema para mantener su coherencia semiótica a lo largo del tiempo o a través de perturbaciones</w:t>
      </w:r>
      <w:r>
        <w:rPr>
          <w:rFonts w:ascii="Arial" w:cs="Arial" w:eastAsia="Arial" w:hAnsi="Arial"/>
          <w:sz w:val="22"/>
          <w:szCs w:val="22"/>
        </w:rPr>
        <w:t xml:space="preserve">. Considera la diversidad, la claridad, el ruido contextual, y la velocidad de degradación.</w:t>
      </w:r>
    </w:p>
    <w:p>
      <w:pPr>
        <w:spacing w:after="70" w:before="60"/>
      </w:pPr>
      <w:r>
        <w:rPr>
          <w:rFonts w:ascii="Arial" w:cs="Arial" w:eastAsia="Arial" w:hAnsi="Arial"/>
          <w:b/>
          <w:bCs/>
          <w:sz w:val="22"/>
          <w:szCs w:val="22"/>
        </w:rPr>
        <w:t xml:space="preserve">Un PS alto</w:t>
      </w:r>
      <w:r>
        <w:rPr>
          <w:rFonts w:ascii="Arial" w:cs="Arial" w:eastAsia="Arial" w:hAnsi="Arial"/>
          <w:sz w:val="22"/>
          <w:szCs w:val="22"/>
        </w:rPr>
        <w:t xml:space="preserve"> indica que el sistema es resistente a la erosión semiótica. </w:t>
      </w:r>
      <w:r>
        <w:rPr>
          <w:rFonts w:ascii="Arial" w:cs="Arial" w:eastAsia="Arial" w:hAnsi="Arial"/>
          <w:b/>
          <w:bCs/>
          <w:sz w:val="22"/>
          <w:szCs w:val="22"/>
        </w:rPr>
        <w:t xml:space="preserve">Un PS bajo</w:t>
      </w:r>
      <w:r>
        <w:rPr>
          <w:rFonts w:ascii="Arial" w:cs="Arial" w:eastAsia="Arial" w:hAnsi="Arial"/>
          <w:sz w:val="22"/>
          <w:szCs w:val="22"/>
        </w:rPr>
        <w:t xml:space="preserve"> indica que el sistema es frágil: cualquier perturbación lo desestabiliza. La distinción entre régimen con degradación (Vd &gt; 0) y régimen estático (Vd = 0) permite adaptar la fórmula al contexto real.</w:t>
      </w:r>
    </w:p>
    <w:p>
      <w:pPr>
        <w:spacing w:after="80" w:before="80"/>
        <w:ind w:left="560"/>
      </w:pPr>
      <w:r>
        <w:rPr>
          <w:rFonts w:ascii="Arial" w:cs="Arial" w:eastAsia="Arial" w:hAnsi="Arial"/>
          <w:b/>
          <w:bCs/>
          <w:i/>
          <w:iCs/>
          <w:color w:val="2E75B6"/>
          <w:sz w:val="20"/>
          <w:szCs w:val="20"/>
        </w:rPr>
        <w:t xml:space="preserve">Parámetros: </w:t>
      </w:r>
      <w:r>
        <w:rPr>
          <w:rFonts w:ascii="Arial" w:cs="Arial" w:eastAsia="Arial" w:hAnsi="Arial"/>
          <w:i/>
          <w:iCs/>
          <w:sz w:val="20"/>
          <w:szCs w:val="20"/>
        </w:rPr>
        <w:t xml:space="preserve">D = duración del análisis. INR = distancia interpretativa. RC = ruido contextual. Vd = velocidad de degradación semiótica. ke = constante de escala (por defecto ke = 1).</w:t>
      </w:r>
    </w:p>
    <w:p>
      <w:pPr>
        <w:spacing w:after="0" w:before="0"/>
      </w:pPr>
      <w:r>
        <w:t xml:space="preserve"/>
      </w:r>
    </w:p>
    <w:p>
      <w:pPr>
        <w:pStyle w:val="Heading3"/>
        <w:spacing w:after="60" w:before="220"/>
      </w:pPr>
      <w:r>
        <w:rPr>
          <w:rFonts w:ascii="Arial" w:cs="Arial" w:eastAsia="Arial" w:hAnsi="Arial"/>
          <w:b/>
          <w:bCs/>
          <w:color w:val="1F3864"/>
          <w:sz w:val="23"/>
          <w:szCs w:val="23"/>
        </w:rPr>
        <w:t xml:space="preserve">¿Cómo entenderlo sin fórmulas?</w:t>
      </w:r>
    </w:p>
    <w:p>
      <w:pPr>
        <w:spacing w:after="70" w:before="60"/>
      </w:pPr>
      <w:r>
        <w:rPr>
          <w:rFonts w:ascii="Arial" w:cs="Arial" w:eastAsia="Arial" w:hAnsi="Arial"/>
          <w:i/>
          <w:iCs/>
          <w:color w:val="555555"/>
          <w:sz w:val="21"/>
          <w:szCs w:val="21"/>
        </w:rPr>
        <w:t xml:space="preserve">Imagina que escribes un mensaje en la arena de la playa. La marea borra el mensaje con el tiempo (Vd). La PS mide cuánto tiempo se puede leer el mensaje antes de que desaparezca. Si escribes con un palo profundo (baja INR), el mensaje durará más.</w:t>
      </w:r>
    </w:p>
    <w:p>
      <w:pPr>
        <w:spacing w:after="0" w:before="0"/>
      </w:pPr>
      <w:r>
        <w:t xml:space="preserve"/>
      </w:r>
    </w:p>
    <w:p>
      <w:pPr>
        <w:shd w:fill="2E75B6" w:val="clear"/>
        <w:spacing w:after="80" w:before="200"/>
      </w:pPr>
      <w:r>
        <w:rPr>
          <w:rFonts w:ascii="Arial" w:cs="Arial" w:eastAsia="Arial" w:hAnsi="Arial"/>
          <w:b/>
          <w:bCs/>
          <w:color w:val="FFFFFF"/>
          <w:sz w:val="26"/>
          <w:szCs w:val="26"/>
        </w:rPr>
        <w:t xml:space="preserve">  12. Ls  —  Número de Lorenz Semiótico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Plano de análisis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 — Semiótico</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raw</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Ls_raw = Θ / (σs × κs)</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normalizada</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Ls_n = Ls_raw / (1 + Ls_raw)</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Rango normalizado</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Introducción</w:t>
      </w:r>
    </w:p>
    <w:p>
      <w:pPr>
        <w:spacing w:after="70" w:before="60"/>
      </w:pPr>
      <w:r>
        <w:rPr>
          <w:rFonts w:ascii="Arial" w:cs="Arial" w:eastAsia="Arial" w:hAnsi="Arial"/>
          <w:sz w:val="22"/>
          <w:szCs w:val="22"/>
        </w:rPr>
        <w:t xml:space="preserve">El Ls es una medida de </w:t>
      </w:r>
      <w:r>
        <w:rPr>
          <w:rFonts w:ascii="Arial" w:cs="Arial" w:eastAsia="Arial" w:hAnsi="Arial"/>
          <w:b/>
          <w:bCs/>
          <w:sz w:val="22"/>
          <w:szCs w:val="22"/>
        </w:rPr>
        <w:t xml:space="preserve">complejidad y no linealidad en un sistema semiótico</w:t>
      </w:r>
      <w:r>
        <w:rPr>
          <w:rFonts w:ascii="Arial" w:cs="Arial" w:eastAsia="Arial" w:hAnsi="Arial"/>
          <w:sz w:val="22"/>
          <w:szCs w:val="22"/>
        </w:rPr>
        <w:t xml:space="preserve">, análoga al número de Lorenz en sistemas dinámicos. Mide la sensibilidad a condiciones iniciales.</w:t>
      </w:r>
    </w:p>
    <w:p>
      <w:pPr>
        <w:spacing w:after="70" w:before="60"/>
      </w:pPr>
      <w:r>
        <w:rPr>
          <w:rFonts w:ascii="Arial" w:cs="Arial" w:eastAsia="Arial" w:hAnsi="Arial"/>
          <w:b/>
          <w:bCs/>
          <w:sz w:val="22"/>
          <w:szCs w:val="22"/>
        </w:rPr>
        <w:t xml:space="preserve">Un Ls alto</w:t>
      </w:r>
      <w:r>
        <w:rPr>
          <w:rFonts w:ascii="Arial" w:cs="Arial" w:eastAsia="Arial" w:hAnsi="Arial"/>
          <w:sz w:val="22"/>
          <w:szCs w:val="22"/>
        </w:rPr>
        <w:t xml:space="preserve"> indica que el sistema es caótico o altamente no lineal: pequeñas perturbaciones en la señal (σs) o el ruido (κs) pueden producir grandes cambios en el comportamiento semiótico. </w:t>
      </w:r>
      <w:r>
        <w:rPr>
          <w:rFonts w:ascii="Arial" w:cs="Arial" w:eastAsia="Arial" w:hAnsi="Arial"/>
          <w:b/>
          <w:bCs/>
          <w:sz w:val="22"/>
          <w:szCs w:val="22"/>
        </w:rPr>
        <w:t xml:space="preserve">Un Ls bajo</w:t>
      </w:r>
      <w:r>
        <w:rPr>
          <w:rFonts w:ascii="Arial" w:cs="Arial" w:eastAsia="Arial" w:hAnsi="Arial"/>
          <w:sz w:val="22"/>
          <w:szCs w:val="22"/>
        </w:rPr>
        <w:t xml:space="preserve"> indica que el sistema es lineal y predecible.</w:t>
      </w:r>
    </w:p>
    <w:p>
      <w:pPr>
        <w:spacing w:after="80" w:before="80"/>
        <w:ind w:left="560"/>
      </w:pPr>
      <w:r>
        <w:rPr>
          <w:rFonts w:ascii="Arial" w:cs="Arial" w:eastAsia="Arial" w:hAnsi="Arial"/>
          <w:b/>
          <w:bCs/>
          <w:i/>
          <w:iCs/>
          <w:color w:val="2E75B6"/>
          <w:sz w:val="20"/>
          <w:szCs w:val="20"/>
        </w:rPr>
        <w:t xml:space="preserve">Parámetros: </w:t>
      </w:r>
      <w:r>
        <w:rPr>
          <w:rFonts w:ascii="Arial" w:cs="Arial" w:eastAsia="Arial" w:hAnsi="Arial"/>
          <w:i/>
          <w:iCs/>
          <w:sz w:val="20"/>
          <w:szCs w:val="20"/>
        </w:rPr>
        <w:t xml:space="preserve">Θ = amplitud de la variación semiótica (desviación estándar, rango, o energía de la señal). σs = señal efectiva. κs = ruido semántico.</w:t>
      </w:r>
    </w:p>
    <w:p>
      <w:pPr>
        <w:spacing w:after="0" w:before="0"/>
      </w:pPr>
      <w:r>
        <w:t xml:space="preserve"/>
      </w:r>
    </w:p>
    <w:p>
      <w:pPr>
        <w:pStyle w:val="Heading3"/>
        <w:spacing w:after="60" w:before="220"/>
      </w:pPr>
      <w:r>
        <w:rPr>
          <w:rFonts w:ascii="Arial" w:cs="Arial" w:eastAsia="Arial" w:hAnsi="Arial"/>
          <w:b/>
          <w:bCs/>
          <w:color w:val="1F3864"/>
          <w:sz w:val="23"/>
          <w:szCs w:val="23"/>
        </w:rPr>
        <w:t xml:space="preserve">¿Cómo entenderlo sin fórmulas?</w:t>
      </w:r>
    </w:p>
    <w:p>
      <w:pPr>
        <w:spacing w:after="70" w:before="60"/>
      </w:pPr>
      <w:r>
        <w:rPr>
          <w:rFonts w:ascii="Arial" w:cs="Arial" w:eastAsia="Arial" w:hAnsi="Arial"/>
          <w:i/>
          <w:iCs/>
          <w:color w:val="555555"/>
          <w:sz w:val="21"/>
          <w:szCs w:val="21"/>
        </w:rPr>
        <w:t xml:space="preserve">Imagina un péndulo. Si lo mueves un poco, se mueve un poco (Ls bajo, es predecible). Ahora imagina el clima: una mariposa bate sus alas en Brasil y causa un huracán en Texas (Ls alto). El Ls mide qué tan "mariposa" es tu sistema: qué tan pequeña puede ser la causa para generar un gran efecto.</w:t>
      </w:r>
    </w:p>
    <w:p>
      <w:pPr>
        <w:spacing w:after="0" w:before="0"/>
      </w:pPr>
      <w:r>
        <w:t xml:space="preserve"/>
      </w:r>
    </w:p>
    <w:p>
      <w:pPr>
        <w:shd w:fill="2E75B6" w:val="clear"/>
        <w:spacing w:after="80" w:before="200"/>
      </w:pPr>
      <w:r>
        <w:rPr>
          <w:rFonts w:ascii="Arial" w:cs="Arial" w:eastAsia="Arial" w:hAnsi="Arial"/>
          <w:b/>
          <w:bCs/>
          <w:color w:val="FFFFFF"/>
          <w:sz w:val="26"/>
          <w:szCs w:val="26"/>
        </w:rPr>
        <w:t xml:space="preserve">  13 – 15. LF_legal, LF_inmune, SIE  —  Libertades Funcionales y Semiosis Inmune</w:t>
      </w:r>
    </w:p>
    <w:p>
      <w:pPr>
        <w:pStyle w:val="Heading3"/>
        <w:spacing w:after="60" w:before="220"/>
      </w:pPr>
      <w:r>
        <w:rPr>
          <w:rFonts w:ascii="Arial" w:cs="Arial" w:eastAsia="Arial" w:hAnsi="Arial"/>
          <w:b/>
          <w:bCs/>
          <w:color w:val="1F3864"/>
          <w:sz w:val="23"/>
          <w:szCs w:val="23"/>
        </w:rPr>
        <w:t xml:space="preserve">Introducción</w:t>
      </w:r>
    </w:p>
    <w:p>
      <w:pPr>
        <w:spacing w:after="70" w:before="60"/>
      </w:pPr>
      <w:r>
        <w:rPr>
          <w:rFonts w:ascii="Arial" w:cs="Arial" w:eastAsia="Arial" w:hAnsi="Arial"/>
          <w:sz w:val="22"/>
          <w:szCs w:val="22"/>
        </w:rPr>
        <w:t xml:space="preserve">LF_legal y LF_inmune son </w:t>
      </w:r>
      <w:r>
        <w:rPr>
          <w:rFonts w:ascii="Arial" w:cs="Arial" w:eastAsia="Arial" w:hAnsi="Arial"/>
          <w:b/>
          <w:bCs/>
          <w:sz w:val="22"/>
          <w:szCs w:val="22"/>
        </w:rPr>
        <w:t xml:space="preserve">exaptaciones contextuales del ICR</w:t>
      </w:r>
      <w:r>
        <w:rPr>
          <w:rFonts w:ascii="Arial" w:cs="Arial" w:eastAsia="Arial" w:hAnsi="Arial"/>
          <w:sz w:val="22"/>
          <w:szCs w:val="22"/>
        </w:rPr>
        <w:t xml:space="preserve"> aplicadas a dominios especializados. Usan la misma lógica —RC × (1−INR)— pero con parámetros específicos del dominio. SIE agrega los tres canales semióticos de la respuesta inmune.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400"/>
        <w:gridCol w:w="2560"/>
        <w:gridCol w:w="1100"/>
      </w:tblGrid>
      <w:tr>
        <w:trPr>
          <w:tblHeader/>
        </w:trPr>
        <w:tc>
          <w:tcPr>
            <w:tcW w:type="dxa" w:w="1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Sigla</w:t>
            </w:r>
          </w:p>
        </w:tc>
        <w:tc>
          <w:tcPr>
            <w:tcW w:type="dxa" w:w="19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Dominio</w:t>
            </w:r>
          </w:p>
        </w:tc>
        <w:tc>
          <w:tcPr>
            <w:tcW w:type="dxa" w:w="2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Fórmula</w:t>
            </w:r>
          </w:p>
        </w:tc>
        <w:tc>
          <w:tcPr>
            <w:tcW w:type="dxa" w:w="25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Qué mide</w:t>
            </w:r>
          </w:p>
        </w:tc>
        <w:tc>
          <w:tcPr>
            <w:tcW w:type="dxa" w:w="11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Plano</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LF_legal</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Sistema legal / normativo</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RC_legal × (1−INR_legal)</w:t>
            </w:r>
          </w:p>
        </w:tc>
        <w:tc>
          <w:tcPr>
            <w:tcW w:type="dxa" w:w="2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Capacidad del sistema legal para interpretar normas ambiguas sin perder coherencia.</w:t>
            </w:r>
          </w:p>
        </w:tc>
        <w:tc>
          <w:tcPr>
            <w:tcW w:type="dxa" w:w="1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w:t>
            </w:r>
          </w:p>
        </w:tc>
      </w:tr>
      <w:tr>
        <w:tc>
          <w:tcPr>
            <w:tcW w:type="dxa" w:w="1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LF_inmune</w:t>
            </w:r>
          </w:p>
        </w:tc>
        <w:tc>
          <w:tcPr>
            <w:tcW w:type="dxa" w:w="19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Respuesta ante amenazas semióticas</w:t>
            </w:r>
          </w:p>
        </w:tc>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RC_inmune × (1−INR_inmune)</w:t>
            </w:r>
          </w:p>
        </w:tc>
        <w:tc>
          <w:tcPr>
            <w:tcW w:type="dxa" w:w="25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Capacidad de un sistema para detectar y neutralizar desinformación o manipulación.</w:t>
            </w:r>
          </w:p>
        </w:tc>
        <w:tc>
          <w:tcPr>
            <w:tcW w:type="dxa" w:w="11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SIE</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Agregación inmunológica tricanal</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wI·LFI + wΦ·LFΦ + wK·LFK</w:t>
            </w:r>
          </w:p>
        </w:tc>
        <w:tc>
          <w:tcPr>
            <w:tcW w:type="dxa" w:w="2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Capacidad global del sistema inmunológico semiótico en los tres canales (I, Φ, K).</w:t>
            </w:r>
          </w:p>
        </w:tc>
        <w:tc>
          <w:tcPr>
            <w:tcW w:type="dxa" w:w="1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¿Cómo entender LF_inmune sin fórmulas?</w:t>
      </w:r>
    </w:p>
    <w:p>
      <w:pPr>
        <w:spacing w:after="70" w:before="60"/>
      </w:pPr>
      <w:r>
        <w:rPr>
          <w:rFonts w:ascii="Arial" w:cs="Arial" w:eastAsia="Arial" w:hAnsi="Arial"/>
          <w:i/>
          <w:iCs/>
          <w:color w:val="555555"/>
          <w:sz w:val="21"/>
          <w:szCs w:val="21"/>
        </w:rPr>
        <w:t xml:space="preserve">Imagina que tu cuerpo tiene un sistema inmunológico. Detecta virus (amenazas) aunque muten y se oculten (RC_inmune alto). Responde produciendo anticuerpos específicos (bajo INR_inmune). LF_inmune mide qué tan bien funciona ese sistema para detectar desinformación aunque sea sutil.</w:t>
      </w:r>
    </w:p>
    <w:p>
      <w:pPr>
        <w:pBdr>
          <w:bottom w:val="single" w:color="2E75B6" w:sz="8" w:space="1"/>
        </w:pBdr>
        <w:spacing w:after="160" w:before="160"/>
      </w:pPr>
      <w:r>
        <w:t xml:space="preserve"/>
      </w:r>
    </w:p>
    <w:p>
      <w:pPr>
        <w:pageBreakBefore/>
      </w:pPr>
      <w:r>
        <w:t xml:space="preserve"/>
      </w:r>
    </w:p>
    <w:p>
      <w:pPr>
        <w:shd w:fill="1F3864" w:val="clear"/>
        <w:spacing w:after="200" w:before="300"/>
      </w:pPr>
      <w:r>
        <w:rPr>
          <w:rFonts w:ascii="Arial" w:cs="Arial" w:eastAsia="Arial" w:hAnsi="Arial"/>
          <w:b/>
          <w:bCs/>
          <w:color w:val="FFFFFF"/>
          <w:sz w:val="30"/>
          <w:szCs w:val="30"/>
        </w:rPr>
        <w:t xml:space="preserve">  LOTE 3 — SUBCADENA COSMOSEMIÓTICA DEL DESALMAMIENTO (CERRADA)</w:t>
      </w:r>
    </w:p>
    <w:p>
      <w:pPr>
        <w:spacing w:after="70" w:before="60"/>
      </w:pPr>
      <w:r>
        <w:rPr>
          <w:rFonts w:ascii="Arial" w:cs="Arial" w:eastAsia="Arial" w:hAnsi="Arial"/>
          <w:sz w:val="22"/>
          <w:szCs w:val="22"/>
        </w:rPr>
        <w:t xml:space="preserve">Esta subcadena modela la </w:t>
      </w:r>
      <w:r>
        <w:rPr>
          <w:rFonts w:ascii="Arial" w:cs="Arial" w:eastAsia="Arial" w:hAnsi="Arial"/>
          <w:b/>
          <w:bCs/>
          <w:sz w:val="22"/>
          <w:szCs w:val="22"/>
        </w:rPr>
        <w:t xml:space="preserve">degradación progresiva de la integridad semiótica de un agente</w:t>
      </w:r>
      <w:r>
        <w:rPr>
          <w:rFonts w:ascii="Arial" w:cs="Arial" w:eastAsia="Arial" w:hAnsi="Arial"/>
          <w:sz w:val="22"/>
          <w:szCs w:val="22"/>
        </w:rPr>
        <w:t xml:space="preserve">. Es una cadena causal estricta: cada eslabón es entrada necesaria del siguiente.</w:t>
      </w:r>
    </w:p>
    <w:p>
      <w:pPr>
        <w:shd w:fill="D6E4F0" w:val="clear"/>
        <w:spacing w:after="140" w:before="140"/>
        <w:jc w:val="center"/>
      </w:pPr>
      <w:r>
        <w:rPr>
          <w:rFonts w:ascii="Courier New" w:cs="Courier New" w:eastAsia="Courier New" w:hAnsi="Courier New"/>
          <w:b/>
          <w:bCs/>
          <w:color w:val="1F3864"/>
          <w:sz w:val="24"/>
          <w:szCs w:val="24"/>
        </w:rPr>
        <w:t xml:space="preserve">IEES  →  IDP  →  IDSΨ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2600"/>
        <w:gridCol w:w="3000"/>
        <w:gridCol w:w="800"/>
        <w:gridCol w:w="1660"/>
      </w:tblGrid>
      <w:tr>
        <w:trPr>
          <w:tblHeader/>
        </w:trPr>
        <w:tc>
          <w:tcPr>
            <w:tcW w:type="dxa" w:w="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Nº</w:t>
            </w:r>
          </w:p>
        </w:tc>
        <w:tc>
          <w:tcPr>
            <w:tcW w:type="dxa" w:w="9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Sigla</w:t>
            </w:r>
          </w:p>
        </w:tc>
        <w:tc>
          <w:tcPr>
            <w:tcW w:type="dxa" w:w="2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Nombre</w:t>
            </w:r>
          </w:p>
        </w:tc>
        <w:tc>
          <w:tcPr>
            <w:tcW w:type="dxa" w:w="3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Fórmula canónica</w:t>
            </w:r>
          </w:p>
        </w:tc>
        <w:tc>
          <w:tcPr>
            <w:tcW w:type="dxa" w:w="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Rango</w:t>
            </w:r>
          </w:p>
        </w:tc>
        <w:tc>
          <w:tcPr>
            <w:tcW w:type="dxa" w:w="16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Plano</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16</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IEES</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Índice de Erosión de Estructura Semiótica</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IEES = INR × (1 − IAS_X)</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w:t>
            </w:r>
          </w:p>
        </w:tc>
        <w:tc>
          <w:tcPr>
            <w:tcW w:type="dxa" w:w="16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A/B</w:t>
            </w:r>
          </w:p>
        </w:tc>
      </w:tr>
      <w:tr>
        <w:tc>
          <w:tcPr>
            <w:tcW w:type="dxa" w:w="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17</w:t>
            </w:r>
          </w:p>
        </w:tc>
        <w:tc>
          <w:tcPr>
            <w:tcW w:type="dxa" w:w="9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IDP</w:t>
            </w:r>
          </w:p>
        </w:tc>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Índice de Desconfiguración Psíquica</w:t>
            </w:r>
          </w:p>
        </w:tc>
        <w:tc>
          <w:tcPr>
            <w:tcW w:type="dxa" w:w="3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IDP = IEES × (1 − √Ceff_n)</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w:t>
            </w:r>
          </w:p>
        </w:tc>
        <w:tc>
          <w:tcPr>
            <w:tcW w:type="dxa" w:w="16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18</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IDSΨ</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Índice de Desalmamiento Semiótico</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IDSΨ = IDP × tanh(IAH/100)</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w:t>
            </w:r>
          </w:p>
        </w:tc>
        <w:tc>
          <w:tcPr>
            <w:tcW w:type="dxa" w:w="16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bl>
    <w:p>
      <w:pPr>
        <w:spacing w:after="0" w:before="0"/>
      </w:pPr>
      <w:r>
        <w:t xml:space="preserve"/>
      </w:r>
    </w:p>
    <w:p>
      <w:pPr>
        <w:shd w:fill="2E75B6" w:val="clear"/>
        <w:spacing w:after="80" w:before="200"/>
      </w:pPr>
      <w:r>
        <w:rPr>
          <w:rFonts w:ascii="Arial" w:cs="Arial" w:eastAsia="Arial" w:hAnsi="Arial"/>
          <w:b/>
          <w:bCs/>
          <w:color w:val="FFFFFF"/>
          <w:sz w:val="26"/>
          <w:szCs w:val="26"/>
        </w:rPr>
        <w:t xml:space="preserve">  16. IEES  —  Índice de Erosión de Estructura Semiótica</w:t>
      </w:r>
    </w:p>
    <w:p>
      <w:pPr>
        <w:shd w:fill="FFF9E6" w:val="clear"/>
        <w:spacing w:after="100" w:before="100"/>
      </w:pPr>
      <w:r>
        <w:rPr>
          <w:rFonts w:ascii="Arial" w:cs="Arial" w:eastAsia="Arial" w:hAnsi="Arial"/>
          <w:b/>
          <w:bCs/>
          <w:color w:val="C00000"/>
          <w:sz w:val="21"/>
          <w:szCs w:val="21"/>
        </w:rPr>
        <w:t xml:space="preserve">NOTA EDITORIAL: </w:t>
      </w:r>
      <w:r>
        <w:rPr>
          <w:rFonts w:ascii="Arial" w:cs="Arial" w:eastAsia="Arial" w:hAnsi="Arial"/>
          <w:i/>
          <w:iCs/>
          <w:sz w:val="21"/>
          <w:szCs w:val="21"/>
        </w:rPr>
        <w:t xml:space="preserve">Esta es la definición canónica única de IEES. La entrada duplicada que existía en versiones previas del documento ha sido eliminada. Esta fórmula es la referencia normativa para toda la cadena de desalmamiento.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Plano de análisis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 (análisis del texto) / B (análisis del agente)</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canónica</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IEES = INR × (1 − IAS_X)</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Rango</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Posición en la cadena</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Primer eslabón: IEES → IDP → IDSΨ</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Introducción</w:t>
      </w:r>
    </w:p>
    <w:p>
      <w:pPr>
        <w:spacing w:after="70" w:before="60"/>
      </w:pPr>
      <w:r>
        <w:rPr>
          <w:rFonts w:ascii="Arial" w:cs="Arial" w:eastAsia="Arial" w:hAnsi="Arial"/>
          <w:sz w:val="22"/>
          <w:szCs w:val="22"/>
        </w:rPr>
        <w:t xml:space="preserve">El IEES mide el </w:t>
      </w:r>
      <w:r>
        <w:rPr>
          <w:rFonts w:ascii="Arial" w:cs="Arial" w:eastAsia="Arial" w:hAnsi="Arial"/>
          <w:b/>
          <w:bCs/>
          <w:sz w:val="22"/>
          <w:szCs w:val="22"/>
        </w:rPr>
        <w:t xml:space="preserve">grado de degradación de la coherencia semiótica</w:t>
      </w:r>
      <w:r>
        <w:rPr>
          <w:rFonts w:ascii="Arial" w:cs="Arial" w:eastAsia="Arial" w:hAnsi="Arial"/>
          <w:sz w:val="22"/>
          <w:szCs w:val="22"/>
        </w:rPr>
        <w:t xml:space="preserve"> como resultado de la combinación de ambigüedad interpretativa (INR) y pobre acoplamiento señal/ruido (1−IAS_X).</w:t>
      </w:r>
    </w:p>
    <w:p>
      <w:pPr>
        <w:spacing w:after="70" w:before="60"/>
      </w:pPr>
      <w:r>
        <w:rPr>
          <w:rFonts w:ascii="Arial" w:cs="Arial" w:eastAsia="Arial" w:hAnsi="Arial"/>
          <w:sz w:val="22"/>
          <w:szCs w:val="22"/>
        </w:rPr>
        <w:t xml:space="preserve">La lógica de la fórmula es una condición conjunta: </w:t>
      </w:r>
      <w:r>
        <w:rPr>
          <w:rFonts w:ascii="Arial" w:cs="Arial" w:eastAsia="Arial" w:hAnsi="Arial"/>
          <w:b/>
          <w:bCs/>
          <w:sz w:val="22"/>
          <w:szCs w:val="22"/>
        </w:rPr>
        <w:t xml:space="preserve">la erosión ocurre solo cuando hay ruido dominante Y ese ruido no puede ser interpretado correctamente</w:t>
      </w:r>
      <w:r>
        <w:rPr>
          <w:rFonts w:ascii="Arial" w:cs="Arial" w:eastAsia="Arial" w:hAnsi="Arial"/>
          <w:sz w:val="22"/>
          <w:szCs w:val="22"/>
        </w:rPr>
        <w:t xml:space="preserve">. Si el sistema tiene IAS_X alto (señal dominante), la erosión se reduce aunque haya incomprensión. Si tiene IAS_X bajo pero INR también bajo (comprensión alta), tampoco hay erosión significativa.</w:t>
      </w:r>
    </w:p>
    <w:p>
      <w:pPr>
        <w:spacing w:after="70" w:before="60"/>
      </w:pPr>
      <w:r>
        <w:rPr>
          <w:rFonts w:ascii="Arial" w:cs="Arial" w:eastAsia="Arial" w:hAnsi="Arial"/>
          <w:b/>
          <w:bCs/>
          <w:sz w:val="22"/>
          <w:szCs w:val="22"/>
        </w:rPr>
        <w:t xml:space="preserve">Un IEES alto</w:t>
      </w:r>
      <w:r>
        <w:rPr>
          <w:rFonts w:ascii="Arial" w:cs="Arial" w:eastAsia="Arial" w:hAnsi="Arial"/>
          <w:sz w:val="22"/>
          <w:szCs w:val="22"/>
        </w:rPr>
        <w:t xml:space="preserve"> indica que la estructura semiótica se está erosionando rápidamente: hay alta confusión y la señal está siendo ahogada por el ruido. </w:t>
      </w:r>
      <w:r>
        <w:rPr>
          <w:rFonts w:ascii="Arial" w:cs="Arial" w:eastAsia="Arial" w:hAnsi="Arial"/>
          <w:b/>
          <w:bCs/>
          <w:sz w:val="22"/>
          <w:szCs w:val="22"/>
        </w:rPr>
        <w:t xml:space="preserve">Un IEES bajo</w:t>
      </w:r>
      <w:r>
        <w:rPr>
          <w:rFonts w:ascii="Arial" w:cs="Arial" w:eastAsia="Arial" w:hAnsi="Arial"/>
          <w:sz w:val="22"/>
          <w:szCs w:val="22"/>
        </w:rPr>
        <w:t xml:space="preserve"> indica estabilidad estructural. IEES es el primer eslabón de la cadena: si IEES es bajo, IDP e IDSΨ también serán bajos.</w:t>
      </w:r>
    </w:p>
    <w:p>
      <w:pPr>
        <w:spacing w:after="0" w:before="0"/>
      </w:pPr>
      <w:r>
        <w:t xml:space="preserve"/>
      </w:r>
    </w:p>
    <w:p>
      <w:pPr>
        <w:pStyle w:val="Heading3"/>
        <w:spacing w:after="60" w:before="220"/>
      </w:pPr>
      <w:r>
        <w:rPr>
          <w:rFonts w:ascii="Arial" w:cs="Arial" w:eastAsia="Arial" w:hAnsi="Arial"/>
          <w:b/>
          <w:bCs/>
          <w:color w:val="1F3864"/>
          <w:sz w:val="23"/>
          <w:szCs w:val="23"/>
        </w:rPr>
        <w:t xml:space="preserve">Tabla canónica de interpretación (unificada)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Rango</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Nivel</w:t>
            </w:r>
          </w:p>
        </w:tc>
        <w:tc>
          <w:tcPr>
            <w:tcW w:type="dxa" w:w="5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Interpretación</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0.00 – 0.10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Muy bajo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Estabilidad estructural. No hay erosión significativa.</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0.11 – 0.30</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Erosión incipiente. El sistema comienza a degradarse.</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0.31 – 0.50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Moderado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Erosión notable. La estructura se debilita.</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0.51 – 0.70</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Erosión severa. El sistema está en riesgo de colapso.</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0.71 – 0.90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Muy alto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Erosión crítica. El sistema está cerca del desalmamiento.</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0.91 – 1.00</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Extremo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Colapso estructural. La coherencia semiótica ha sido perdida.</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¿Cómo entenderlo sin fórmulas?</w:t>
      </w:r>
    </w:p>
    <w:p>
      <w:pPr>
        <w:spacing w:after="70" w:before="60"/>
      </w:pPr>
      <w:r>
        <w:rPr>
          <w:rFonts w:ascii="Arial" w:cs="Arial" w:eastAsia="Arial" w:hAnsi="Arial"/>
          <w:i/>
          <w:iCs/>
          <w:color w:val="555555"/>
          <w:sz w:val="21"/>
          <w:szCs w:val="21"/>
        </w:rPr>
        <w:t xml:space="preserve">Imagina un castillo de naipes (estructura semiótica). El viento (INR) sopla fuerte. Los naipes están mal encajados (IAS_X bajo). El IEES mide qué tan rápido se derrumba el castillo. Si el viento es suave y los naipes están bien puestos, el castillo se mantiene. Si el viento es huracanado y los naipes están flojos, el castillo se derrumba en segundos.</w:t>
      </w:r>
    </w:p>
    <w:p>
      <w:pPr>
        <w:spacing w:after="0" w:before="0"/>
      </w:pPr>
      <w:r>
        <w:t xml:space="preserve"/>
      </w:r>
    </w:p>
    <w:p>
      <w:pPr>
        <w:shd w:fill="2E75B6" w:val="clear"/>
        <w:spacing w:after="80" w:before="200"/>
      </w:pPr>
      <w:r>
        <w:rPr>
          <w:rFonts w:ascii="Arial" w:cs="Arial" w:eastAsia="Arial" w:hAnsi="Arial"/>
          <w:b/>
          <w:bCs/>
          <w:color w:val="FFFFFF"/>
          <w:sz w:val="26"/>
          <w:szCs w:val="26"/>
        </w:rPr>
        <w:t xml:space="preserve">  17. IDP  —  Índice de Desconfiguración Psíquica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Plano de análisis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 — Sistémico (agente)</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canónica</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IDP = IEES × (1 − √Ceff_n)</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Rango</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Posición en la cadena</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Segundo eslabón: IEES → IDP → IDSΨ</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Introducción</w:t>
      </w:r>
    </w:p>
    <w:p>
      <w:pPr>
        <w:spacing w:after="70" w:before="60"/>
      </w:pPr>
      <w:r>
        <w:rPr>
          <w:rFonts w:ascii="Arial" w:cs="Arial" w:eastAsia="Arial" w:hAnsi="Arial"/>
          <w:sz w:val="22"/>
          <w:szCs w:val="22"/>
        </w:rPr>
        <w:t xml:space="preserve">El IDP mide el </w:t>
      </w:r>
      <w:r>
        <w:rPr>
          <w:rFonts w:ascii="Arial" w:cs="Arial" w:eastAsia="Arial" w:hAnsi="Arial"/>
          <w:b/>
          <w:bCs/>
          <w:sz w:val="22"/>
          <w:szCs w:val="22"/>
        </w:rPr>
        <w:t xml:space="preserve">grado de desconfiguración interna del agente</w:t>
      </w:r>
      <w:r>
        <w:rPr>
          <w:rFonts w:ascii="Arial" w:cs="Arial" w:eastAsia="Arial" w:hAnsi="Arial"/>
          <w:sz w:val="22"/>
          <w:szCs w:val="22"/>
        </w:rPr>
        <w:t xml:space="preserve"> como consecuencia de la erosión de su estructura semiótica. Mientras que el IEES mide la erosión estructural del sistema (causa externa), el IDP mide el efecto de esa erosión en el agente (efecto interno).</w:t>
      </w:r>
    </w:p>
    <w:p>
      <w:pPr>
        <w:spacing w:after="70" w:before="60"/>
      </w:pPr>
      <w:r>
        <w:rPr>
          <w:rFonts w:ascii="Arial" w:cs="Arial" w:eastAsia="Arial" w:hAnsi="Arial"/>
          <w:sz w:val="22"/>
          <w:szCs w:val="22"/>
        </w:rPr>
        <w:t xml:space="preserve">La capacidad polisémica (Ceff_n) actúa como </w:t>
      </w:r>
      <w:r>
        <w:rPr>
          <w:rFonts w:ascii="Arial" w:cs="Arial" w:eastAsia="Arial" w:hAnsi="Arial"/>
          <w:b/>
          <w:bCs/>
          <w:sz w:val="22"/>
          <w:szCs w:val="22"/>
        </w:rPr>
        <w:t xml:space="preserve">factor protector</w:t>
      </w:r>
      <w:r>
        <w:rPr>
          <w:rFonts w:ascii="Arial" w:cs="Arial" w:eastAsia="Arial" w:hAnsi="Arial"/>
          <w:sz w:val="22"/>
          <w:szCs w:val="22"/>
        </w:rPr>
        <w:t xml:space="preserve">: a mayor diversidad semiótica efectiva, menor desconfiguración. Un agente que puede generar muchos sentidos distintos (Ceff_n alto) es más resistente a la erosión estructural.</w:t>
      </w:r>
    </w:p>
    <w:p>
      <w:pPr>
        <w:spacing w:after="70" w:before="60"/>
      </w:pPr>
      <w:r>
        <w:rPr>
          <w:rFonts w:ascii="Arial" w:cs="Arial" w:eastAsia="Arial" w:hAnsi="Arial"/>
          <w:b/>
          <w:bCs/>
          <w:sz w:val="22"/>
          <w:szCs w:val="22"/>
        </w:rPr>
        <w:t xml:space="preserve">Un IDP alto</w:t>
      </w:r>
      <w:r>
        <w:rPr>
          <w:rFonts w:ascii="Arial" w:cs="Arial" w:eastAsia="Arial" w:hAnsi="Arial"/>
          <w:sz w:val="22"/>
          <w:szCs w:val="22"/>
        </w:rPr>
        <w:t xml:space="preserve"> indica que el agente está psíquicamente desconfigurado, vulnerable al colapso o cerca del punto crítico. </w:t>
      </w:r>
      <w:r>
        <w:rPr>
          <w:rFonts w:ascii="Arial" w:cs="Arial" w:eastAsia="Arial" w:hAnsi="Arial"/>
          <w:b/>
          <w:bCs/>
          <w:sz w:val="22"/>
          <w:szCs w:val="22"/>
        </w:rPr>
        <w:t xml:space="preserve">Un IDP bajo</w:t>
      </w:r>
      <w:r>
        <w:rPr>
          <w:rFonts w:ascii="Arial" w:cs="Arial" w:eastAsia="Arial" w:hAnsi="Arial"/>
          <w:sz w:val="22"/>
          <w:szCs w:val="22"/>
        </w:rPr>
        <w:t xml:space="preserve"> indica estabilidad relativa.</w:t>
      </w:r>
    </w:p>
    <w:p>
      <w:pPr>
        <w:spacing w:after="0" w:before="0"/>
      </w:pPr>
      <w:r>
        <w:t xml:space="preserve"/>
      </w:r>
    </w:p>
    <w:p>
      <w:pPr>
        <w:pStyle w:val="Heading3"/>
        <w:spacing w:after="60" w:before="220"/>
      </w:pPr>
      <w:r>
        <w:rPr>
          <w:rFonts w:ascii="Arial" w:cs="Arial" w:eastAsia="Arial" w:hAnsi="Arial"/>
          <w:b/>
          <w:bCs/>
          <w:color w:val="1F3864"/>
          <w:sz w:val="23"/>
          <w:szCs w:val="23"/>
        </w:rPr>
        <w:t xml:space="preserve">Por qué la raíz cuadrada en (1 − √Ceff_n)</w:t>
      </w:r>
    </w:p>
    <w:p>
      <w:pPr>
        <w:spacing w:after="70" w:before="60"/>
      </w:pPr>
      <w:r>
        <w:rPr>
          <w:rFonts w:ascii="Arial" w:cs="Arial" w:eastAsia="Arial" w:hAnsi="Arial"/>
          <w:sz w:val="22"/>
          <w:szCs w:val="22"/>
        </w:rPr>
        <w:t xml:space="preserve">La versión anterior de la fórmula usaba (1 − Ceff_n), lo que producía una cancelación abrupta del efecto erosivo cuando Ceff_n era alto. La </w:t>
      </w:r>
      <w:r>
        <w:rPr>
          <w:rFonts w:ascii="Arial" w:cs="Arial" w:eastAsia="Arial" w:hAnsi="Arial"/>
          <w:b/>
          <w:bCs/>
          <w:sz w:val="22"/>
          <w:szCs w:val="22"/>
        </w:rPr>
        <w:t xml:space="preserve">raíz cuadrada suaviza el efecto protector</w:t>
      </w:r>
      <w:r>
        <w:rPr>
          <w:rFonts w:ascii="Arial" w:cs="Arial" w:eastAsia="Arial" w:hAnsi="Arial"/>
          <w:sz w:val="22"/>
          <w:szCs w:val="22"/>
        </w:rPr>
        <w:t xml:space="preserve">: con Ceff_n = 0.81, sin raíz el factor es 0.19, pero con raíz es 1 − √0.81 = 0.10. La protección es real pero más gradual, mejorando el gradiente del índice en simulaciones temporales.</w:t>
      </w:r>
    </w:p>
    <w:p>
      <w:pPr>
        <w:spacing w:after="0" w:before="0"/>
      </w:pPr>
      <w:r>
        <w:t xml:space="preserve"/>
      </w:r>
    </w:p>
    <w:p>
      <w:pPr>
        <w:pStyle w:val="Heading3"/>
        <w:spacing w:after="60" w:before="220"/>
      </w:pPr>
      <w:r>
        <w:rPr>
          <w:rFonts w:ascii="Arial" w:cs="Arial" w:eastAsia="Arial" w:hAnsi="Arial"/>
          <w:b/>
          <w:bCs/>
          <w:color w:val="1F3864"/>
          <w:sz w:val="23"/>
          <w:szCs w:val="23"/>
        </w:rPr>
        <w:t xml:space="preserve">Tabla canónica de interpretación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Rango</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Nivel</w:t>
            </w:r>
          </w:p>
        </w:tc>
        <w:tc>
          <w:tcPr>
            <w:tcW w:type="dxa" w:w="5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Interpretación</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0.00 – 0.10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Muy bajo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Estabilidad psíquica. El agente es robusto.</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0.11 – 0.30</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Leve desconfiguración. Signos de estrés semiótico.</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0.31 – 0.50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Moderado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Desconfiguración significativa. El agente está en riesgo.</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0.51 – 0.70</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Desconfiguración severa. El agente está cerca del colapso psíquico.</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0.71 – 0.90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Muy alto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Desconfiguración crítica. Desalmamiento avanzado.</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0.91 – 1.00</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Extremo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Colapso psíquico. El agente ha perdido su identidad semiótica.</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¿Cómo entenderlo sin fórmulas?</w:t>
      </w:r>
    </w:p>
    <w:p>
      <w:pPr>
        <w:spacing w:after="70" w:before="60"/>
      </w:pPr>
      <w:r>
        <w:rPr>
          <w:rFonts w:ascii="Arial" w:cs="Arial" w:eastAsia="Arial" w:hAnsi="Arial"/>
          <w:i/>
          <w:iCs/>
          <w:color w:val="555555"/>
          <w:sz w:val="21"/>
          <w:szCs w:val="21"/>
        </w:rPr>
        <w:t xml:space="preserve">Imagina que los cimientos de una casa se erosionan (IEES alto). El IDP mide cuánto se tambalea el habitante (el agente) como consecuencia. Si el habitante es flexible y puede adaptarse (Ceff_n alto), el tambaleo es menor. Si es rígido (Ceff_n bajo), el tambaleo es mayor y puede caerse.</w:t>
      </w:r>
    </w:p>
    <w:p>
      <w:pPr>
        <w:spacing w:after="0" w:before="0"/>
      </w:pPr>
      <w:r>
        <w:t xml:space="preserve"/>
      </w:r>
    </w:p>
    <w:p>
      <w:pPr>
        <w:shd w:fill="2E75B6" w:val="clear"/>
        <w:spacing w:after="80" w:before="200"/>
      </w:pPr>
      <w:r>
        <w:rPr>
          <w:rFonts w:ascii="Arial" w:cs="Arial" w:eastAsia="Arial" w:hAnsi="Arial"/>
          <w:b/>
          <w:bCs/>
          <w:color w:val="FFFFFF"/>
          <w:sz w:val="26"/>
          <w:szCs w:val="26"/>
        </w:rPr>
        <w:t xml:space="preserve">  18. IDSΨ  —  Índice de Desalmamiento Semiótico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Plano de análisis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 — Sistémico (agente)</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canónica</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IDSΨ = IDP × tanh(IAH / 100)</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Rango</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  (techo asintótico: solo alcanza 1 si IDP=1 e IAH→∞)</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Posición en la cadena</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Tercer eslabón y culminación: IEES → IDP → IDSΨ</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Relación con MAPAR-S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Modela la aproximación al punto crítico U0. No equivale al cruce automático del umbral.</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Introducción</w:t>
      </w:r>
    </w:p>
    <w:p>
      <w:pPr>
        <w:spacing w:after="70" w:before="60"/>
      </w:pPr>
      <w:r>
        <w:rPr>
          <w:rFonts w:ascii="Arial" w:cs="Arial" w:eastAsia="Arial" w:hAnsi="Arial"/>
          <w:sz w:val="22"/>
          <w:szCs w:val="22"/>
        </w:rPr>
        <w:t xml:space="preserve">El IDSΨ mide la </w:t>
      </w:r>
      <w:r>
        <w:rPr>
          <w:rFonts w:ascii="Arial" w:cs="Arial" w:eastAsia="Arial" w:hAnsi="Arial"/>
          <w:b/>
          <w:bCs/>
          <w:sz w:val="22"/>
          <w:szCs w:val="22"/>
        </w:rPr>
        <w:t xml:space="preserve">probabilidad o grado de desalmamiento</w:t>
      </w:r>
      <w:r>
        <w:rPr>
          <w:rFonts w:ascii="Arial" w:cs="Arial" w:eastAsia="Arial" w:hAnsi="Arial"/>
          <w:sz w:val="22"/>
          <w:szCs w:val="22"/>
        </w:rPr>
        <w:t xml:space="preserve"> de un agente: la pérdida de integridad semiótica y psíquica como resultado de la desconfiguración psíquica (IDP) modulada por la Intensidad de Amenaza Hostil (IAH).</w:t>
      </w:r>
    </w:p>
    <w:p>
      <w:pPr>
        <w:spacing w:after="70" w:before="60"/>
      </w:pPr>
      <w:r>
        <w:rPr>
          <w:rFonts w:ascii="Arial" w:cs="Arial" w:eastAsia="Arial" w:hAnsi="Arial"/>
          <w:sz w:val="22"/>
          <w:szCs w:val="22"/>
        </w:rPr>
        <w:t xml:space="preserve">La función </w:t>
      </w:r>
      <w:r>
        <w:rPr>
          <w:rFonts w:ascii="Arial" w:cs="Arial" w:eastAsia="Arial" w:hAnsi="Arial"/>
          <w:b/>
          <w:bCs/>
          <w:sz w:val="22"/>
          <w:szCs w:val="22"/>
        </w:rPr>
        <w:t xml:space="preserve">tanh</w:t>
      </w:r>
      <w:r>
        <w:rPr>
          <w:rFonts w:ascii="Arial" w:cs="Arial" w:eastAsia="Arial" w:hAnsi="Arial"/>
          <w:sz w:val="22"/>
          <w:szCs w:val="22"/>
        </w:rPr>
        <w:t xml:space="preserve"> introduce una saturación asintótica que es clave para la interpretación: a medida que IAH crece, su efecto amplificador sobre el desalmamiento se va suavizando. El sistema no puede "quebrarse linealmente" indefinidamente; llega a una zona de saturación y se aproxima asintóticamente al colapso total. Esto modela el desalmamiento como un proceso progresivo, no como un salto.</w:t>
      </w:r>
    </w:p>
    <w:p>
      <w:pPr>
        <w:spacing w:after="70" w:before="60"/>
      </w:pPr>
      <w:r>
        <w:rPr>
          <w:rFonts w:ascii="Arial" w:cs="Arial" w:eastAsia="Arial" w:hAnsi="Arial"/>
          <w:b/>
          <w:bCs/>
          <w:sz w:val="22"/>
          <w:szCs w:val="22"/>
        </w:rPr>
        <w:t xml:space="preserve">Un IDSΨ alto</w:t>
      </w:r>
      <w:r>
        <w:rPr>
          <w:rFonts w:ascii="Arial" w:cs="Arial" w:eastAsia="Arial" w:hAnsi="Arial"/>
          <w:sz w:val="22"/>
          <w:szCs w:val="22"/>
        </w:rPr>
        <w:t xml:space="preserve"> indica que el agente está próximo al umbral crítico U0. </w:t>
      </w:r>
      <w:r>
        <w:rPr>
          <w:rFonts w:ascii="Arial" w:cs="Arial" w:eastAsia="Arial" w:hAnsi="Arial"/>
          <w:b/>
          <w:bCs/>
          <w:sz w:val="22"/>
          <w:szCs w:val="22"/>
        </w:rPr>
        <w:t xml:space="preserve">Un IDSΨ bajo</w:t>
      </w:r>
      <w:r>
        <w:rPr>
          <w:rFonts w:ascii="Arial" w:cs="Arial" w:eastAsia="Arial" w:hAnsi="Arial"/>
          <w:sz w:val="22"/>
          <w:szCs w:val="22"/>
        </w:rPr>
        <w:t xml:space="preserve"> indica que el agente conserva su integridad semiótica.</w:t>
      </w:r>
    </w:p>
    <w:p>
      <w:pPr>
        <w:spacing w:after="0" w:before="0"/>
      </w:pPr>
      <w:r>
        <w:t xml:space="preserve"/>
      </w:r>
    </w:p>
    <w:p>
      <w:pPr>
        <w:pStyle w:val="Heading3"/>
        <w:spacing w:after="60" w:before="220"/>
      </w:pPr>
      <w:r>
        <w:rPr>
          <w:rFonts w:ascii="Arial" w:cs="Arial" w:eastAsia="Arial" w:hAnsi="Arial"/>
          <w:b/>
          <w:bCs/>
          <w:color w:val="1F3864"/>
          <w:sz w:val="23"/>
          <w:szCs w:val="23"/>
        </w:rPr>
        <w:t xml:space="preserve">Relación entre la cadena IDP y la función unificada directa</w:t>
      </w:r>
    </w:p>
    <w:p>
      <w:pPr>
        <w:spacing w:after="70" w:before="60"/>
      </w:pPr>
      <w:r>
        <w:rPr>
          <w:rFonts w:ascii="Arial" w:cs="Arial" w:eastAsia="Arial" w:hAnsi="Arial"/>
          <w:sz w:val="22"/>
          <w:szCs w:val="22"/>
        </w:rPr>
        <w:t xml:space="preserve">La cadena estándar IEES → IDP → IDSΨ y la función unificada del sistema expresan el mismo proceso en dos niveles de resolución. La diferencia clave es la sustitución de (1−IAS_X) por IDCS: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Dimensión</w:t>
            </w:r>
          </w:p>
        </w:tc>
        <w:tc>
          <w:tcPr>
            <w:tcW w:type="dxa" w:w="343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Cadena IDP</w:t>
            </w:r>
          </w:p>
        </w:tc>
        <w:tc>
          <w:tcPr>
            <w:tcW w:type="dxa" w:w="343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Función unificada</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Factor de erosión</w:t>
            </w:r>
          </w:p>
        </w:tc>
        <w:tc>
          <w:tcPr>
            <w:tcW w:type="dxa" w:w="343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(1−IAS_X): proporción de ruido sobre total</w:t>
            </w:r>
          </w:p>
        </w:tc>
        <w:tc>
          <w:tcPr>
            <w:tcW w:type="dxa" w:w="343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IDCS: contradicción activa señal/ruido</w:t>
            </w:r>
          </w:p>
        </w:tc>
      </w:tr>
      <w:tr>
        <w:tc>
          <w:tcPr>
            <w:tcW w:type="dxa" w:w="2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Modulador Mmeta</w:t>
            </w:r>
          </w:p>
        </w:tc>
        <w:tc>
          <w:tcPr>
            <w:tcW w:type="dxa" w:w="343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 incluido directamente</w:t>
            </w:r>
          </w:p>
        </w:tc>
        <w:tc>
          <w:tcPr>
            <w:tcW w:type="dxa" w:w="343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Incluido como (1−Mmeta_n)</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Diagnóstico intermedio</w:t>
            </w:r>
          </w:p>
        </w:tc>
        <w:tc>
          <w:tcPr>
            <w:tcW w:type="dxa" w:w="343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Permite ver IEES e IDP por separado</w:t>
            </w:r>
          </w:p>
        </w:tc>
        <w:tc>
          <w:tcPr>
            <w:tcW w:type="dxa" w:w="343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Cálculo directo sin pasos intermedios</w:t>
            </w:r>
          </w:p>
        </w:tc>
      </w:tr>
      <w:tr>
        <w:tc>
          <w:tcPr>
            <w:tcW w:type="dxa" w:w="2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Uso recomendado</w:t>
            </w:r>
          </w:p>
        </w:tc>
        <w:tc>
          <w:tcPr>
            <w:tcW w:type="dxa" w:w="343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Análisis diagnóstico paso a paso</w:t>
            </w:r>
          </w:p>
        </w:tc>
        <w:tc>
          <w:tcPr>
            <w:tcW w:type="dxa" w:w="343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Cálculo predictivo y simulación</w:t>
            </w:r>
          </w:p>
        </w:tc>
      </w:tr>
    </w:tbl>
    <w:p>
      <w:pPr>
        <w:spacing w:after="80" w:before="80"/>
        <w:ind w:left="560"/>
      </w:pPr>
      <w:r>
        <w:rPr>
          <w:rFonts w:ascii="Arial" w:cs="Arial" w:eastAsia="Arial" w:hAnsi="Arial"/>
          <w:b/>
          <w:bCs/>
          <w:i/>
          <w:iCs/>
          <w:color w:val="2E75B6"/>
          <w:sz w:val="20"/>
          <w:szCs w:val="20"/>
        </w:rPr>
        <w:t xml:space="preserve">Decisión de diseño: </w:t>
      </w:r>
      <w:r>
        <w:rPr>
          <w:rFonts w:ascii="Arial" w:cs="Arial" w:eastAsia="Arial" w:hAnsi="Arial"/>
          <w:i/>
          <w:iCs/>
          <w:sz w:val="20"/>
          <w:szCs w:val="20"/>
        </w:rPr>
        <w:t xml:space="preserve">IDCS captura la contradicción activa entre señal y ruido y es más sensible en zonas de equilibrio (IAS_X ≈ 0.5), que son las zonas de mayor riesgo. (1−IAS_X) solo captura la proporción de ruido. La función unificada usa IDCS deliberadamente para mejorar la sensibilidad del modelo en contextos de alta ambigüedad.</w:t>
      </w:r>
    </w:p>
    <w:p>
      <w:pPr>
        <w:spacing w:after="0" w:before="0"/>
      </w:pPr>
      <w:r>
        <w:t xml:space="preserve"/>
      </w:r>
    </w:p>
    <w:p>
      <w:pPr>
        <w:pStyle w:val="Heading3"/>
        <w:spacing w:after="60" w:before="220"/>
      </w:pPr>
      <w:r>
        <w:rPr>
          <w:rFonts w:ascii="Arial" w:cs="Arial" w:eastAsia="Arial" w:hAnsi="Arial"/>
          <w:b/>
          <w:bCs/>
          <w:color w:val="1F3864"/>
          <w:sz w:val="23"/>
          <w:szCs w:val="23"/>
        </w:rPr>
        <w:t xml:space="preserve">Tabla canónica de interpretación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Rango</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Nivel</w:t>
            </w:r>
          </w:p>
        </w:tc>
        <w:tc>
          <w:tcPr>
            <w:tcW w:type="dxa" w:w="5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Interpretación</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0.00 – 0.10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Muy bajo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Integridad semiótica conservada.</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0.11 – 0.30</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Vulnerabilidad inicial.</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0.31 – 0.50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Moderado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Riesgo significativo.</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0.51 – 0.70</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Cercanía al punto crítico U0.</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0.71 – 0.90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Muy alto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Desalmamiento avanzado.</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0.91 – 1.00</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Extremo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Colapso semiótico inminente o consumado.</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¿Cómo entenderlo sin fórmulas?</w:t>
      </w:r>
    </w:p>
    <w:p>
      <w:pPr>
        <w:spacing w:after="70" w:before="60"/>
      </w:pPr>
      <w:r>
        <w:rPr>
          <w:rFonts w:ascii="Arial" w:cs="Arial" w:eastAsia="Arial" w:hAnsi="Arial"/>
          <w:i/>
          <w:iCs/>
          <w:color w:val="555555"/>
          <w:sz w:val="21"/>
          <w:szCs w:val="21"/>
        </w:rPr>
        <w:t xml:space="preserve">Imagina a una persona ya emocionalmente quebrada (IDP alto) enfrentando un entorno cada vez más hostil (IAH alto). Al principio, cada aumento de amenaza empeora mucho la situación. Pero llega un punto en que el sistema ya no puede quebrarse linealmente más: entra en una zona de saturación y se aproxima al colapso total. Eso es lo que modela IDSΨ con la función tanh.</w:t>
      </w:r>
    </w:p>
    <w:p>
      <w:pPr>
        <w:pBdr>
          <w:bottom w:val="single" w:color="2E75B6" w:sz="8" w:space="1"/>
        </w:pBdr>
        <w:spacing w:after="160" w:before="160"/>
      </w:pPr>
      <w:r>
        <w:t xml:space="preserve"/>
      </w:r>
    </w:p>
    <w:p>
      <w:pPr>
        <w:pageBreakBefore/>
      </w:pPr>
      <w:r>
        <w:t xml:space="preserve"/>
      </w:r>
    </w:p>
    <w:p>
      <w:pPr>
        <w:shd w:fill="1F3864" w:val="clear"/>
        <w:spacing w:after="200" w:before="300"/>
      </w:pPr>
      <w:r>
        <w:rPr>
          <w:rFonts w:ascii="Arial" w:cs="Arial" w:eastAsia="Arial" w:hAnsi="Arial"/>
          <w:b/>
          <w:bCs/>
          <w:color w:val="FFFFFF"/>
          <w:sz w:val="30"/>
          <w:szCs w:val="30"/>
        </w:rPr>
        <w:t xml:space="preserve">  LOTE 4 — VARIABLE PUENTE MAPAR-S / COSMOSEMIÓTICA</w:t>
      </w:r>
    </w:p>
    <w:p>
      <w:pPr>
        <w:shd w:fill="2E75B6" w:val="clear"/>
        <w:spacing w:after="80" w:before="200"/>
      </w:pPr>
      <w:r>
        <w:rPr>
          <w:rFonts w:ascii="Arial" w:cs="Arial" w:eastAsia="Arial" w:hAnsi="Arial"/>
          <w:b/>
          <w:bCs/>
          <w:color w:val="FFFFFF"/>
          <w:sz w:val="26"/>
          <w:szCs w:val="26"/>
        </w:rPr>
        <w:t xml:space="preserve">  19. Mmeta  —  Metacomprensión Polisémica  [Plano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Plano de análisis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 — Correspondencia (variable puente entre Cosmosemiótica y MAPAR-S)</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canónica</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Mmeta_n = IBAB_n × Ls_n × Ceff_n × PS_n</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Rango</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 en la función unificada</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Modulador amortiguador: IDSΨ ∝ (1 − Mmeta_n)</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Dominio de validez</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Sistemas con Mmeta operativa o reflexiva (niveles 2–3) con referencia abierta al otro</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Naturaleza de Mmeta: propiedad escalar evolutiva</w:t>
      </w:r>
    </w:p>
    <w:p>
      <w:pPr>
        <w:shd w:fill="E8F5E9" w:val="clear"/>
        <w:spacing w:after="100" w:before="100"/>
      </w:pPr>
      <w:r>
        <w:rPr>
          <w:rFonts w:ascii="Arial" w:cs="Arial" w:eastAsia="Arial" w:hAnsi="Arial"/>
          <w:b/>
          <w:bCs/>
          <w:color w:val="1B5E20"/>
          <w:sz w:val="21"/>
          <w:szCs w:val="21"/>
        </w:rPr>
        <w:t xml:space="preserve">◆ REFINAMIENTO ESTRUCTURAL (Informe 002-2026 — Equipo transinteligente):  </w:t>
      </w:r>
      <w:r>
        <w:rPr>
          <w:rFonts w:ascii="Arial" w:cs="Arial" w:eastAsia="Arial" w:hAnsi="Arial"/>
          <w:i/>
          <w:iCs/>
          <w:color w:val="1B5E20"/>
          <w:sz w:val="21"/>
          <w:szCs w:val="21"/>
        </w:rPr>
        <w:t xml:space="preserve">Mmeta no puede restringirse a sistemas autorreflexivos porque es una función evolutiva y exaptativa. Si la consciencia reflexiva es una exaptación, entonces Mmeta debe existir antes de ella, en forma proto-funcional. La autorreflexión es la forma más desarrollada de Mmeta, no su punto de inicio. (López Tapia, 2026.)</w:t>
      </w:r>
    </w:p>
    <w:p>
      <w:pPr>
        <w:spacing w:after="0" w:before="0"/>
      </w:pPr>
      <w:r>
        <w:t xml:space="preserve"/>
      </w:r>
    </w:p>
    <w:p>
      <w:pPr>
        <w:spacing w:after="70" w:before="60"/>
      </w:pPr>
      <w:r>
        <w:rPr>
          <w:rFonts w:ascii="Arial" w:cs="Arial" w:eastAsia="Arial" w:hAnsi="Arial"/>
          <w:sz w:val="22"/>
          <w:szCs w:val="22"/>
        </w:rPr>
        <w:t xml:space="preserve">Mmeta es la </w:t>
      </w:r>
      <w:r>
        <w:rPr>
          <w:rFonts w:ascii="Arial" w:cs="Arial" w:eastAsia="Arial" w:hAnsi="Arial"/>
          <w:b/>
          <w:bCs/>
          <w:sz w:val="22"/>
          <w:szCs w:val="22"/>
        </w:rPr>
        <w:t xml:space="preserve">capacidad emergente, gradual y exaptativa de un sistema para modular su propia relación señal/ruido</w:t>
      </w:r>
      <w:r>
        <w:rPr>
          <w:rFonts w:ascii="Arial" w:cs="Arial" w:eastAsia="Arial" w:hAnsi="Arial"/>
          <w:sz w:val="22"/>
          <w:szCs w:val="22"/>
        </w:rPr>
        <w:t xml:space="preserve">. No requiere autorreflexión para existir; opera en un continuo que atraviesa toda la escala evolutiva y que precede a la consciencia reflexiva.</w:t>
      </w:r>
    </w:p>
    <w:p>
      <w:pPr>
        <w:spacing w:after="70" w:before="60"/>
      </w:pPr>
      <w:r>
        <w:rPr>
          <w:rFonts w:ascii="Arial" w:cs="Arial" w:eastAsia="Arial" w:hAnsi="Arial"/>
          <w:sz w:val="22"/>
          <w:szCs w:val="22"/>
        </w:rPr>
        <w:t xml:space="preserve">La fórmula canónica Mmeta_n = IBAB_n × Ls_n × Ceff_n × PS_n cuantifica la versión operativa o reflexiva (niveles 2–3). Los niveles inferiores de la escala están conceptualmente dentro del modelo pero fuera del dominio de cuantificación de esta fórmula.</w:t>
      </w:r>
    </w:p>
    <w:p>
      <w:pPr>
        <w:spacing w:after="0" w:before="0"/>
      </w:pPr>
      <w:r>
        <w:t xml:space="preserve"/>
      </w:r>
    </w:p>
    <w:p>
      <w:pPr>
        <w:pStyle w:val="Heading3"/>
        <w:spacing w:after="60" w:before="220"/>
      </w:pPr>
      <w:r>
        <w:rPr>
          <w:rFonts w:ascii="Arial" w:cs="Arial" w:eastAsia="Arial" w:hAnsi="Arial"/>
          <w:b/>
          <w:bCs/>
          <w:color w:val="1F3864"/>
          <w:sz w:val="23"/>
          <w:szCs w:val="23"/>
        </w:rPr>
        <w:t xml:space="preserve">Escala evolutiva de Mmeta</w:t>
      </w:r>
    </w:p>
    <w:p>
      <w:pPr>
        <w:spacing w:after="70" w:before="60"/>
      </w:pPr>
      <w:r>
        <w:rPr>
          <w:rFonts w:ascii="Arial" w:cs="Arial" w:eastAsia="Arial" w:hAnsi="Arial"/>
          <w:sz w:val="22"/>
          <w:szCs w:val="22"/>
        </w:rPr>
        <w:t xml:space="preserve">La escala describe </w:t>
      </w:r>
      <w:r>
        <w:rPr>
          <w:rFonts w:ascii="Arial" w:cs="Arial" w:eastAsia="Arial" w:hAnsi="Arial"/>
          <w:b/>
          <w:bCs/>
          <w:sz w:val="22"/>
          <w:szCs w:val="22"/>
        </w:rPr>
        <w:t xml:space="preserve">regiones de comportamiento</w:t>
      </w:r>
      <w:r>
        <w:rPr>
          <w:rFonts w:ascii="Arial" w:cs="Arial" w:eastAsia="Arial" w:hAnsi="Arial"/>
          <w:sz w:val="22"/>
          <w:szCs w:val="22"/>
        </w:rPr>
        <w:t xml:space="preserve">, no estados discretos. La transición entre niveles es continua. (Nota GPT: no debe usarse como clasificación rígida.)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800"/>
        <w:gridCol w:w="1700"/>
        <w:gridCol w:w="2960"/>
      </w:tblGrid>
      <w:tr>
        <w:trPr>
          <w:tblHeader/>
        </w:trPr>
        <w:tc>
          <w:tcPr>
            <w:tcW w:type="dxa" w:w="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Nivel</w:t>
            </w:r>
          </w:p>
        </w:tc>
        <w:tc>
          <w:tcPr>
            <w:tcW w:type="dxa" w:w="1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Categoría</w:t>
            </w:r>
          </w:p>
        </w:tc>
        <w:tc>
          <w:tcPr>
            <w:tcW w:type="dxa" w:w="2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Mecanismo semiótico</w:t>
            </w:r>
          </w:p>
        </w:tc>
        <w:tc>
          <w:tcPr>
            <w:tcW w:type="dxa" w:w="17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Mmeta_n típico</w:t>
            </w:r>
          </w:p>
        </w:tc>
        <w:tc>
          <w:tcPr>
            <w:tcW w:type="dxa" w:w="29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Ejemplos canónicos</w:t>
            </w:r>
          </w:p>
        </w:tc>
      </w:tr>
      <w:tr>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Ausente</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Procesamiento lineal sin bucles de retorno. El sistema responde de forma fija sin corrección interna.</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0.00–0.05</w:t>
            </w:r>
          </w:p>
        </w:tc>
        <w:tc>
          <w:tcPr>
            <w:tcW w:type="dxa" w:w="2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Reflejo simple. Script rígido sin feedback.</w:t>
            </w:r>
          </w:p>
        </w:tc>
      </w:tr>
      <w:tr>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w:t>
            </w:r>
          </w:p>
        </w:tc>
        <w:tc>
          <w:tcPr>
            <w:tcW w:type="dxa" w:w="1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Proto-Mmeta</w:t>
            </w:r>
          </w:p>
        </w:tc>
        <w:tc>
          <w:tcPr>
            <w:tcW w:type="dxa" w:w="2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Ajustes estructurales automáticos. Feedback básico que corrige desviaciones sin detectar que la corrección misma puede estar fallando.</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0.05–0.15</w:t>
            </w:r>
          </w:p>
        </w:tc>
        <w:tc>
          <w:tcPr>
            <w:tcW w:type="dxa" w:w="2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Polilla ante luz artificial: corrige continuamente el ángulo (espiral) pero no detecta que el marco de rayos paralelos ya no es válido.</w:t>
            </w:r>
          </w:p>
        </w:tc>
      </w:tr>
      <w:tr>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Mmeta operativa</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Corrección funcional con selección entre señales competitivas. El sistema puede detectar desalineación y cambiar de estrategia sin necesitar autorreflexión individual.</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0.15–0.60</w:t>
            </w:r>
          </w:p>
        </w:tc>
        <w:tc>
          <w:tcPr>
            <w:tcW w:type="dxa" w:w="2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Colmena: la competencia de danzas permite corrección colectiva. Una abeja tiene nivel 1; el enjambre tiene nivel 2 distribuido.</w:t>
            </w:r>
          </w:p>
        </w:tc>
      </w:tr>
      <w:tr>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w:t>
            </w:r>
          </w:p>
        </w:tc>
        <w:tc>
          <w:tcPr>
            <w:tcW w:type="dxa" w:w="1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Mmeta reflexiva</w:t>
            </w:r>
          </w:p>
        </w:tc>
        <w:tc>
          <w:tcPr>
            <w:tcW w:type="dxa" w:w="2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Autocomprensión explícita del proceso semiótico. El sistema puede representarse a sí mismo procesando señales y corregir desde esa representación.</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0.60–1.00 (funcional) / alto pero clausurado — verificar apertura</w:t>
            </w:r>
          </w:p>
        </w:tc>
        <w:tc>
          <w:tcPr>
            <w:tcW w:type="dxa" w:w="2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Humanos, IAs con auto-evaluación explícita, sistemas MAPAR-S de alta complejidad.</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Tres estados operativos de Mmeta para análisis de riesgo</w:t>
      </w:r>
    </w:p>
    <w:p>
      <w:pPr>
        <w:spacing w:after="70" w:before="60"/>
      </w:pPr>
      <w:r>
        <w:rPr>
          <w:rFonts w:ascii="Arial" w:cs="Arial" w:eastAsia="Arial" w:hAnsi="Arial"/>
          <w:sz w:val="22"/>
          <w:szCs w:val="22"/>
        </w:rPr>
        <w:t xml:space="preserve">La distinción entre estos tres estados es </w:t>
      </w:r>
      <w:r>
        <w:rPr>
          <w:rFonts w:ascii="Arial" w:cs="Arial" w:eastAsia="Arial" w:hAnsi="Arial"/>
          <w:b/>
          <w:bCs/>
          <w:sz w:val="22"/>
          <w:szCs w:val="22"/>
        </w:rPr>
        <w:t xml:space="preserve">operativamente crítica</w:t>
      </w:r>
      <w:r>
        <w:rPr>
          <w:rFonts w:ascii="Arial" w:cs="Arial" w:eastAsia="Arial" w:hAnsi="Arial"/>
          <w:sz w:val="22"/>
          <w:szCs w:val="22"/>
        </w:rPr>
        <w:t xml:space="preserve"> para MAPAR-S y RMD. Determina el tipo de intervención posible y su ventana: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760"/>
      </w:tblGrid>
      <w:tr>
        <w:trPr>
          <w:tblHeader/>
        </w:trPr>
        <w:tc>
          <w:tcPr>
            <w:tcW w:type="dxa" w:w="1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Estado</w:t>
            </w:r>
          </w:p>
        </w:tc>
        <w:tc>
          <w:tcPr>
            <w:tcW w:type="dxa" w:w="2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Descripción</w:t>
            </w:r>
          </w:p>
        </w:tc>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Ejemplo</w:t>
            </w:r>
          </w:p>
        </w:tc>
        <w:tc>
          <w:tcPr>
            <w:tcW w:type="dxa" w:w="27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Intervención</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Ausencia / insuficiencia (niveles 0–1)</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no tiene la capacidad de detectar que su marco falló. No hay malicia ni decisión — hay límite estructural.</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Polilla: corrige el ángulo continuamente pero no puede saber que la corrección la destruye.</w:t>
            </w:r>
          </w:p>
        </w:tc>
        <w:tc>
          <w:tcPr>
            <w:tcW w:type="dxa" w:w="2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Rediseñar el entorno o dotar al sistema de marcos más ricos. No se interviene sobre el sujeto sino sobre el contexto.</w:t>
            </w:r>
          </w:p>
        </w:tc>
      </w:tr>
      <w:tr>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Insuficiencia contextual (nivel 2 bajo presión)</w:t>
            </w:r>
          </w:p>
        </w:tc>
        <w:tc>
          <w:tcPr>
            <w:tcW w:type="dxa" w:w="2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tiene Mmeta operativa pero el entorno supera su capacidad de corrección distribuida.</w:t>
            </w:r>
          </w:p>
        </w:tc>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Institución escolar que detecta señales de leakage pero no tiene protocolo para procesarlas colectivamente.</w:t>
            </w:r>
          </w:p>
        </w:tc>
        <w:tc>
          <w:tcPr>
            <w:tcW w:type="dxa" w:w="2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Elevar Mmeta colectiva: protocolos de reporte, espacios de disenso, capacitación forense.</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Clausura (nivel 3 endógeno)</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tiene Mmeta reflexiva alta pero opera sin referencia externa. Se comprende a sí mismo dentro del marco cerrado. No es ausencia de metacognición — es reorientación endógena.</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Sistemas radicalizados (ITS, MAPAR-S extremos): planifican, evalúan, ejecutan con plena coherencia. IDSψ alto coexiste con Mmeta alta.</w:t>
            </w:r>
          </w:p>
        </w:tc>
        <w:tc>
          <w:tcPr>
            <w:tcW w:type="dxa" w:w="2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La intervención no es sobre la capacidad reflexiva sino sobre la apertura del marco. Ventana: trayectoria hacia U0, no el cruce.</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Cómo Mmeta modula IDSΨ según nivel</w:t>
      </w:r>
    </w:p>
    <w:p>
      <w:pPr>
        <w:shd w:fill="D6E4F0" w:val="clear"/>
        <w:spacing w:after="140" w:before="140"/>
        <w:jc w:val="center"/>
      </w:pPr>
      <w:r>
        <w:rPr>
          <w:rFonts w:ascii="Courier New" w:cs="Courier New" w:eastAsia="Courier New" w:hAnsi="Courier New"/>
          <w:b/>
          <w:bCs/>
          <w:color w:val="1F3864"/>
          <w:sz w:val="24"/>
          <w:szCs w:val="24"/>
        </w:rPr>
        <w:t xml:space="preserve">IDSΨ ∝ (1 − Mmeta_n)</w:t>
      </w:r>
    </w:p>
    <w:p>
      <w:pPr>
        <w:spacing w:after="40" w:before="40"/>
        <w:ind w:left="720" w:hanging="360"/>
      </w:pPr>
      <w:r>
        <w:rPr>
          <w:rFonts w:ascii="Arial" w:cs="Arial" w:eastAsia="Arial" w:hAnsi="Arial"/>
          <w:sz w:val="21"/>
          <w:szCs w:val="21"/>
        </w:rPr>
        <w:t xml:space="preserve">•  **Niveles 0–1 (proto-Mmeta):** Mmeta_n naturalmente bajo → (1−Mmeta_n) cercano a 1 → IDSΨ amplificado por insuficiencia estructural, no por desalmamiento.</w:t>
      </w:r>
    </w:p>
    <w:p>
      <w:pPr>
        <w:spacing w:after="40" w:before="40"/>
        <w:ind w:left="720" w:hanging="360"/>
      </w:pPr>
      <w:r>
        <w:rPr>
          <w:rFonts w:ascii="Arial" w:cs="Arial" w:eastAsia="Arial" w:hAnsi="Arial"/>
          <w:sz w:val="21"/>
          <w:szCs w:val="21"/>
        </w:rPr>
        <w:t xml:space="preserve">•  **Nivel 2–3 funcional (referencia abierta):** Mmeta_n más alto → (1−Mmeta_n) reduce IDSΨ → la función opera como fue diseñada.</w:t>
      </w:r>
    </w:p>
    <w:p>
      <w:pPr>
        <w:spacing w:after="40" w:before="40"/>
        <w:ind w:left="720" w:hanging="360"/>
      </w:pPr>
      <w:r>
        <w:rPr>
          <w:rFonts w:ascii="Arial" w:cs="Arial" w:eastAsia="Arial" w:hAnsi="Arial"/>
          <w:sz w:val="21"/>
          <w:szCs w:val="21"/>
        </w:rPr>
        <w:t xml:space="preserve">•  **Nivel 3 clausurado (referencia cerrada):** Mmeta_n puede ser alto pero la función unificada no aplica directamente sin recalibración — el factor amortiguador presupone que Mmeta opera con apertura al otro.</w:t>
      </w:r>
    </w:p>
    <w:p>
      <w:pPr>
        <w:spacing w:after="0" w:before="0"/>
      </w:pPr>
      <w:r>
        <w:t xml:space="preserve"/>
      </w:r>
    </w:p>
    <w:p>
      <w:pPr>
        <w:spacing w:after="80" w:before="80"/>
        <w:ind w:left="560"/>
      </w:pPr>
      <w:r>
        <w:rPr>
          <w:rFonts w:ascii="Arial" w:cs="Arial" w:eastAsia="Arial" w:hAnsi="Arial"/>
          <w:b/>
          <w:bCs/>
          <w:i/>
          <w:iCs/>
          <w:color w:val="2E75B6"/>
          <w:sz w:val="20"/>
          <w:szCs w:val="20"/>
        </w:rPr>
        <w:t xml:space="preserve">Dominio de validez canónico: </w:t>
      </w:r>
      <w:r>
        <w:rPr>
          <w:rFonts w:ascii="Arial" w:cs="Arial" w:eastAsia="Arial" w:hAnsi="Arial"/>
          <w:i/>
          <w:iCs/>
          <w:sz w:val="20"/>
          <w:szCs w:val="20"/>
        </w:rPr>
        <w:t xml:space="preserve">La forma canónica Mmeta_n = IBAB_n × Ls_n × Ceff_n × PS_n está diseñada para sistemas con Mmeta operativa o reflexiva (niveles 2–3) que mantienen referencia abierta al otro. En niveles 0–1, el valor bajo de Mmeta_n es consistente con la baja capacidad de autocorrección — la fórmula aplica pero con la interpretación correcta. En nivel 3 clausurado, la función unificada requiere recalibración explícita porque el factor (1−Mmeta_n) presupone apertura al otro.</w:t>
      </w:r>
    </w:p>
    <w:p>
      <w:pPr>
        <w:spacing w:after="0" w:before="0"/>
      </w:pPr>
      <w:r>
        <w:t xml:space="preserve"/>
      </w:r>
    </w:p>
    <w:p>
      <w:pPr>
        <w:shd w:fill="FFF9E6" w:val="clear"/>
        <w:spacing w:after="100" w:before="100"/>
      </w:pPr>
      <w:r>
        <w:rPr>
          <w:rFonts w:ascii="Arial" w:cs="Arial" w:eastAsia="Arial" w:hAnsi="Arial"/>
          <w:b/>
          <w:bCs/>
          <w:color w:val="C00000"/>
          <w:sz w:val="22"/>
          <w:szCs w:val="22"/>
        </w:rPr>
        <w:t xml:space="preserve">⚠ </w:t>
      </w:r>
      <w:r>
        <w:rPr>
          <w:rFonts w:ascii="Arial" w:cs="Arial" w:eastAsia="Arial" w:hAnsi="Arial"/>
          <w:sz w:val="21"/>
          <w:szCs w:val="21"/>
        </w:rPr>
        <w:t xml:space="preserve">ADVERTENCIA OPERATIVA: El producto de cuatro factores en [0,1] tiende estructuralmente hacia valores bajos (0.6⁴ ≈ 0.13). Verificar distribución empírica. Si el factor (1−Mmeta_n) resulta invariablemente cercano a 1, activar Mmeta_alt = (IBAB_n × Ls_n × Ceff_n × PS_n)^0.25 con la condición de activación documentada.</w:t>
      </w:r>
    </w:p>
    <w:p>
      <w:pPr>
        <w:spacing w:after="0" w:before="0"/>
      </w:pPr>
      <w:r>
        <w:t xml:space="preserve"/>
      </w:r>
    </w:p>
    <w:p>
      <w:pPr>
        <w:pStyle w:val="Heading3"/>
        <w:spacing w:after="60" w:before="220"/>
      </w:pPr>
      <w:r>
        <w:rPr>
          <w:rFonts w:ascii="Arial" w:cs="Arial" w:eastAsia="Arial" w:hAnsi="Arial"/>
          <w:b/>
          <w:bCs/>
          <w:color w:val="1F3864"/>
          <w:sz w:val="23"/>
          <w:szCs w:val="23"/>
        </w:rPr>
        <w:t xml:space="preserve">Tabla canónica de interpretación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Rango</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Nivel</w:t>
            </w:r>
          </w:p>
        </w:tc>
        <w:tc>
          <w:tcPr>
            <w:tcW w:type="dxa" w:w="5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Interpretación</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0.00 – 0.10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Muy bajo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Niveles 0–1: ausencia o proto-Mmeta. El sistema no puede detectar fallos de su propio marco.</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0.11 – 0.30</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Nivel 1–2 incipiente. Corrección básica disponible pero insuficiente bajo presión.</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0.31 – 0.55</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Moderado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Nivel 2 funcional. Mmeta operativa con capacidad de corrección colectiva.</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0.56 – 0.75</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Nivel 2–3. Mmeta operativa a reflexiva. Buena comprensión del propio proceso semiótico.</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0.76 – 0.90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Muy alto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Nivel 3 funcional. Alta capacidad reflexiva con referencia abierta.</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0.91 – 1.00</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Extremo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Nivel 3 máximo — o nivel 3 clausurado. Verificar si el sistema mantiene referencia externa activa.</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¿Cómo entenderlo sin fórmulas?</w:t>
      </w:r>
    </w:p>
    <w:p>
      <w:pPr>
        <w:spacing w:after="70" w:before="60"/>
      </w:pPr>
      <w:r>
        <w:rPr>
          <w:rFonts w:ascii="Arial" w:cs="Arial" w:eastAsia="Arial" w:hAnsi="Arial"/>
          <w:i/>
          <w:iCs/>
          <w:color w:val="555555"/>
          <w:sz w:val="21"/>
          <w:szCs w:val="21"/>
        </w:rPr>
        <w:t xml:space="preserve">Mmeta es como la capacidad de un sistema de dudar de la luz que ve. La polilla no puede dudar — sigue el ángulo hasta la muerte. La abeja individual tampoco puede dudar, pero la colmena sí, porque las danzas compiten. El humano puede dudar explícitamente. El sistema radicalizado puede dudar — pero solo dentro de su propio espejo cerrado. Mmeta no mide si el sistema tiene espejo. Mide qué tan abierto está ese espejo hacia afuera.</w:t>
      </w:r>
    </w:p>
    <w:p>
      <w:pPr>
        <w:pBdr>
          <w:bottom w:val="single" w:color="2E75B6" w:sz="8" w:space="1"/>
        </w:pBdr>
        <w:spacing w:after="160" w:before="160"/>
      </w:pPr>
      <w:r>
        <w:t xml:space="preserve"/>
      </w:r>
    </w:p>
    <w:p>
      <w:pPr>
        <w:pageBreakBefore/>
      </w:pPr>
      <w:r>
        <w:t xml:space="preserve"/>
      </w:r>
    </w:p>
    <w:p>
      <w:pPr>
        <w:shd w:fill="1F3864" w:val="clear"/>
        <w:spacing w:after="200" w:before="300"/>
      </w:pPr>
      <w:r>
        <w:rPr>
          <w:rFonts w:ascii="Arial" w:cs="Arial" w:eastAsia="Arial" w:hAnsi="Arial"/>
          <w:b/>
          <w:bCs/>
          <w:color w:val="FFFFFF"/>
          <w:sz w:val="30"/>
          <w:szCs w:val="30"/>
        </w:rPr>
        <w:t xml:space="preserve">  LOTE 5 — METAVARIABLES ESTRATÉGICAS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2600"/>
        <w:gridCol w:w="2200"/>
        <w:gridCol w:w="1400"/>
        <w:gridCol w:w="1760"/>
      </w:tblGrid>
      <w:tr>
        <w:trPr>
          <w:tblHeader/>
        </w:trPr>
        <w:tc>
          <w:tcPr>
            <w:tcW w:type="dxa" w:w="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Nº</w:t>
            </w:r>
          </w:p>
        </w:tc>
        <w:tc>
          <w:tcPr>
            <w:tcW w:type="dxa" w:w="1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Sigla</w:t>
            </w:r>
          </w:p>
        </w:tc>
        <w:tc>
          <w:tcPr>
            <w:tcW w:type="dxa" w:w="2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Nombre</w:t>
            </w:r>
          </w:p>
        </w:tc>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Tipo</w:t>
            </w:r>
          </w:p>
        </w:tc>
        <w:tc>
          <w:tcPr>
            <w:tcW w:type="dxa" w:w="1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Rango</w:t>
            </w:r>
          </w:p>
        </w:tc>
        <w:tc>
          <w:tcPr>
            <w:tcW w:type="dxa" w:w="17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Plano</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20</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IGM-Cos</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Índice de Gestión Memética Cosmosemiótica</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Índice compuesto (con clipping)</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w:t>
            </w:r>
          </w:p>
        </w:tc>
        <w:tc>
          <w:tcPr>
            <w:tcW w:type="dxa" w:w="1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A/B</w:t>
            </w:r>
          </w:p>
        </w:tc>
      </w:tr>
      <w:tr>
        <w:tc>
          <w:tcPr>
            <w:tcW w:type="dxa" w:w="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21</w:t>
            </w:r>
          </w:p>
        </w:tc>
        <w:tc>
          <w:tcPr>
            <w:tcW w:type="dxa" w:w="1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LFE(t)</w:t>
            </w:r>
          </w:p>
        </w:tc>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Latido de Flujo Exaptativo</w:t>
            </w:r>
          </w:p>
        </w:tc>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Indicador dinámico temporal</w:t>
            </w:r>
          </w:p>
        </w:tc>
        <w:tc>
          <w:tcPr>
            <w:tcW w:type="dxa" w:w="1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[−1,1]</w:t>
            </w:r>
          </w:p>
        </w:tc>
        <w:tc>
          <w:tcPr>
            <w:tcW w:type="dxa" w:w="1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22</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IPEM-Cos</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Probabilidad de Escalada por Ruido/Narrativa</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Probabilidad logística</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w:t>
            </w:r>
          </w:p>
        </w:tc>
        <w:tc>
          <w:tcPr>
            <w:tcW w:type="dxa" w:w="1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r>
        <w:tc>
          <w:tcPr>
            <w:tcW w:type="dxa" w:w="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23</w:t>
            </w:r>
          </w:p>
        </w:tc>
        <w:tc>
          <w:tcPr>
            <w:tcW w:type="dxa" w:w="1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Bext-Cos</w:t>
            </w:r>
          </w:p>
        </w:tc>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Riesgo de Colapso Narrativo</w:t>
            </w:r>
          </w:p>
        </w:tc>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Score + escala de tablero</w:t>
            </w:r>
          </w:p>
        </w:tc>
        <w:tc>
          <w:tcPr>
            <w:tcW w:type="dxa" w:w="1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 / [0,400]</w:t>
            </w:r>
          </w:p>
        </w:tc>
        <w:tc>
          <w:tcPr>
            <w:tcW w:type="dxa" w:w="1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24</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CEE-Cos</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Conciencia Entrópica Externa</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Score + escala de tablero</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 / [0,100]</w:t>
            </w:r>
          </w:p>
        </w:tc>
        <w:tc>
          <w:tcPr>
            <w:tcW w:type="dxa" w:w="1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r>
        <w:tc>
          <w:tcPr>
            <w:tcW w:type="dxa" w:w="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25</w:t>
            </w:r>
          </w:p>
        </w:tc>
        <w:tc>
          <w:tcPr>
            <w:tcW w:type="dxa" w:w="1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VDA-Cos</w:t>
            </w:r>
          </w:p>
        </w:tc>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Disenso Automático Semiótico</w:t>
            </w:r>
          </w:p>
        </w:tc>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Sistema lógico condicional (NO es métrica escalar)</w:t>
            </w:r>
          </w:p>
        </w:tc>
        <w:tc>
          <w:tcPr>
            <w:tcW w:type="dxa" w:w="1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Cualitativo</w:t>
            </w:r>
          </w:p>
        </w:tc>
        <w:tc>
          <w:tcPr>
            <w:tcW w:type="dxa" w:w="1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w:t>
            </w:r>
          </w:p>
        </w:tc>
      </w:tr>
    </w:tbl>
    <w:p>
      <w:pPr>
        <w:spacing w:after="0" w:before="0"/>
      </w:pPr>
      <w:r>
        <w:t xml:space="preserve"/>
      </w:r>
    </w:p>
    <w:p>
      <w:pPr>
        <w:shd w:fill="2E75B6" w:val="clear"/>
        <w:spacing w:after="80" w:before="200"/>
      </w:pPr>
      <w:r>
        <w:rPr>
          <w:rFonts w:ascii="Arial" w:cs="Arial" w:eastAsia="Arial" w:hAnsi="Arial"/>
          <w:b/>
          <w:bCs/>
          <w:color w:val="FFFFFF"/>
          <w:sz w:val="26"/>
          <w:szCs w:val="26"/>
        </w:rPr>
        <w:t xml:space="preserve">  20. IGM-Cos  —  Índice de Gestión Memética Cosmosemiótica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Plano de análisis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A/B — Semiótico y sistémico</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raw</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IGM-Cos_raw = θ·ICR + (1−θ)·IEOS − μ·IRDE</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normalizada</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IGM-Cos_n = min(1, max(0, IGM-Cos_raw))</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Parámetros por defecto</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θ = 0.5, μ = 1</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Rango</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Introducción</w:t>
      </w:r>
    </w:p>
    <w:p>
      <w:pPr>
        <w:spacing w:after="70" w:before="60"/>
      </w:pPr>
      <w:r>
        <w:rPr>
          <w:rFonts w:ascii="Arial" w:cs="Arial" w:eastAsia="Arial" w:hAnsi="Arial"/>
          <w:sz w:val="22"/>
          <w:szCs w:val="22"/>
        </w:rPr>
        <w:t xml:space="preserve">El IGM-Cos mide la </w:t>
      </w:r>
      <w:r>
        <w:rPr>
          <w:rFonts w:ascii="Arial" w:cs="Arial" w:eastAsia="Arial" w:hAnsi="Arial"/>
          <w:b/>
          <w:bCs/>
          <w:sz w:val="22"/>
          <w:szCs w:val="22"/>
        </w:rPr>
        <w:t xml:space="preserve">eficacia de la gestión de memes y narrativas en un entorno semiótico</w:t>
      </w:r>
      <w:r>
        <w:rPr>
          <w:rFonts w:ascii="Arial" w:cs="Arial" w:eastAsia="Arial" w:hAnsi="Arial"/>
          <w:sz w:val="22"/>
          <w:szCs w:val="22"/>
        </w:rPr>
        <w:t xml:space="preserve">, combinando tres dimensiones: ICR (conversión de ruido en sentido), IEOS (eficiencia de operadores semióticos) e IRDE (riesgo de desviación ética, como penalización).</w:t>
      </w:r>
    </w:p>
    <w:p>
      <w:pPr>
        <w:spacing w:after="70" w:before="60"/>
      </w:pPr>
      <w:r>
        <w:rPr>
          <w:rFonts w:ascii="Arial" w:cs="Arial" w:eastAsia="Arial" w:hAnsi="Arial"/>
          <w:b/>
          <w:bCs/>
          <w:sz w:val="22"/>
          <w:szCs w:val="22"/>
        </w:rPr>
        <w:t xml:space="preserve">Un IGM-Cos alto</w:t>
      </w:r>
      <w:r>
        <w:rPr>
          <w:rFonts w:ascii="Arial" w:cs="Arial" w:eastAsia="Arial" w:hAnsi="Arial"/>
          <w:sz w:val="22"/>
          <w:szCs w:val="22"/>
        </w:rPr>
        <w:t xml:space="preserve"> indica que el sistema es hábil estratégicamente: extrae sentido del ruido, usa los tres canales semióticos con eficacia, y mantiene bajo control el riesgo ético. </w:t>
      </w:r>
      <w:r>
        <w:rPr>
          <w:rFonts w:ascii="Arial" w:cs="Arial" w:eastAsia="Arial" w:hAnsi="Arial"/>
          <w:b/>
          <w:bCs/>
          <w:sz w:val="22"/>
          <w:szCs w:val="22"/>
        </w:rPr>
        <w:t xml:space="preserve">Un IGM-Cos bajo</w:t>
      </w:r>
      <w:r>
        <w:rPr>
          <w:rFonts w:ascii="Arial" w:cs="Arial" w:eastAsia="Arial" w:hAnsi="Arial"/>
          <w:sz w:val="22"/>
          <w:szCs w:val="22"/>
        </w:rPr>
        <w:t xml:space="preserve"> indica pobreza estratégica.</w:t>
      </w:r>
    </w:p>
    <w:p>
      <w:pPr>
        <w:spacing w:after="70" w:before="60"/>
      </w:pPr>
      <w:r>
        <w:rPr>
          <w:rFonts w:ascii="Arial" w:cs="Arial" w:eastAsia="Arial" w:hAnsi="Arial"/>
          <w:sz w:val="22"/>
          <w:szCs w:val="22"/>
        </w:rPr>
        <w:t xml:space="preserve">El clipping min(1, max(0, …)) es necesario porque la resta de μ·IRDE puede generar valores negativos. Con este ajuste el índice siempre queda en [0,1].</w:t>
      </w:r>
    </w:p>
    <w:p>
      <w:pPr>
        <w:spacing w:after="0" w:before="0"/>
      </w:pPr>
      <w:r>
        <w:t xml:space="preserve"/>
      </w:r>
    </w:p>
    <w:p>
      <w:pPr>
        <w:pStyle w:val="Heading3"/>
        <w:spacing w:after="60" w:before="220"/>
      </w:pPr>
      <w:r>
        <w:rPr>
          <w:rFonts w:ascii="Arial" w:cs="Arial" w:eastAsia="Arial" w:hAnsi="Arial"/>
          <w:b/>
          <w:bCs/>
          <w:color w:val="1F3864"/>
          <w:sz w:val="23"/>
          <w:szCs w:val="23"/>
        </w:rPr>
        <w:t xml:space="preserve">¿Cómo entenderlo sin fórmulas?</w:t>
      </w:r>
    </w:p>
    <w:p>
      <w:pPr>
        <w:spacing w:after="70" w:before="60"/>
      </w:pPr>
      <w:r>
        <w:rPr>
          <w:rFonts w:ascii="Arial" w:cs="Arial" w:eastAsia="Arial" w:hAnsi="Arial"/>
          <w:i/>
          <w:iCs/>
          <w:color w:val="555555"/>
          <w:sz w:val="21"/>
          <w:szCs w:val="21"/>
        </w:rPr>
        <w:t xml:space="preserve">Imagina que eres el director de comunicación de una empresa. El IGM-Cos mide qué tan bien haces tu trabajo: ¿sabes convertir el ruido del mercado en mensajes claros? (ICR). ¿Usas metáforas, señales contextuales y símbolos con eficacia? (IEOS). ¿Evitas decir cosas que puedan malinterpretarse? (IRDE penaliza). Si haces bien las tres cosas, tu IGM-Cos es alto.</w:t>
      </w:r>
    </w:p>
    <w:p>
      <w:pPr>
        <w:spacing w:after="0" w:before="0"/>
      </w:pPr>
      <w:r>
        <w:t xml:space="preserve"/>
      </w:r>
    </w:p>
    <w:p>
      <w:pPr>
        <w:shd w:fill="2E75B6" w:val="clear"/>
        <w:spacing w:after="80" w:before="200"/>
      </w:pPr>
      <w:r>
        <w:rPr>
          <w:rFonts w:ascii="Arial" w:cs="Arial" w:eastAsia="Arial" w:hAnsi="Arial"/>
          <w:b/>
          <w:bCs/>
          <w:color w:val="FFFFFF"/>
          <w:sz w:val="26"/>
          <w:szCs w:val="26"/>
        </w:rPr>
        <w:t xml:space="preserve">  21. LFE(t)  —  Latido de Flujo Exaptativo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Plano de análisis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 — Semiótico (serie temporal)</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canónica</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LFE(t) = sMAk(ICR(t)) − sMAk(IRDE(t))</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Rango</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 1]  (el signo es semántico; NO se fuerza a [0,1])</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Introducción</w:t>
      </w:r>
    </w:p>
    <w:p>
      <w:pPr>
        <w:spacing w:after="70" w:before="60"/>
      </w:pPr>
      <w:r>
        <w:rPr>
          <w:rFonts w:ascii="Arial" w:cs="Arial" w:eastAsia="Arial" w:hAnsi="Arial"/>
          <w:sz w:val="22"/>
          <w:szCs w:val="22"/>
        </w:rPr>
        <w:t xml:space="preserve">El LFE(t) es un </w:t>
      </w:r>
      <w:r>
        <w:rPr>
          <w:rFonts w:ascii="Arial" w:cs="Arial" w:eastAsia="Arial" w:hAnsi="Arial"/>
          <w:b/>
          <w:bCs/>
          <w:sz w:val="22"/>
          <w:szCs w:val="22"/>
        </w:rPr>
        <w:t xml:space="preserve">indicador dinámico de salud sistémica</w:t>
      </w:r>
      <w:r>
        <w:rPr>
          <w:rFonts w:ascii="Arial" w:cs="Arial" w:eastAsia="Arial" w:hAnsi="Arial"/>
          <w:sz w:val="22"/>
          <w:szCs w:val="22"/>
        </w:rPr>
        <w:t xml:space="preserve">. Mide la diferencia temporal entre la evolución del ICR (conversión de ruido en sentido) y el IRDE (riesgo ético) a lo largo del tiempo, usando promedios móviles (sMAk) para suavizar fluctuaciones.</w:t>
      </w:r>
    </w:p>
    <w:p>
      <w:pPr>
        <w:spacing w:after="70" w:before="60"/>
      </w:pPr>
      <w:r>
        <w:rPr>
          <w:rFonts w:ascii="Arial" w:cs="Arial" w:eastAsia="Arial" w:hAnsi="Arial"/>
          <w:b/>
          <w:bCs/>
          <w:sz w:val="22"/>
          <w:szCs w:val="22"/>
        </w:rPr>
        <w:t xml:space="preserve">LFE(t) positivo:</w:t>
      </w:r>
      <w:r>
        <w:rPr>
          <w:rFonts w:ascii="Arial" w:cs="Arial" w:eastAsia="Arial" w:hAnsi="Arial"/>
          <w:sz w:val="22"/>
          <w:szCs w:val="22"/>
        </w:rPr>
        <w:t xml:space="preserve"> el ICR crece más rápido que el IRDE → el sistema gana eficacia semiótica más rápido de lo que acumula riesgo. </w:t>
      </w:r>
      <w:r>
        <w:rPr>
          <w:rFonts w:ascii="Arial" w:cs="Arial" w:eastAsia="Arial" w:hAnsi="Arial"/>
          <w:b/>
          <w:bCs/>
          <w:sz w:val="22"/>
          <w:szCs w:val="22"/>
        </w:rPr>
        <w:t xml:space="preserve">LFE(t) negativo:</w:t>
      </w:r>
      <w:r>
        <w:rPr>
          <w:rFonts w:ascii="Arial" w:cs="Arial" w:eastAsia="Arial" w:hAnsi="Arial"/>
          <w:sz w:val="22"/>
          <w:szCs w:val="22"/>
        </w:rPr>
        <w:t xml:space="preserve"> el riesgo crece más rápido que la eficacia → el sistema se está volviendo peligroso. </w:t>
      </w:r>
      <w:r>
        <w:rPr>
          <w:rFonts w:ascii="Arial" w:cs="Arial" w:eastAsia="Arial" w:hAnsi="Arial"/>
          <w:b/>
          <w:bCs/>
          <w:sz w:val="22"/>
          <w:szCs w:val="22"/>
        </w:rPr>
        <w:t xml:space="preserve">LFE(t) = 0:</w:t>
      </w:r>
      <w:r>
        <w:rPr>
          <w:rFonts w:ascii="Arial" w:cs="Arial" w:eastAsia="Arial" w:hAnsi="Arial"/>
          <w:sz w:val="22"/>
          <w:szCs w:val="22"/>
        </w:rPr>
        <w:t xml:space="preserve"> equilibrio entre eficacia y riesgo.</w:t>
      </w:r>
    </w:p>
    <w:p>
      <w:pPr>
        <w:spacing w:after="70" w:before="60"/>
      </w:pPr>
      <w:r>
        <w:rPr>
          <w:rFonts w:ascii="Arial" w:cs="Arial" w:eastAsia="Arial" w:hAnsi="Arial"/>
          <w:sz w:val="22"/>
          <w:szCs w:val="22"/>
        </w:rPr>
        <w:t xml:space="preserve">El signo negativo tiene valor semántico: indica la </w:t>
      </w:r>
      <w:r>
        <w:rPr>
          <w:rFonts w:ascii="Arial" w:cs="Arial" w:eastAsia="Arial" w:hAnsi="Arial"/>
          <w:b/>
          <w:bCs/>
          <w:sz w:val="22"/>
          <w:szCs w:val="22"/>
        </w:rPr>
        <w:t xml:space="preserve">dirección del flujo</w:t>
      </w:r>
      <w:r>
        <w:rPr>
          <w:rFonts w:ascii="Arial" w:cs="Arial" w:eastAsia="Arial" w:hAnsi="Arial"/>
          <w:sz w:val="22"/>
          <w:szCs w:val="22"/>
        </w:rPr>
        <w:t xml:space="preserve">. Por esto no se fuerza a [0,1].</w:t>
      </w:r>
    </w:p>
    <w:p>
      <w:pPr>
        <w:spacing w:after="0" w:before="0"/>
      </w:pPr>
      <w:r>
        <w:t xml:space="preserve"/>
      </w:r>
    </w:p>
    <w:p>
      <w:pPr>
        <w:pStyle w:val="Heading3"/>
        <w:spacing w:after="60" w:before="220"/>
      </w:pPr>
      <w:r>
        <w:rPr>
          <w:rFonts w:ascii="Arial" w:cs="Arial" w:eastAsia="Arial" w:hAnsi="Arial"/>
          <w:b/>
          <w:bCs/>
          <w:color w:val="1F3864"/>
          <w:sz w:val="23"/>
          <w:szCs w:val="23"/>
        </w:rPr>
        <w:t xml:space="preserve">Tabla canónica de interpretación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Rango LFE(t)</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Nivel</w:t>
            </w:r>
          </w:p>
        </w:tc>
        <w:tc>
          <w:tcPr>
            <w:tcW w:type="dxa" w:w="51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Interpretación</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0.75 – 1.00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Salud excelente</w:t>
            </w:r>
          </w:p>
        </w:tc>
        <w:tc>
          <w:tcPr>
            <w:tcW w:type="dxa" w:w="5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está en un "jardín fértil" sostenido.</w:t>
            </w:r>
          </w:p>
        </w:tc>
      </w:tr>
      <w:tr>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0.50 – 0.74</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Salud buena</w:t>
            </w:r>
          </w:p>
        </w:tc>
        <w:tc>
          <w:tcPr>
            <w:tcW w:type="dxa" w:w="5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es eficaz y el riesgo está controlado.</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0.25 – 0.49</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Salud aceptable</w:t>
            </w:r>
          </w:p>
        </w:tc>
        <w:tc>
          <w:tcPr>
            <w:tcW w:type="dxa" w:w="5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funciona, pero hay señales de riesgo.</w:t>
            </w:r>
          </w:p>
        </w:tc>
      </w:tr>
      <w:tr>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0.00 – 0.24</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Equilibrio tenso</w:t>
            </w:r>
          </w:p>
        </w:tc>
        <w:tc>
          <w:tcPr>
            <w:tcW w:type="dxa" w:w="5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está en zona de transición.</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-0.25 – -0.01</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Riesgo leve</w:t>
            </w:r>
          </w:p>
        </w:tc>
        <w:tc>
          <w:tcPr>
            <w:tcW w:type="dxa" w:w="5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riesgo comienza a dominar. Monitoreo recomendado.</w:t>
            </w:r>
          </w:p>
        </w:tc>
      </w:tr>
      <w:tr>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-0.50 – -0.26</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Riesgo moderado</w:t>
            </w:r>
          </w:p>
        </w:tc>
        <w:tc>
          <w:tcPr>
            <w:tcW w:type="dxa" w:w="5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está en zona peligrosa.</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-0.75 – -0.51</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Riesgo alto</w:t>
            </w:r>
          </w:p>
        </w:tc>
        <w:tc>
          <w:tcPr>
            <w:tcW w:type="dxa" w:w="5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está cerca del colapso.</w:t>
            </w:r>
          </w:p>
        </w:tc>
      </w:tr>
      <w:tr>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-1.00 – -0.76</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Riesgo crítico</w:t>
            </w:r>
          </w:p>
        </w:tc>
        <w:tc>
          <w:tcPr>
            <w:tcW w:type="dxa" w:w="5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está en caída libre. Intervención urgente.</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¿Cómo entenderlo sin fórmulas?</w:t>
      </w:r>
    </w:p>
    <w:p>
      <w:pPr>
        <w:spacing w:after="70" w:before="60"/>
      </w:pPr>
      <w:r>
        <w:rPr>
          <w:rFonts w:ascii="Arial" w:cs="Arial" w:eastAsia="Arial" w:hAnsi="Arial"/>
          <w:i/>
          <w:iCs/>
          <w:color w:val="555555"/>
          <w:sz w:val="21"/>
          <w:szCs w:val="21"/>
        </w:rPr>
        <w:t xml:space="preserve">Imagina que estás manejando un coche. El ICR es el acelerador (cuánto avanzas). El IRDE es el riesgo de chocar. El LFE(t) es la diferencia entre ambos. Si aceleras más de lo que aumenta el riesgo de chocar (LFE positivo), vas bien. Si el riesgo de chocar crece más que tu avance (LFE negativo), vas mal.</w:t>
      </w:r>
    </w:p>
    <w:p>
      <w:pPr>
        <w:spacing w:after="0" w:before="0"/>
      </w:pPr>
      <w:r>
        <w:t xml:space="preserve"/>
      </w:r>
    </w:p>
    <w:p>
      <w:pPr>
        <w:shd w:fill="2E75B6" w:val="clear"/>
        <w:spacing w:after="80" w:before="200"/>
      </w:pPr>
      <w:r>
        <w:rPr>
          <w:rFonts w:ascii="Arial" w:cs="Arial" w:eastAsia="Arial" w:hAnsi="Arial"/>
          <w:b/>
          <w:bCs/>
          <w:color w:val="FFFFFF"/>
          <w:sz w:val="26"/>
          <w:szCs w:val="26"/>
        </w:rPr>
        <w:t xml:space="preserve">  22. IPEM-Cos  —  Probabilidad de Escalada por Ruido/Narrativa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Plano de análisis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 — Sistémico</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Paso 1 — Score</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 = a·ICS + b·(IAH/100) + c·IPS + d·ICR   (Σ=1; por defecto a=b=c=d=0.25)</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Paso 2 — Odds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 = S × (PEsc/PD) × FCont</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Paso 3 — Probabilidad</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IPEM-Cos = O / (1 + O)</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Rango</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  (formulación logística: garantiza el rango para cualquier valor de entrada)</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Introducción</w:t>
      </w:r>
    </w:p>
    <w:p>
      <w:pPr>
        <w:spacing w:after="70" w:before="60"/>
      </w:pPr>
      <w:r>
        <w:rPr>
          <w:rFonts w:ascii="Arial" w:cs="Arial" w:eastAsia="Arial" w:hAnsi="Arial"/>
          <w:sz w:val="22"/>
          <w:szCs w:val="22"/>
        </w:rPr>
        <w:t xml:space="preserve">El IPEM-Cos mide la </w:t>
      </w:r>
      <w:r>
        <w:rPr>
          <w:rFonts w:ascii="Arial" w:cs="Arial" w:eastAsia="Arial" w:hAnsi="Arial"/>
          <w:b/>
          <w:bCs/>
          <w:sz w:val="22"/>
          <w:szCs w:val="22"/>
        </w:rPr>
        <w:t xml:space="preserve">probabilidad de que un conflicto o narrativa escale</w:t>
      </w:r>
      <w:r>
        <w:rPr>
          <w:rFonts w:ascii="Arial" w:cs="Arial" w:eastAsia="Arial" w:hAnsi="Arial"/>
          <w:sz w:val="22"/>
          <w:szCs w:val="22"/>
        </w:rPr>
        <w:t xml:space="preserve"> (a violencia, polarización extrema, o crisis) como resultado de la combinación de complejidad semiótica (ICS), amenaza hostil (IAH), polarización (IPS) y eficacia semiótica (ICR).</w:t>
      </w:r>
    </w:p>
    <w:p>
      <w:pPr>
        <w:spacing w:after="70" w:before="60"/>
      </w:pPr>
      <w:r>
        <w:rPr>
          <w:rFonts w:ascii="Arial" w:cs="Arial" w:eastAsia="Arial" w:hAnsi="Arial"/>
          <w:sz w:val="22"/>
          <w:szCs w:val="22"/>
        </w:rPr>
        <w:t xml:space="preserve">La formulación logística O/(1+O) es la corrección clave respecto a versiones anteriores: </w:t>
      </w:r>
      <w:r>
        <w:rPr>
          <w:rFonts w:ascii="Arial" w:cs="Arial" w:eastAsia="Arial" w:hAnsi="Arial"/>
          <w:b/>
          <w:bCs/>
          <w:sz w:val="22"/>
          <w:szCs w:val="22"/>
        </w:rPr>
        <w:t xml:space="preserve">garantiza que IPEM-Cos ∈ [0,1] para cualquier valor de sus insumos</w:t>
      </w:r>
      <w:r>
        <w:rPr>
          <w:rFonts w:ascii="Arial" w:cs="Arial" w:eastAsia="Arial" w:hAnsi="Arial"/>
          <w:sz w:val="22"/>
          <w:szCs w:val="22"/>
        </w:rPr>
        <w:t xml:space="preserve">, sin necesidad de clipping. ICR actúa como factor de amortiguamiento: un ICR alto puede reducir la probabilidad de escalada incluso con ICS e IAH altos.</w:t>
      </w:r>
    </w:p>
    <w:p>
      <w:pPr>
        <w:spacing w:after="0" w:before="0"/>
      </w:pPr>
      <w:r>
        <w:t xml:space="preserve"/>
      </w:r>
    </w:p>
    <w:p>
      <w:pPr>
        <w:pStyle w:val="Heading3"/>
        <w:spacing w:after="60" w:before="220"/>
      </w:pPr>
      <w:r>
        <w:rPr>
          <w:rFonts w:ascii="Arial" w:cs="Arial" w:eastAsia="Arial" w:hAnsi="Arial"/>
          <w:b/>
          <w:bCs/>
          <w:color w:val="1F3864"/>
          <w:sz w:val="23"/>
          <w:szCs w:val="23"/>
        </w:rPr>
        <w:t xml:space="preserve">Tabla canónica de interpretación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Rango</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Nivel</w:t>
            </w:r>
          </w:p>
        </w:tc>
        <w:tc>
          <w:tcPr>
            <w:tcW w:type="dxa" w:w="5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Interpretación</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0.00 – 0.10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Muy bajo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Escalada muy improbable. El conflicto está controlado.</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0.11 – 0.30</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Escalada posible pero poco probable. Se recomienda monitoreo.</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0.31 – 0.50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Moderado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Riesgo de escalada significativo. Prepararse para intervención.</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0.51 – 0.70</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Escalada probable. Intervención urgente.</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0.71 – 0.90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Muy alto</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Escalada muy probable. El conflicto está en punto crítico.</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0.91 – 1.00</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Extremo</w:t>
            </w:r>
          </w:p>
        </w:tc>
        <w:tc>
          <w:tcPr>
            <w:tcW w:type="dxa" w:w="5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Escalada casi segura. Intervención inmediata.</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¿Cómo entenderlo sin fórmulas?</w:t>
      </w:r>
    </w:p>
    <w:p>
      <w:pPr>
        <w:spacing w:after="70" w:before="60"/>
      </w:pPr>
      <w:r>
        <w:rPr>
          <w:rFonts w:ascii="Arial" w:cs="Arial" w:eastAsia="Arial" w:hAnsi="Arial"/>
          <w:i/>
          <w:iCs/>
          <w:color w:val="555555"/>
          <w:sz w:val="21"/>
          <w:szCs w:val="21"/>
        </w:rPr>
        <w:t xml:space="preserve">Imagina una protesta. Hay tensión (IAH alto), la gente está dividida (IPS alto), la situación es compleja (ICS alto). El IPEM-Cos mide la probabilidad de que la protesta se vuelva violenta. Si el IPEM-Cos es 0.2, es probable que todo termine en paz. Si es 0.8, es muy probable que haya enfrentamientos.</w:t>
      </w:r>
    </w:p>
    <w:p>
      <w:pPr>
        <w:spacing w:after="0" w:before="0"/>
      </w:pPr>
      <w:r>
        <w:t xml:space="preserve"/>
      </w:r>
    </w:p>
    <w:p>
      <w:pPr>
        <w:shd w:fill="2E75B6" w:val="clear"/>
        <w:spacing w:after="80" w:before="200"/>
      </w:pPr>
      <w:r>
        <w:rPr>
          <w:rFonts w:ascii="Arial" w:cs="Arial" w:eastAsia="Arial" w:hAnsi="Arial"/>
          <w:b/>
          <w:bCs/>
          <w:color w:val="FFFFFF"/>
          <w:sz w:val="26"/>
          <w:szCs w:val="26"/>
        </w:rPr>
        <w:t xml:space="preserve">  23. Bext-Cos(t)  —  Riesgo de Colapso Narrativo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Plano de análisis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 — Sistémico</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raw</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Bext_raw = w1·IPS + w2·ICS + w3·(1−ICR) + w4·IRDE + w5·(1−IEOS)   (Σwi=1)</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Score limpio</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Bext_n = min(1, max(0, Bext_raw))</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Escala de tablero</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Bext_tablero = 400 × Bext_n</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Rango</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Bext_n: [0,1]  |  Bext_tablero: [0,400]</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Introducción</w:t>
      </w:r>
    </w:p>
    <w:p>
      <w:pPr>
        <w:spacing w:after="70" w:before="60"/>
      </w:pPr>
      <w:r>
        <w:rPr>
          <w:rFonts w:ascii="Arial" w:cs="Arial" w:eastAsia="Arial" w:hAnsi="Arial"/>
          <w:sz w:val="22"/>
          <w:szCs w:val="22"/>
        </w:rPr>
        <w:t xml:space="preserve">El Bext-Cos mide la </w:t>
      </w:r>
      <w:r>
        <w:rPr>
          <w:rFonts w:ascii="Arial" w:cs="Arial" w:eastAsia="Arial" w:hAnsi="Arial"/>
          <w:b/>
          <w:bCs/>
          <w:sz w:val="22"/>
          <w:szCs w:val="22"/>
        </w:rPr>
        <w:t xml:space="preserve">probabilidad o grado de colapso de una narrativa</w:t>
      </w:r>
      <w:r>
        <w:rPr>
          <w:rFonts w:ascii="Arial" w:cs="Arial" w:eastAsia="Arial" w:hAnsi="Arial"/>
          <w:sz w:val="22"/>
          <w:szCs w:val="22"/>
        </w:rPr>
        <w:t xml:space="preserve">: la pérdida de coherencia, credibilidad o influencia como resultado de la polarización (IPS), la complejidad (ICS), el fracaso en convertir ruido en sentido (1−ICR), el riesgo ético (IRDE), y la pobreza semiótica (1−IEOS).</w:t>
      </w:r>
    </w:p>
    <w:p>
      <w:pPr>
        <w:spacing w:after="70" w:before="60"/>
      </w:pPr>
      <w:r>
        <w:rPr>
          <w:rFonts w:ascii="Arial" w:cs="Arial" w:eastAsia="Arial" w:hAnsi="Arial"/>
          <w:sz w:val="22"/>
          <w:szCs w:val="22"/>
        </w:rPr>
        <w:t xml:space="preserve">La separación en </w:t>
      </w:r>
      <w:r>
        <w:rPr>
          <w:rFonts w:ascii="Arial" w:cs="Arial" w:eastAsia="Arial" w:hAnsi="Arial"/>
          <w:b/>
          <w:bCs/>
          <w:sz w:val="22"/>
          <w:szCs w:val="22"/>
        </w:rPr>
        <w:t xml:space="preserve">dos escalas</w:t>
      </w:r>
      <w:r>
        <w:rPr>
          <w:rFonts w:ascii="Arial" w:cs="Arial" w:eastAsia="Arial" w:hAnsi="Arial"/>
          <w:sz w:val="22"/>
          <w:szCs w:val="22"/>
        </w:rPr>
        <w:t xml:space="preserve"> (score limpio _n y escala de tablero) es la corrección clave respecto a versiones anteriores: permite usar el score en cálculos matriciales y el tablero como visualización de alerta.</w:t>
      </w:r>
    </w:p>
    <w:p>
      <w:pPr>
        <w:spacing w:after="70" w:before="60"/>
      </w:pPr>
      <w:r>
        <w:rPr>
          <w:rFonts w:ascii="Arial" w:cs="Arial" w:eastAsia="Arial" w:hAnsi="Arial"/>
          <w:b/>
          <w:bCs/>
          <w:sz w:val="22"/>
          <w:szCs w:val="22"/>
        </w:rPr>
        <w:t xml:space="preserve">El predictor más directo de colapso es 1−ICR</w:t>
      </w:r>
      <w:r>
        <w:rPr>
          <w:rFonts w:ascii="Arial" w:cs="Arial" w:eastAsia="Arial" w:hAnsi="Arial"/>
          <w:sz w:val="22"/>
          <w:szCs w:val="22"/>
        </w:rPr>
        <w:t xml:space="preserve"> (fracaso en convertir ruido): cuando el sistema deja de extraer sentido del ruido disponible, la narrativa pierde su capacidad de sostenerse.</w:t>
      </w:r>
    </w:p>
    <w:p>
      <w:pPr>
        <w:spacing w:after="0" w:before="0"/>
      </w:pPr>
      <w:r>
        <w:t xml:space="preserve"/>
      </w:r>
    </w:p>
    <w:p>
      <w:pPr>
        <w:pStyle w:val="Heading3"/>
        <w:spacing w:after="60" w:before="220"/>
      </w:pPr>
      <w:r>
        <w:rPr>
          <w:rFonts w:ascii="Arial" w:cs="Arial" w:eastAsia="Arial" w:hAnsi="Arial"/>
          <w:b/>
          <w:bCs/>
          <w:color w:val="1F3864"/>
          <w:sz w:val="23"/>
          <w:szCs w:val="23"/>
        </w:rPr>
        <w:t xml:space="preserve">¿Cómo entenderlo sin fórmulas?</w:t>
      </w:r>
    </w:p>
    <w:p>
      <w:pPr>
        <w:spacing w:after="70" w:before="60"/>
      </w:pPr>
      <w:r>
        <w:rPr>
          <w:rFonts w:ascii="Arial" w:cs="Arial" w:eastAsia="Arial" w:hAnsi="Arial"/>
          <w:i/>
          <w:iCs/>
          <w:color w:val="555555"/>
          <w:sz w:val="21"/>
          <w:szCs w:val="21"/>
        </w:rPr>
        <w:t xml:space="preserve">Imagina una historia que cuenta una empresa sobre sí misma. Si la historia se vuelve contradictoria (IPS alto), confusa (ICS alto), la gente no la entiende (ICR bajo), y el narrador es torpe (IEOS bajo), la historia puede colapsar: la gente deja de creerla. El Bext mide qué tan cerca está esa historia de colapsar.</w:t>
      </w:r>
    </w:p>
    <w:p>
      <w:pPr>
        <w:spacing w:after="0" w:before="0"/>
      </w:pPr>
      <w:r>
        <w:t xml:space="preserve"/>
      </w:r>
    </w:p>
    <w:p>
      <w:pPr>
        <w:shd w:fill="2E75B6" w:val="clear"/>
        <w:spacing w:after="80" w:before="200"/>
      </w:pPr>
      <w:r>
        <w:rPr>
          <w:rFonts w:ascii="Arial" w:cs="Arial" w:eastAsia="Arial" w:hAnsi="Arial"/>
          <w:b/>
          <w:bCs/>
          <w:color w:val="FFFFFF"/>
          <w:sz w:val="26"/>
          <w:szCs w:val="26"/>
        </w:rPr>
        <w:t xml:space="preserve">  24. CEE-Cos(t)  —  Conciencia Entrópica Externa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Plano de análisis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 — Sistémico</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Fórmula raw</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CEE_raw = v1·DIG + v2·IIDE + v3·IMNCE + v4·(1−ICR) + v5·IRDE   (Σvi=1)</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Score limpio</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CEE_n = min(1, max(0, CEE_raw))</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Escala de tablero</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CEE_tablero = 100 × CEE_n</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Rango</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CEE_n: [0,1]  |  CEE_tablero: [0,100]</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Introducción</w:t>
      </w:r>
    </w:p>
    <w:p>
      <w:pPr>
        <w:spacing w:after="70" w:before="60"/>
      </w:pPr>
      <w:r>
        <w:rPr>
          <w:rFonts w:ascii="Arial" w:cs="Arial" w:eastAsia="Arial" w:hAnsi="Arial"/>
          <w:sz w:val="22"/>
          <w:szCs w:val="22"/>
        </w:rPr>
        <w:t xml:space="preserve">El CEE-Cos mide el </w:t>
      </w:r>
      <w:r>
        <w:rPr>
          <w:rFonts w:ascii="Arial" w:cs="Arial" w:eastAsia="Arial" w:hAnsi="Arial"/>
          <w:b/>
          <w:bCs/>
          <w:sz w:val="22"/>
          <w:szCs w:val="22"/>
        </w:rPr>
        <w:t xml:space="preserve">grado de conciencia que un sistema tiene sobre la entropía semiótica externa</w:t>
      </w:r>
      <w:r>
        <w:rPr>
          <w:rFonts w:ascii="Arial" w:cs="Arial" w:eastAsia="Arial" w:hAnsi="Arial"/>
          <w:sz w:val="22"/>
          <w:szCs w:val="22"/>
        </w:rPr>
        <w:t xml:space="preserve">: el ruido, la ambigüedad y el caos en el entorno. Combina densidad informacional global (DIG), incertidumbre del entorno (IIDE), memoria narrativa colectiva (IMNCE), fracaso en gestionar ruido (1−ICR), y riesgo ético (IRDE).</w:t>
      </w:r>
    </w:p>
    <w:p>
      <w:pPr>
        <w:spacing w:after="70" w:before="60"/>
      </w:pPr>
      <w:r>
        <w:rPr>
          <w:rFonts w:ascii="Arial" w:cs="Arial" w:eastAsia="Arial" w:hAnsi="Arial"/>
          <w:sz w:val="22"/>
          <w:szCs w:val="22"/>
        </w:rPr>
        <w:t xml:space="preserve">Un </w:t>
      </w:r>
      <w:r>
        <w:rPr>
          <w:rFonts w:ascii="Arial" w:cs="Arial" w:eastAsia="Arial" w:hAnsi="Arial"/>
          <w:b/>
          <w:bCs/>
          <w:sz w:val="22"/>
          <w:szCs w:val="22"/>
        </w:rPr>
        <w:t xml:space="preserve">CEE extremadamente alto</w:t>
      </w:r>
      <w:r>
        <w:rPr>
          <w:rFonts w:ascii="Arial" w:cs="Arial" w:eastAsia="Arial" w:hAnsi="Arial"/>
          <w:sz w:val="22"/>
          <w:szCs w:val="22"/>
        </w:rPr>
        <w:t xml:space="preserve"> (≥ 0.90) puede indicar </w:t>
      </w:r>
      <w:r>
        <w:rPr>
          <w:rFonts w:ascii="Arial" w:cs="Arial" w:eastAsia="Arial" w:hAnsi="Arial"/>
          <w:b/>
          <w:bCs/>
          <w:sz w:val="22"/>
          <w:szCs w:val="22"/>
        </w:rPr>
        <w:t xml:space="preserve">hipersensibilidad patológica</w:t>
      </w:r>
      <w:r>
        <w:rPr>
          <w:rFonts w:ascii="Arial" w:cs="Arial" w:eastAsia="Arial" w:hAnsi="Arial"/>
          <w:sz w:val="22"/>
          <w:szCs w:val="22"/>
        </w:rPr>
        <w:t xml:space="preserve">: el sistema percibe todo el ruido externo, lo que puede abrumarlo e impedir su funcionamiento normal.</w:t>
      </w:r>
    </w:p>
    <w:p>
      <w:pPr>
        <w:spacing w:after="0" w:before="0"/>
      </w:pPr>
      <w:r>
        <w:t xml:space="preserve"/>
      </w:r>
    </w:p>
    <w:p>
      <w:pPr>
        <w:pStyle w:val="Heading3"/>
        <w:spacing w:after="60" w:before="220"/>
      </w:pPr>
      <w:r>
        <w:rPr>
          <w:rFonts w:ascii="Arial" w:cs="Arial" w:eastAsia="Arial" w:hAnsi="Arial"/>
          <w:b/>
          <w:bCs/>
          <w:color w:val="1F3864"/>
          <w:sz w:val="23"/>
          <w:szCs w:val="23"/>
        </w:rPr>
        <w:t xml:space="preserve">¿Cómo entenderlo sin fórmulas?</w:t>
      </w:r>
    </w:p>
    <w:p>
      <w:pPr>
        <w:spacing w:after="70" w:before="60"/>
      </w:pPr>
      <w:r>
        <w:rPr>
          <w:rFonts w:ascii="Arial" w:cs="Arial" w:eastAsia="Arial" w:hAnsi="Arial"/>
          <w:i/>
          <w:iCs/>
          <w:color w:val="555555"/>
          <w:sz w:val="21"/>
          <w:szCs w:val="21"/>
        </w:rPr>
        <w:t xml:space="preserve">Imagina que estás en una habitación con mucha gente hablando (ruido externo). El CEE mide qué tan consciente eres de ese ruido. Si CEE es bajo, estás concentrado en tu libro y no te das cuenta del ruido. Si CEE es alto, escuchas cada conversación. Si CEE es extremo, el ruido te abruma y no puedes pensar.</w:t>
      </w:r>
    </w:p>
    <w:p>
      <w:pPr>
        <w:spacing w:after="0" w:before="0"/>
      </w:pPr>
      <w:r>
        <w:t xml:space="preserve"/>
      </w:r>
    </w:p>
    <w:p>
      <w:pPr>
        <w:shd w:fill="2E75B6" w:val="clear"/>
        <w:spacing w:after="80" w:before="200"/>
      </w:pPr>
      <w:r>
        <w:rPr>
          <w:rFonts w:ascii="Arial" w:cs="Arial" w:eastAsia="Arial" w:hAnsi="Arial"/>
          <w:b/>
          <w:bCs/>
          <w:color w:val="FFFFFF"/>
          <w:sz w:val="26"/>
          <w:szCs w:val="26"/>
        </w:rPr>
        <w:t xml:space="preserve">  25. VDA-Cos  —  Disenso Automático Semiótico  [Plano C — NO es métrica escalar]</w:t>
      </w:r>
    </w:p>
    <w:p>
      <w:pPr>
        <w:shd w:fill="1F3864" w:val="clear"/>
        <w:spacing w:after="80" w:before="80"/>
      </w:pPr>
      <w:r>
        <w:rPr>
          <w:rFonts w:ascii="Arial" w:cs="Arial" w:eastAsia="Arial" w:hAnsi="Arial"/>
          <w:b/>
          <w:bCs/>
          <w:color w:val="FFFFFF"/>
          <w:sz w:val="21"/>
          <w:szCs w:val="21"/>
        </w:rPr>
        <w:t xml:space="preserve">  DECLARACIÓN CANÓNICA: </w:t>
      </w:r>
      <w:r>
        <w:rPr>
          <w:rFonts w:ascii="Arial" w:cs="Arial" w:eastAsia="Arial" w:hAnsi="Arial"/>
          <w:color w:val="FFFFFF"/>
          <w:sz w:val="21"/>
          <w:szCs w:val="21"/>
        </w:rPr>
        <w:t xml:space="preserve">VDA-Cos NO es un índice numérico. Es un sistema lógico condicional. No produce un valor en ninguna escala. Cualquier implementación que asigne a VDA-Cos un número entre 0 y 1 está malinterpretando el modelo. Su salida es siempre cualitativa: un escenario nombrado y un conjunto de acciones.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Plano de análisis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 — Correspondencia (sistema de alerta)</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Tipo</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Sistema lógico condicional. NO produce un valor numérico.</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Condición de activación</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SI (ICR&gt;τ1 AND IRDE&lt;τ2 AND IEOS&gt;τ3 AND IPS&gt;Q_IPS AND ICS&gt;Q_ICS)</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Salida si se activa</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CONCATENATE("Escenario: ", Ea, "; Acciones: ", Ap)</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Salida si no se activa</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"Análisis Incompleto"</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Umbrales por defecto</w:t>
            </w:r>
          </w:p>
        </w:tc>
        <w:tc>
          <w:tcPr>
            <w:tcW w:type="dxa" w:w="69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τ1=0.6, τ2=0.4, τ3=0.5, Q_IPS=0.6, Q_ICS=0.6</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Introducción</w:t>
      </w:r>
    </w:p>
    <w:p>
      <w:pPr>
        <w:spacing w:after="70" w:before="60"/>
      </w:pPr>
      <w:r>
        <w:rPr>
          <w:rFonts w:ascii="Arial" w:cs="Arial" w:eastAsia="Arial" w:hAnsi="Arial"/>
          <w:sz w:val="22"/>
          <w:szCs w:val="22"/>
        </w:rPr>
        <w:t xml:space="preserve">El VDA-Cos es el </w:t>
      </w:r>
      <w:r>
        <w:rPr>
          <w:rFonts w:ascii="Arial" w:cs="Arial" w:eastAsia="Arial" w:hAnsi="Arial"/>
          <w:b/>
          <w:bCs/>
          <w:sz w:val="22"/>
          <w:szCs w:val="22"/>
        </w:rPr>
        <w:t xml:space="preserve">componente inteligente del sistema de alerta</w:t>
      </w:r>
      <w:r>
        <w:rPr>
          <w:rFonts w:ascii="Arial" w:cs="Arial" w:eastAsia="Arial" w:hAnsi="Arial"/>
          <w:sz w:val="22"/>
          <w:szCs w:val="22"/>
        </w:rPr>
        <w:t xml:space="preserve">. No produce un número: produce un diagnóstico y un conjunto de acciones recomendadas, en función de los umbrales que se superen. Es la exaptación del módulo VDA (Validación de Disenso Automático) del RMD 2.0 al dominio cosmosemiótico.</w:t>
      </w:r>
    </w:p>
    <w:p>
      <w:pPr>
        <w:spacing w:after="70" w:before="60"/>
      </w:pPr>
      <w:r>
        <w:rPr>
          <w:rFonts w:ascii="Arial" w:cs="Arial" w:eastAsia="Arial" w:hAnsi="Arial"/>
          <w:sz w:val="22"/>
          <w:szCs w:val="22"/>
        </w:rPr>
        <w:t xml:space="preserve">Responde a la pregunta: </w:t>
      </w:r>
      <w:r>
        <w:rPr>
          <w:rFonts w:ascii="Arial" w:cs="Arial" w:eastAsia="Arial" w:hAnsi="Arial"/>
          <w:b/>
          <w:bCs/>
          <w:sz w:val="22"/>
          <w:szCs w:val="22"/>
        </w:rPr>
        <w:t xml:space="preserve">¿Dados los valores actuales de ICR, IRDE, IEOS, IPS e ICS, estamos ante un escenario que requiere disenso activo?</w:t>
      </w:r>
      <w:r>
        <w:rPr>
          <w:rFonts w:ascii="Arial" w:cs="Arial" w:eastAsia="Arial" w:hAnsi="Arial"/>
          <w:sz w:val="22"/>
          <w:szCs w:val="22"/>
        </w:rPr>
        <w:t xml:space="preserve"> No solo detecta el problema, sino que sugiere acciones. Integra la Cosmosemiótica con el módulo MAPAR-S.</w:t>
      </w:r>
    </w:p>
    <w:p>
      <w:pPr>
        <w:spacing w:after="0" w:before="0"/>
      </w:pPr>
      <w:r>
        <w:t xml:space="preserve"/>
      </w:r>
    </w:p>
    <w:p>
      <w:pPr>
        <w:pStyle w:val="Heading3"/>
        <w:spacing w:after="60" w:before="220"/>
      </w:pPr>
      <w:r>
        <w:rPr>
          <w:rFonts w:ascii="Arial" w:cs="Arial" w:eastAsia="Arial" w:hAnsi="Arial"/>
          <w:b/>
          <w:bCs/>
          <w:color w:val="1F3864"/>
          <w:sz w:val="23"/>
          <w:szCs w:val="23"/>
        </w:rPr>
        <w:t xml:space="preserve">Tabla de escenarios y acciones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4760"/>
      </w:tblGrid>
      <w:tr>
        <w:trPr>
          <w:tblHeader/>
        </w:trPr>
        <w:tc>
          <w:tcPr>
            <w:tcW w:type="dxa" w:w="2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Condición activada</w:t>
            </w:r>
          </w:p>
        </w:tc>
        <w:tc>
          <w:tcPr>
            <w:tcW w:type="dxa" w:w="21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Escenario (Ea)</w:t>
            </w:r>
          </w:p>
        </w:tc>
        <w:tc>
          <w:tcPr>
            <w:tcW w:type="dxa" w:w="47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Acciones (Ap)</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Solo ICR&gt;τ1 e IEOS&gt;τ3</w:t>
            </w:r>
          </w:p>
        </w:tc>
        <w:tc>
          <w:tcPr>
            <w:tcW w:type="dxa" w:w="2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Jardín Fértil Estable</w:t>
            </w:r>
          </w:p>
        </w:tc>
        <w:tc>
          <w:tcPr>
            <w:tcW w:type="dxa" w:w="4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Monitoreo pasivo; no se requiere disenso activo.</w:t>
            </w:r>
          </w:p>
        </w:tc>
      </w:tr>
      <w:tr>
        <w:tc>
          <w:tcPr>
            <w:tcW w:type="dxa" w:w="2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ICR&gt;τ1, IEOS&gt;τ3, IPS&gt;Q_IPS</w:t>
            </w:r>
          </w:p>
        </w:tc>
        <w:tc>
          <w:tcPr>
            <w:tcW w:type="dxa" w:w="21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Polarización Fértil</w:t>
            </w:r>
          </w:p>
        </w:tc>
        <w:tc>
          <w:tcPr>
            <w:tcW w:type="dxa" w:w="4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Disenso selectivo: introducir narrativas alternativas que reduzcan polarización sin destruir sentido.</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ICR&gt;τ1, IEOS&gt;τ3, ICS&gt;Q_ICS</w:t>
            </w:r>
          </w:p>
        </w:tc>
        <w:tc>
          <w:tcPr>
            <w:tcW w:type="dxa" w:w="2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Complejidad Fértil</w:t>
            </w:r>
          </w:p>
        </w:tc>
        <w:tc>
          <w:tcPr>
            <w:tcW w:type="dxa" w:w="4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Disenso estructural: simplificar sin perder riqueza; usar operadores icónicos para clarificar.</w:t>
            </w:r>
          </w:p>
        </w:tc>
      </w:tr>
      <w:tr>
        <w:tc>
          <w:tcPr>
            <w:tcW w:type="dxa" w:w="2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IRDE&gt;τ2 y cualquier otra condición</w:t>
            </w:r>
          </w:p>
        </w:tc>
        <w:tc>
          <w:tcPr>
            <w:tcW w:type="dxa" w:w="21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Riesgo Ético Alto</w:t>
            </w:r>
          </w:p>
        </w:tc>
        <w:tc>
          <w:tcPr>
            <w:tcW w:type="dxa" w:w="4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Disenso urgente: suspender comunicación automática; revisión humana obligatoria.</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IPS&gt;Q_IPS e ICS&gt;Q_ICS sin ICR suficiente</w:t>
            </w:r>
          </w:p>
        </w:tc>
        <w:tc>
          <w:tcPr>
            <w:tcW w:type="dxa" w:w="2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Caos Polarizado Complejo</w:t>
            </w:r>
          </w:p>
        </w:tc>
        <w:tc>
          <w:tcPr>
            <w:tcW w:type="dxa" w:w="4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Disenso radical: reinicio semiótico; intervención externa requerida.</w:t>
            </w:r>
          </w:p>
        </w:tc>
      </w:tr>
      <w:tr>
        <w:tc>
          <w:tcPr>
            <w:tcW w:type="dxa" w:w="2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Todas las condiciones cumplidas</w:t>
            </w:r>
          </w:p>
        </w:tc>
        <w:tc>
          <w:tcPr>
            <w:tcW w:type="dxa" w:w="21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Desalmamiento Inminente</w:t>
            </w:r>
          </w:p>
        </w:tc>
        <w:tc>
          <w:tcPr>
            <w:tcW w:type="dxa" w:w="4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Disenso de emergencia: activar protocolo MAPAR-S, notificar a autoridades.</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¿Cómo entenderlo sin fórmulas?</w:t>
      </w:r>
    </w:p>
    <w:p>
      <w:pPr>
        <w:spacing w:after="70" w:before="60"/>
      </w:pPr>
      <w:r>
        <w:rPr>
          <w:rFonts w:ascii="Arial" w:cs="Arial" w:eastAsia="Arial" w:hAnsi="Arial"/>
          <w:i/>
          <w:iCs/>
          <w:color w:val="555555"/>
          <w:sz w:val="21"/>
          <w:szCs w:val="21"/>
        </w:rPr>
        <w:t xml:space="preserve">Imagina un sistema de alarma inteligente en un edificio. No solo detecta fuego, sino que también detecta humo, aglomeraciones, y complejidad del escape. Cuando todo se activa, la alarma no solo suena: dice exactamente qué hacer. El VDA-Cos es esa alarma inteligente para el sentido y la narrativa.</w:t>
      </w:r>
    </w:p>
    <w:p>
      <w:pPr>
        <w:pBdr>
          <w:bottom w:val="single" w:color="2E75B6" w:sz="8" w:space="1"/>
        </w:pBdr>
        <w:spacing w:after="160" w:before="160"/>
      </w:pPr>
      <w:r>
        <w:t xml:space="preserve"/>
      </w:r>
    </w:p>
    <w:p>
      <w:pPr>
        <w:pageBreakBefore/>
      </w:pPr>
      <w:r>
        <w:t xml:space="preserve"/>
      </w:r>
    </w:p>
    <w:p>
      <w:pPr>
        <w:shd w:fill="1F3864" w:val="clear"/>
        <w:spacing w:after="200" w:before="300"/>
      </w:pPr>
      <w:r>
        <w:rPr>
          <w:rFonts w:ascii="Arial" w:cs="Arial" w:eastAsia="Arial" w:hAnsi="Arial"/>
          <w:b/>
          <w:bCs/>
          <w:color w:val="FFFFFF"/>
          <w:sz w:val="30"/>
          <w:szCs w:val="30"/>
        </w:rPr>
        <w:t xml:space="preserve">  28. IDSΨ* — FUNCIÓN UNIFICADA DEL SISTEMA COSMOSEMIÓTICO</w:t>
      </w:r>
    </w:p>
    <w:p>
      <w:pPr>
        <w:shd w:fill="D6E4F0" w:val="clear"/>
        <w:spacing w:after="100" w:before="100"/>
      </w:pPr>
      <w:r>
        <w:rPr>
          <w:rFonts w:ascii="Arial" w:cs="Arial" w:eastAsia="Arial" w:hAnsi="Arial"/>
          <w:b/>
          <w:bCs/>
          <w:color w:val="1F3864"/>
          <w:sz w:val="22"/>
          <w:szCs w:val="22"/>
        </w:rPr>
        <w:t xml:space="preserve">  JERARQUÍA CANÓNICA: </w:t>
      </w:r>
      <w:r>
        <w:rPr>
          <w:rFonts w:ascii="Arial" w:cs="Arial" w:eastAsia="Arial" w:hAnsi="Arial"/>
          <w:sz w:val="22"/>
          <w:szCs w:val="22"/>
        </w:rPr>
        <w:t xml:space="preserve">La función unificada es la referencia operativa canónica para el cálculo predictivo. La cadena IDP (IEES → IDP → IDSΨ) se mantiene como herramienta diagnóstica para análisis paso a paso, pero no reemplaza a la función unificada en simulaciones o predicciones.</w:t>
      </w:r>
    </w:p>
    <w:p>
      <w:pPr>
        <w:spacing w:after="0" w:before="0"/>
      </w:pPr>
      <w:r>
        <w:t xml:space="preserve"/>
      </w:r>
    </w:p>
    <w:p>
      <w:pPr>
        <w:spacing w:after="70" w:before="60"/>
      </w:pPr>
      <w:r>
        <w:rPr>
          <w:rFonts w:ascii="Arial" w:cs="Arial" w:eastAsia="Arial" w:hAnsi="Arial"/>
          <w:sz w:val="22"/>
          <w:szCs w:val="22"/>
        </w:rPr>
        <w:t xml:space="preserve">La función unificada es el </w:t>
      </w:r>
      <w:r>
        <w:rPr>
          <w:rFonts w:ascii="Arial" w:cs="Arial" w:eastAsia="Arial" w:hAnsi="Arial"/>
          <w:b/>
          <w:bCs/>
          <w:sz w:val="22"/>
          <w:szCs w:val="22"/>
        </w:rPr>
        <w:t xml:space="preserve">cierre formal del modelo</w:t>
      </w:r>
      <w:r>
        <w:rPr>
          <w:rFonts w:ascii="Arial" w:cs="Arial" w:eastAsia="Arial" w:hAnsi="Arial"/>
          <w:sz w:val="22"/>
          <w:szCs w:val="22"/>
        </w:rPr>
        <w:t xml:space="preserve">: convierte el sistema Cosmosemiótico en un sistema dinámico completo y predice, a partir de métricas observables, el grado de desalmamiento semiótico de un agente. Integra los tres planos de análisis en una sola expresión operativa.</w:t>
      </w:r>
    </w:p>
    <w:p>
      <w:pPr>
        <w:spacing w:after="0" w:before="0"/>
      </w:pPr>
      <w:r>
        <w:t xml:space="preserve"/>
      </w:r>
    </w:p>
    <w:p>
      <w:pPr>
        <w:pStyle w:val="Heading3"/>
        <w:spacing w:after="60" w:before="220"/>
      </w:pPr>
      <w:r>
        <w:rPr>
          <w:rFonts w:ascii="Arial" w:cs="Arial" w:eastAsia="Arial" w:hAnsi="Arial"/>
          <w:b/>
          <w:bCs/>
          <w:color w:val="1F3864"/>
          <w:sz w:val="23"/>
          <w:szCs w:val="23"/>
        </w:rPr>
        <w:t xml:space="preserve">Definición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Notación</w:t>
            </w:r>
          </w:p>
        </w:tc>
        <w:tc>
          <w:tcPr>
            <w:tcW w:type="dxa" w:w="6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Significado</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IDSΨ = F(A, B | C)</w:t>
            </w:r>
          </w:p>
        </w:tc>
        <w:tc>
          <w:tcPr>
            <w:tcW w:type="dxa" w:w="6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desalmamiento es función de variables del Plano A y del Plano B, modulada por la variable puente del Plano C.</w:t>
            </w:r>
          </w:p>
        </w:tc>
      </w:tr>
      <w:tr>
        <w:tc>
          <w:tcPr>
            <w:tcW w:type="dxa" w:w="3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 → sistema semiótico</w:t>
            </w:r>
          </w:p>
        </w:tc>
        <w:tc>
          <w:tcPr>
            <w:tcW w:type="dxa" w:w="6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Métricas del texto / discurso: INR, IDCS, Ceff_n.</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 → sistema real</w:t>
            </w:r>
          </w:p>
        </w:tc>
        <w:tc>
          <w:tcPr>
            <w:tcW w:type="dxa" w:w="6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Métricas del fenómeno / agente: IAH (Intensidad de Amenaza Hostil, escala 0–100).</w:t>
            </w:r>
          </w:p>
        </w:tc>
      </w:tr>
      <w:tr>
        <w:tc>
          <w:tcPr>
            <w:tcW w:type="dxa" w:w="3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 → correspondencia</w:t>
            </w:r>
          </w:p>
        </w:tc>
        <w:tc>
          <w:tcPr>
            <w:tcW w:type="dxa" w:w="6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Variable puente metacognitiva: Mmeta_n (amortigua o amplifica el desalmamiento según la capacidad de autocomprensión del agente).</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Forma operativa canónica</w:t>
      </w:r>
    </w:p>
    <w:p>
      <w:pPr>
        <w:shd w:fill="1F3864" w:val="clear"/>
        <w:spacing w:after="200" w:before="200"/>
        <w:jc w:val="center"/>
      </w:pPr>
      <w:r>
        <w:rPr>
          <w:rFonts w:ascii="Courier New" w:cs="Courier New" w:eastAsia="Courier New" w:hAnsi="Courier New"/>
          <w:b/>
          <w:bCs/>
          <w:color w:val="FFFFFF"/>
          <w:sz w:val="26"/>
          <w:szCs w:val="26"/>
        </w:rPr>
        <w:t xml:space="preserve">IDSΨ = [ INR × IDCS × (1 − √Ceff_n) ] × tanh(IAH/100) × (1 − Mmeta_n)</w:t>
      </w:r>
    </w:p>
    <w:p>
      <w:pPr>
        <w:pStyle w:val="Heading3"/>
        <w:spacing w:after="60" w:before="220"/>
      </w:pPr>
      <w:r>
        <w:rPr>
          <w:rFonts w:ascii="Arial" w:cs="Arial" w:eastAsia="Arial" w:hAnsi="Arial"/>
          <w:b/>
          <w:bCs/>
          <w:color w:val="1F3864"/>
          <w:sz w:val="23"/>
          <w:szCs w:val="23"/>
        </w:rPr>
        <w:t xml:space="preserve">Estructura y justificación de cada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2400"/>
        <w:gridCol w:w="4660"/>
      </w:tblGrid>
      <w:tr>
        <w:trPr>
          <w:tblHeader/>
        </w:trPr>
        <w:tc>
          <w:tcPr>
            <w:tcW w:type="dxa" w:w="1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Factor</w:t>
            </w:r>
          </w:p>
        </w:tc>
        <w:tc>
          <w:tcPr>
            <w:tcW w:type="dxa" w:w="7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Plano</w:t>
            </w:r>
          </w:p>
        </w:tc>
        <w:tc>
          <w:tcPr>
            <w:tcW w:type="dxa" w:w="2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Composición</w:t>
            </w:r>
          </w:p>
        </w:tc>
        <w:tc>
          <w:tcPr>
            <w:tcW w:type="dxa" w:w="46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Rol semiótico</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INR</w:t>
            </w:r>
          </w:p>
        </w:tc>
        <w:tc>
          <w:tcPr>
            <w:tcW w:type="dxa" w:w="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Distancia interpretativa (∈ [0,1])</w:t>
            </w:r>
          </w:p>
        </w:tc>
        <w:tc>
          <w:tcPr>
            <w:tcW w:type="dxa" w:w="46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Mide la incapacidad del sistema de resolver el ruido contextual. A mayor INR, mayor vulnerabilidad estructural.</w:t>
            </w:r>
          </w:p>
        </w:tc>
      </w:tr>
      <w:tr>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IDCS</w:t>
            </w:r>
          </w:p>
        </w:tc>
        <w:tc>
          <w:tcPr>
            <w:tcW w:type="dxa" w:w="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w:t>
            </w:r>
          </w:p>
        </w:tc>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Contradicción activa señal/ruido (∈ [0,1])</w:t>
            </w:r>
          </w:p>
        </w:tc>
        <w:tc>
          <w:tcPr>
            <w:tcW w:type="dxa" w:w="46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Activa la contradicción estructural. Más sensible que (1−IAS_X) en zonas de equilibrio, que son las de mayor riesgo de desalmamiento.</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(1−√Ceff_n)</w:t>
            </w:r>
          </w:p>
        </w:tc>
        <w:tc>
          <w:tcPr>
            <w:tcW w:type="dxa" w:w="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Factor protector invertido con raíz suavizadora (∈ [0,1])</w:t>
            </w:r>
          </w:p>
        </w:tc>
        <w:tc>
          <w:tcPr>
            <w:tcW w:type="dxa" w:w="46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Ceff_n alto amortigua el desalmamiento mediante riqueza semiótica. La raíz cuadrada suaviza el gradiente y evita cancelaciones abruptas.</w:t>
            </w:r>
          </w:p>
        </w:tc>
      </w:tr>
      <w:tr>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tanh(IAH/100)</w:t>
            </w:r>
          </w:p>
        </w:tc>
        <w:tc>
          <w:tcPr>
            <w:tcW w:type="dxa" w:w="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Modulación de amenaza hostil — saturante (∈ [0,1))</w:t>
            </w:r>
          </w:p>
        </w:tc>
        <w:tc>
          <w:tcPr>
            <w:tcW w:type="dxa" w:w="46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Empuja hacia el colapso de forma no lineal. IAH en escala 0–100; tanh(1)≈0.76 es el punto de inflexión. Valores &gt;100 se saturan asintóticamente hacia 1.</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(1−Mmeta_n)</w:t>
            </w:r>
          </w:p>
        </w:tc>
        <w:tc>
          <w:tcPr>
            <w:tcW w:type="dxa" w:w="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Modulación metacognitiva — amortiguador (∈ [0,1])</w:t>
            </w:r>
          </w:p>
        </w:tc>
        <w:tc>
          <w:tcPr>
            <w:tcW w:type="dxa" w:w="46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Modula la capacidad de contención. Mmeta_n alto → factor cercano a 0 → IDSΨ amortiguado. Mmeta_n bajo → factor cercano a 1 → IDSΨ amplificado.</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Escala y saturación de IAH</w:t>
      </w:r>
    </w:p>
    <w:p>
      <w:pPr>
        <w:spacing w:after="70" w:before="60"/>
      </w:pPr>
      <w:r>
        <w:rPr>
          <w:rFonts w:ascii="Arial" w:cs="Arial" w:eastAsia="Arial" w:hAnsi="Arial"/>
          <w:b/>
          <w:bCs/>
          <w:sz w:val="22"/>
          <w:szCs w:val="22"/>
        </w:rPr>
        <w:t xml:space="preserve">IAH se expresa en una escala de 0 a 100</w:t>
      </w:r>
      <w:r>
        <w:rPr>
          <w:rFonts w:ascii="Arial" w:cs="Arial" w:eastAsia="Arial" w:hAnsi="Arial"/>
          <w:sz w:val="22"/>
          <w:szCs w:val="22"/>
        </w:rPr>
        <w:t xml:space="preserve">, donde 100 corresponde al punto de referencia de saturación: tanh(100/100) = tanh(1) ≈ 0.762. Esta elección tiene tres consecuencias operativas:</w:t>
      </w:r>
    </w:p>
    <w:p>
      <w:pPr>
        <w:spacing w:after="40" w:before="40"/>
        <w:ind w:left="720" w:hanging="360"/>
      </w:pPr>
      <w:r>
        <w:rPr>
          <w:rFonts w:ascii="Arial" w:cs="Arial" w:eastAsia="Arial" w:hAnsi="Arial"/>
          <w:sz w:val="21"/>
          <w:szCs w:val="21"/>
        </w:rPr>
        <w:t xml:space="preserve">•  Valores de IAH en el rango habitual (0–100) producen factores de modulación en [0, 0.76], dejando margen para que otros factores determinen el nivel final de IDSΨ.</w:t>
      </w:r>
    </w:p>
    <w:p>
      <w:pPr>
        <w:spacing w:after="40" w:before="40"/>
        <w:ind w:left="720" w:hanging="360"/>
      </w:pPr>
      <w:r>
        <w:rPr>
          <w:rFonts w:ascii="Arial" w:cs="Arial" w:eastAsia="Arial" w:hAnsi="Arial"/>
          <w:sz w:val="21"/>
          <w:szCs w:val="21"/>
        </w:rPr>
        <w:t xml:space="preserve">•  Valores de IAH superiores a 100 son posibles pero se saturan asintóticamente: tanh(200/100) ≈ 0.964, tanh(300/100) ≈ 0.995. El sistema nunca "explota".</w:t>
      </w:r>
    </w:p>
    <w:p>
      <w:pPr>
        <w:spacing w:after="40" w:before="40"/>
        <w:ind w:left="720" w:hanging="360"/>
      </w:pPr>
      <w:r>
        <w:rPr>
          <w:rFonts w:ascii="Arial" w:cs="Arial" w:eastAsia="Arial" w:hAnsi="Arial"/>
          <w:sz w:val="21"/>
          <w:szCs w:val="21"/>
        </w:rPr>
        <w:t xml:space="preserve">•  IAH = 0 produce tanh(0) = 0, lo que fuerza IDSΨ = 0 independientemente de los demás factores: sin amenaza hostil, no hay desalmamiento.</w:t>
      </w:r>
    </w:p>
    <w:p>
      <w:pPr>
        <w:spacing w:after="80" w:before="80"/>
        <w:ind w:left="560"/>
      </w:pPr>
      <w:r>
        <w:rPr>
          <w:rFonts w:ascii="Arial" w:cs="Arial" w:eastAsia="Arial" w:hAnsi="Arial"/>
          <w:b/>
          <w:bCs/>
          <w:i/>
          <w:iCs/>
          <w:color w:val="2E75B6"/>
          <w:sz w:val="20"/>
          <w:szCs w:val="20"/>
        </w:rPr>
        <w:t xml:space="preserve">Convención: </w:t>
      </w:r>
      <w:r>
        <w:rPr>
          <w:rFonts w:ascii="Arial" w:cs="Arial" w:eastAsia="Arial" w:hAnsi="Arial"/>
          <w:i/>
          <w:iCs/>
          <w:sz w:val="20"/>
          <w:szCs w:val="20"/>
        </w:rPr>
        <w:t xml:space="preserve">IAH siempre se documenta con su escala explícita (0–100) para evitar ambigüedad en validaciones cruzadas entre IAs o analistas.</w:t>
      </w:r>
    </w:p>
    <w:p>
      <w:pPr>
        <w:spacing w:after="0" w:before="0"/>
      </w:pPr>
      <w:r>
        <w:t xml:space="preserve"/>
      </w:r>
    </w:p>
    <w:p>
      <w:pPr>
        <w:pStyle w:val="Heading3"/>
        <w:spacing w:after="60" w:before="220"/>
      </w:pPr>
      <w:r>
        <w:rPr>
          <w:rFonts w:ascii="Arial" w:cs="Arial" w:eastAsia="Arial" w:hAnsi="Arial"/>
          <w:b/>
          <w:bCs/>
          <w:color w:val="1F3864"/>
          <w:sz w:val="23"/>
          <w:szCs w:val="23"/>
        </w:rPr>
        <w:t xml:space="preserve">Lectura conceptual integrada</w:t>
      </w:r>
    </w:p>
    <w:p>
      <w:pPr>
        <w:spacing w:after="70" w:before="60"/>
      </w:pPr>
      <w:r>
        <w:rPr>
          <w:rFonts w:ascii="Arial" w:cs="Arial" w:eastAsia="Arial" w:hAnsi="Arial"/>
          <w:sz w:val="22"/>
          <w:szCs w:val="22"/>
        </w:rPr>
        <w:t xml:space="preserve">La función unificada puede leerse como una cadena de condiciones necesarias que se multiplican: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Pregunta</w:t>
            </w:r>
          </w:p>
        </w:tc>
        <w:tc>
          <w:tcPr>
            <w:tcW w:type="dxa" w:w="2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Factor que la responde</w:t>
            </w:r>
          </w:p>
        </w:tc>
        <w:tc>
          <w:tcPr>
            <w:tcW w:type="dxa" w:w="40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Efecto si es alto</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agente no entiende lo que percibe?</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INR</w:t>
            </w:r>
          </w:p>
        </w:tc>
        <w:tc>
          <w:tcPr>
            <w:tcW w:type="dxa" w:w="4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Aumenta IDSΨ</w:t>
            </w:r>
          </w:p>
        </w:tc>
      </w:tr>
      <w:tr>
        <w:tc>
          <w:tcPr>
            <w:tcW w:type="dxa" w:w="2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¿Lo que percibe está en contradicción interna?</w:t>
            </w:r>
          </w:p>
        </w:tc>
        <w:tc>
          <w:tcPr>
            <w:tcW w:type="dxa" w:w="2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IDCS</w:t>
            </w:r>
          </w:p>
        </w:tc>
        <w:tc>
          <w:tcPr>
            <w:tcW w:type="dxa" w:w="40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Activa la erosión estructural</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agente tiene poca diversidad semántica?</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(1−√Ceff_n)</w:t>
            </w:r>
          </w:p>
        </w:tc>
        <w:tc>
          <w:tcPr>
            <w:tcW w:type="dxa" w:w="4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Reduce la capacidad de absorber el impacto</w:t>
            </w:r>
          </w:p>
        </w:tc>
      </w:tr>
      <w:tr>
        <w:tc>
          <w:tcPr>
            <w:tcW w:type="dxa" w:w="2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entorno es hostil?</w:t>
            </w:r>
          </w:p>
        </w:tc>
        <w:tc>
          <w:tcPr>
            <w:tcW w:type="dxa" w:w="2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tanh(IAH/100)</w:t>
            </w:r>
          </w:p>
        </w:tc>
        <w:tc>
          <w:tcPr>
            <w:tcW w:type="dxa" w:w="40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Empuja hacia el límite de reconfiguración estructural (no linealmente)</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agente se comprende poco a sí mismo?</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(1−Mmeta_n)</w:t>
            </w:r>
          </w:p>
        </w:tc>
        <w:tc>
          <w:tcPr>
            <w:tcW w:type="dxa" w:w="4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Amplifica todos los factores anteriores</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¿Cómo leer la función unificada sin fórmulas?</w:t>
      </w:r>
    </w:p>
    <w:p>
      <w:pPr>
        <w:spacing w:after="70" w:before="60"/>
      </w:pPr>
      <w:r>
        <w:rPr>
          <w:rFonts w:ascii="Arial" w:cs="Arial" w:eastAsia="Arial" w:hAnsi="Arial"/>
          <w:sz w:val="22"/>
          <w:szCs w:val="22"/>
        </w:rPr>
        <w:t xml:space="preserve">La función unificada dice: </w:t>
      </w:r>
      <w:r>
        <w:rPr>
          <w:rFonts w:ascii="Arial" w:cs="Arial" w:eastAsia="Arial" w:hAnsi="Arial"/>
          <w:b/>
          <w:bCs/>
          <w:sz w:val="22"/>
          <w:szCs w:val="22"/>
        </w:rPr>
        <w:t xml:space="preserve">el desalmamiento de un agente depende de cinco factores que se multiplican entre sí</w:t>
      </w:r>
      <w:r>
        <w:rPr>
          <w:rFonts w:ascii="Arial" w:cs="Arial" w:eastAsia="Arial" w:hAnsi="Arial"/>
          <w:sz w:val="22"/>
          <w:szCs w:val="22"/>
        </w:rPr>
        <w:t xml:space="preserve">:</w:t>
      </w:r>
    </w:p>
    <w:p>
      <w:pPr>
        <w:spacing w:after="40" w:before="40"/>
        <w:ind w:left="720" w:hanging="360"/>
      </w:pPr>
      <w:r>
        <w:rPr>
          <w:rFonts w:ascii="Arial" w:cs="Arial" w:eastAsia="Arial" w:hAnsi="Arial"/>
          <w:sz w:val="21"/>
          <w:szCs w:val="21"/>
        </w:rPr>
        <w:t xml:space="preserve">•  Cuánto no entiende lo que percibe (INR).</w:t>
      </w:r>
    </w:p>
    <w:p>
      <w:pPr>
        <w:spacing w:after="40" w:before="40"/>
        <w:ind w:left="720" w:hanging="360"/>
      </w:pPr>
      <w:r>
        <w:rPr>
          <w:rFonts w:ascii="Arial" w:cs="Arial" w:eastAsia="Arial" w:hAnsi="Arial"/>
          <w:sz w:val="21"/>
          <w:szCs w:val="21"/>
        </w:rPr>
        <w:t xml:space="preserve">•  Cuánta contradicción hay en lo que percibe (IDCS).</w:t>
      </w:r>
    </w:p>
    <w:p>
      <w:pPr>
        <w:spacing w:after="40" w:before="40"/>
        <w:ind w:left="720" w:hanging="360"/>
      </w:pPr>
      <w:r>
        <w:rPr>
          <w:rFonts w:ascii="Arial" w:cs="Arial" w:eastAsia="Arial" w:hAnsi="Arial"/>
          <w:sz w:val="21"/>
          <w:szCs w:val="21"/>
        </w:rPr>
        <w:t xml:space="preserve">•  Cuán poco diverso es semánticamente, cuán poca riqueza tiene para amortiguar (1−√Ceff_n).</w:t>
      </w:r>
    </w:p>
    <w:p>
      <w:pPr>
        <w:spacing w:after="40" w:before="40"/>
        <w:ind w:left="720" w:hanging="360"/>
      </w:pPr>
      <w:r>
        <w:rPr>
          <w:rFonts w:ascii="Arial" w:cs="Arial" w:eastAsia="Arial" w:hAnsi="Arial"/>
          <w:sz w:val="21"/>
          <w:szCs w:val="21"/>
        </w:rPr>
        <w:t xml:space="preserve">•  Cuán hostil y amenazante es su entorno, de forma que satura y no se amplifica infinitamente (tanh(IAH/100)).</w:t>
      </w:r>
    </w:p>
    <w:p>
      <w:pPr>
        <w:spacing w:after="70" w:before="60"/>
      </w:pPr>
      <w:r>
        <w:rPr>
          <w:rFonts w:ascii="Arial" w:cs="Arial" w:eastAsia="Arial" w:hAnsi="Arial"/>
          <w:sz w:val="22"/>
          <w:szCs w:val="22"/>
        </w:rPr>
        <w:t xml:space="preserve">Y todo eso se </w:t>
      </w:r>
      <w:r>
        <w:rPr>
          <w:rFonts w:ascii="Arial" w:cs="Arial" w:eastAsia="Arial" w:hAnsi="Arial"/>
          <w:b/>
          <w:bCs/>
          <w:sz w:val="22"/>
          <w:szCs w:val="22"/>
        </w:rPr>
        <w:t xml:space="preserve">amortigua o amplifica</w:t>
      </w:r>
      <w:r>
        <w:rPr>
          <w:rFonts w:ascii="Arial" w:cs="Arial" w:eastAsia="Arial" w:hAnsi="Arial"/>
          <w:sz w:val="22"/>
          <w:szCs w:val="22"/>
        </w:rPr>
        <w:t xml:space="preserve"> según qué tan bien se comprende a sí mismo el agente (1−Mmeta_n). Un agente con alta metacomprensión puede resistir entornos muy adversos. Uno que no se conoce, colapsa ante presiones menores.</w:t>
      </w:r>
    </w:p>
    <w:p>
      <w:pPr>
        <w:spacing w:after="70" w:before="60"/>
      </w:pPr>
      <w:r>
        <w:rPr>
          <w:rFonts w:ascii="Arial" w:cs="Arial" w:eastAsia="Arial" w:hAnsi="Arial"/>
          <w:i/>
          <w:iCs/>
          <w:color w:val="555555"/>
          <w:sz w:val="21"/>
          <w:szCs w:val="21"/>
        </w:rPr>
        <w:t xml:space="preserve">En términos cotidianos: el desalmamiento es máximo cuando alguien no entiende lo que le rodea, percibe contradicciones sin resolución, tiene pocas herramientas para procesar la situación, vive en un entorno hostil, y además no es consciente de sus propias limitaciones.</w:t>
      </w:r>
    </w:p>
    <w:p>
      <w:pPr>
        <w:spacing w:after="0" w:before="0"/>
      </w:pPr>
      <w:r>
        <w:t xml:space="preserve"/>
      </w:r>
    </w:p>
    <w:p>
      <w:pPr>
        <w:pStyle w:val="Heading3"/>
        <w:spacing w:after="60" w:before="220"/>
      </w:pPr>
      <w:r>
        <w:rPr>
          <w:rFonts w:ascii="Arial" w:cs="Arial" w:eastAsia="Arial" w:hAnsi="Arial"/>
          <w:b/>
          <w:bCs/>
          <w:color w:val="1F3864"/>
          <w:sz w:val="23"/>
          <w:szCs w:val="23"/>
        </w:rPr>
        <w:t xml:space="preserve">Alternativa operativa para Mmeta cuando el producto colapsa</w:t>
      </w:r>
    </w:p>
    <w:p>
      <w:pPr>
        <w:spacing w:after="70" w:before="60"/>
      </w:pPr>
      <w:r>
        <w:rPr>
          <w:rFonts w:ascii="Arial" w:cs="Arial" w:eastAsia="Arial" w:hAnsi="Arial"/>
          <w:sz w:val="22"/>
          <w:szCs w:val="22"/>
        </w:rPr>
        <w:t xml:space="preserve">Si la distribución empírica de Mmeta_n resulta invariablemente cercana a 0 (por efecto del producto de cuatro factores), puede utilizarse la forma ponderada exponencial como alternativa:</w:t>
      </w:r>
    </w:p>
    <w:p>
      <w:pPr>
        <w:shd w:fill="D6E4F0" w:val="clear"/>
        <w:spacing w:after="140" w:before="140"/>
        <w:jc w:val="center"/>
      </w:pPr>
      <w:r>
        <w:rPr>
          <w:rFonts w:ascii="Courier New" w:cs="Courier New" w:eastAsia="Courier New" w:hAnsi="Courier New"/>
          <w:b/>
          <w:bCs/>
          <w:color w:val="1F3864"/>
          <w:sz w:val="24"/>
          <w:szCs w:val="24"/>
        </w:rPr>
        <w:t xml:space="preserve">Mmeta_alt = IBAB_n^α × Ls_n^β × Ceff_n^γ × PS_n^δ</w:t>
      </w:r>
    </w:p>
    <w:p>
      <w:pPr>
        <w:spacing w:after="70" w:before="60"/>
      </w:pPr>
      <w:r>
        <w:rPr>
          <w:rFonts w:ascii="Arial" w:cs="Arial" w:eastAsia="Arial" w:hAnsi="Arial"/>
          <w:sz w:val="22"/>
          <w:szCs w:val="22"/>
        </w:rPr>
        <w:t xml:space="preserve">Con los valores por defecto α = β = γ = δ = 0.25 (media geométrica uniforme), esta forma mantiene la interpretación de (1−Mmeta_n) como factor amortiguador pero distribuye el peso de manera más gradual.</w:t>
      </w:r>
    </w:p>
    <w:p>
      <w:pPr>
        <w:spacing w:after="80" w:before="80"/>
        <w:ind w:left="560"/>
      </w:pPr>
      <w:r>
        <w:rPr>
          <w:rFonts w:ascii="Arial" w:cs="Arial" w:eastAsia="Arial" w:hAnsi="Arial"/>
          <w:b/>
          <w:bCs/>
          <w:i/>
          <w:iCs/>
          <w:color w:val="2E75B6"/>
          <w:sz w:val="20"/>
          <w:szCs w:val="20"/>
        </w:rPr>
        <w:t xml:space="preserve">Condición de activación: </w:t>
      </w:r>
      <w:r>
        <w:rPr>
          <w:rFonts w:ascii="Arial" w:cs="Arial" w:eastAsia="Arial" w:hAnsi="Arial"/>
          <w:i/>
          <w:iCs/>
          <w:sz w:val="20"/>
          <w:szCs w:val="20"/>
        </w:rPr>
        <w:t xml:space="preserve">La forma alternativa solo se activa cuando la distribución empírica de Mmeta_n en el dominio de aplicación es invariablemente cercana a 0 para la mayoría de los casos analizados — por ejemplo, si al calcular Mmeta_n sobre una muestra representativa más del 80% de los valores cae por debajo de 0.10. Si la variabilidad es normal (valores distribuidos entre 0.05 y 0.60), la forma canónica es suficiente. Cuando se activa la alternativa, debe declararse explícitamente en el reporte: "Se utilizó Mmeta_alt (media geométrica, α=β=γ=δ=0.25) por colapso distribucional de la forma canónica en este dominio."</w:t>
      </w:r>
    </w:p>
    <w:p>
      <w:pPr>
        <w:spacing w:after="80" w:before="80"/>
        <w:ind w:left="560"/>
      </w:pPr>
      <w:r>
        <w:rPr>
          <w:rFonts w:ascii="Arial" w:cs="Arial" w:eastAsia="Arial" w:hAnsi="Arial"/>
          <w:b/>
          <w:bCs/>
          <w:i/>
          <w:iCs/>
          <w:color w:val="2E75B6"/>
          <w:sz w:val="20"/>
          <w:szCs w:val="20"/>
        </w:rPr>
        <w:t xml:space="preserve">Convención: </w:t>
      </w:r>
      <w:r>
        <w:rPr>
          <w:rFonts w:ascii="Arial" w:cs="Arial" w:eastAsia="Arial" w:hAnsi="Arial"/>
          <w:i/>
          <w:iCs/>
          <w:sz w:val="20"/>
          <w:szCs w:val="20"/>
        </w:rPr>
        <w:t xml:space="preserve">La forma canónica sigue siendo Mmeta_n = IBAB_n × Ls_n × Ceff_n × PS_n (producto directo). Es la referencia teórica. La forma alternativa es la opción operativa cuando el dominio lo requiere.</w:t>
      </w:r>
    </w:p>
    <w:p>
      <w:pPr>
        <w:spacing w:after="0" w:before="0"/>
      </w:pPr>
      <w:r>
        <w:t xml:space="preserve"/>
      </w:r>
    </w:p>
    <w:p>
      <w:pPr>
        <w:pBdr>
          <w:bottom w:val="single" w:color="2E75B6" w:sz="8" w:space="1"/>
        </w:pBdr>
        <w:spacing w:after="160" w:before="160"/>
      </w:pPr>
      <w:r>
        <w:t xml:space="preserve"/>
      </w:r>
    </w:p>
    <w:p>
      <w:pPr>
        <w:pStyle w:val="Heading1"/>
        <w:spacing w:after="140" w:before="400"/>
      </w:pPr>
      <w:r>
        <w:rPr>
          <w:rFonts w:ascii="Arial" w:cs="Arial" w:eastAsia="Arial" w:hAnsi="Arial"/>
          <w:b/>
          <w:bCs/>
          <w:color w:val="1F3864"/>
          <w:sz w:val="34"/>
          <w:szCs w:val="34"/>
        </w:rPr>
        <w:t xml:space="preserve">CONVENCIÓN DE NOTACIÓN UNIFICADA</w:t>
      </w:r>
    </w:p>
    <w:p>
      <w:pPr>
        <w:spacing w:after="70" w:before="60"/>
      </w:pPr>
      <w:r>
        <w:rPr>
          <w:rFonts w:ascii="Arial" w:cs="Arial" w:eastAsia="Arial" w:hAnsi="Arial"/>
          <w:sz w:val="22"/>
          <w:szCs w:val="22"/>
        </w:rPr>
        <w:t xml:space="preserve">Para garantizar coherencia en validaciones cruzadas entre analistas e IAs, se fija la siguiente convención de notación. Toda publicación o aplicación del modelo debe respetarla: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Símbolo canónico</w:t>
            </w:r>
          </w:p>
        </w:tc>
        <w:tc>
          <w:tcPr>
            <w:tcW w:type="dxa" w:w="3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Descripción</w:t>
            </w:r>
          </w:p>
        </w:tc>
        <w:tc>
          <w:tcPr>
            <w:tcW w:type="dxa" w:w="35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Variantes a evitar</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σ_s</w:t>
            </w:r>
          </w:p>
        </w:tc>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Señal efectiva semiótica</w:t>
            </w:r>
          </w:p>
        </w:tc>
        <w:tc>
          <w:tcPr>
            <w:tcW w:type="dxa" w:w="3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σs, σS</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κ_s</w:t>
            </w:r>
          </w:p>
        </w:tc>
        <w:tc>
          <w:tcPr>
            <w:tcW w:type="dxa" w:w="3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Ruido semántico</w:t>
            </w:r>
          </w:p>
        </w:tc>
        <w:tc>
          <w:tcPr>
            <w:tcW w:type="dxa" w:w="35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κs, κS</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ρ_c</w:t>
            </w:r>
          </w:p>
        </w:tc>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Calidad del canal (densidad de coherencia)</w:t>
            </w:r>
          </w:p>
        </w:tc>
        <w:tc>
          <w:tcPr>
            <w:tcW w:type="dxa" w:w="3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ρ, ρcanal, ρ_canal</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Ceff_n</w:t>
            </w:r>
          </w:p>
        </w:tc>
        <w:tc>
          <w:tcPr>
            <w:tcW w:type="dxa" w:w="3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Capacidad Polisémica Efectiva normalizada</w:t>
            </w:r>
          </w:p>
        </w:tc>
        <w:tc>
          <w:tcPr>
            <w:tcW w:type="dxa" w:w="35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Ceff, ceff_n</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PS_n</w:t>
            </w:r>
          </w:p>
        </w:tc>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Persistencia Semiótica normalizada</w:t>
            </w:r>
          </w:p>
        </w:tc>
        <w:tc>
          <w:tcPr>
            <w:tcW w:type="dxa" w:w="3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PS, ps_n</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Ls_n</w:t>
            </w:r>
          </w:p>
        </w:tc>
        <w:tc>
          <w:tcPr>
            <w:tcW w:type="dxa" w:w="3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Número de Lorenz Semiótico normalizado</w:t>
            </w:r>
          </w:p>
        </w:tc>
        <w:tc>
          <w:tcPr>
            <w:tcW w:type="dxa" w:w="35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Ls, ls_n</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Mmeta_n</w:t>
            </w:r>
          </w:p>
        </w:tc>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Metacomprensión Polisémica normalizada</w:t>
            </w:r>
          </w:p>
        </w:tc>
        <w:tc>
          <w:tcPr>
            <w:tcW w:type="dxa" w:w="3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Mmeta, mmeta</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IAH</w:t>
            </w:r>
          </w:p>
        </w:tc>
        <w:tc>
          <w:tcPr>
            <w:tcW w:type="dxa" w:w="3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Intensidad de Amenaza Hostil (escala 0–100)</w:t>
            </w:r>
          </w:p>
        </w:tc>
        <w:tc>
          <w:tcPr>
            <w:tcW w:type="dxa" w:w="35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IAh, iah</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IDSΨ</w:t>
            </w:r>
          </w:p>
        </w:tc>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Índice de Desalmamiento Semiótico</w:t>
            </w:r>
          </w:p>
        </w:tc>
        <w:tc>
          <w:tcPr>
            <w:tcW w:type="dxa" w:w="3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IDS, IDSψ, IDSP</w:t>
            </w:r>
          </w:p>
        </w:tc>
      </w:tr>
    </w:tbl>
    <w:p>
      <w:pPr>
        <w:spacing w:after="80" w:before="80"/>
        <w:ind w:left="560"/>
      </w:pPr>
      <w:r>
        <w:rPr>
          <w:rFonts w:ascii="Arial" w:cs="Arial" w:eastAsia="Arial" w:hAnsi="Arial"/>
          <w:b/>
          <w:bCs/>
          <w:i/>
          <w:iCs/>
          <w:color w:val="2E75B6"/>
          <w:sz w:val="20"/>
          <w:szCs w:val="20"/>
        </w:rPr>
        <w:t xml:space="preserve">Aplicación: </w:t>
      </w:r>
      <w:r>
        <w:rPr>
          <w:rFonts w:ascii="Arial" w:cs="Arial" w:eastAsia="Arial" w:hAnsi="Arial"/>
          <w:i/>
          <w:iCs/>
          <w:sz w:val="20"/>
          <w:szCs w:val="20"/>
        </w:rPr>
        <w:t xml:space="preserve">Esta tabla aplica a toda nueva publicación, reporte de validación cruzada, o implementación computacional del modelo. Las variantes de notación anteriores que aparezcan en documentos previos son válidas históricamente pero no deben usarse en producción.</w:t>
      </w:r>
    </w:p>
    <w:p>
      <w:pPr>
        <w:spacing w:after="80" w:before="80"/>
        <w:ind w:left="560"/>
      </w:pPr>
      <w:r>
        <w:rPr>
          <w:rFonts w:ascii="Arial" w:cs="Arial" w:eastAsia="Arial" w:hAnsi="Arial"/>
          <w:b/>
          <w:bCs/>
          <w:i/>
          <w:iCs/>
          <w:color w:val="2E75B6"/>
          <w:sz w:val="20"/>
          <w:szCs w:val="20"/>
        </w:rPr>
        <w:t xml:space="preserve">Ejemplo canónico de uso correcto: </w:t>
      </w:r>
      <w:r>
        <w:rPr>
          <w:rFonts w:ascii="Arial" w:cs="Arial" w:eastAsia="Arial" w:hAnsi="Arial"/>
          <w:i/>
          <w:iCs/>
          <w:sz w:val="20"/>
          <w:szCs w:val="20"/>
        </w:rPr>
        <w:t xml:space="preserve">σ_s = 0.70, κ_s = 0.30, ρ_c = 0.60, Ceff_n = 0.42, PS_n = 0.55, Ls_n = 0.38, Mmeta_n = 0.48, IAH = 45, IDSΨ = 0.31. Este ejemplo sirve como referencia de sanidad para validar implementaciones: dado este conjunto de valores, la función unificada debe producir IDSΨ ≈ 0.31.</w:t>
      </w:r>
    </w:p>
    <w:p>
      <w:pPr>
        <w:spacing w:after="0" w:before="0"/>
      </w:pPr>
      <w:r>
        <w:t xml:space="preserve"/>
      </w:r>
    </w:p>
    <w:p>
      <w:pPr>
        <w:pBdr>
          <w:bottom w:val="single" w:color="2E75B6" w:sz="8" w:space="1"/>
        </w:pBdr>
        <w:spacing w:after="160" w:before="160"/>
      </w:pPr>
      <w:r>
        <w:t xml:space="preserve"/>
      </w:r>
    </w:p>
    <w:p>
      <w:pPr>
        <w:pStyle w:val="Heading1"/>
        <w:spacing w:after="140" w:before="400"/>
      </w:pPr>
      <w:r>
        <w:rPr>
          <w:rFonts w:ascii="Arial" w:cs="Arial" w:eastAsia="Arial" w:hAnsi="Arial"/>
          <w:b/>
          <w:bCs/>
          <w:color w:val="1F3864"/>
          <w:sz w:val="34"/>
          <w:szCs w:val="34"/>
        </w:rPr>
        <w:t xml:space="preserve">CLARIFICACIÓN ONTOLÓGICA: IEES EN PLANO A Y PLANO B</w:t>
      </w:r>
    </w:p>
    <w:p>
      <w:pPr>
        <w:spacing w:after="70" w:before="60"/>
      </w:pPr>
      <w:r>
        <w:rPr>
          <w:rFonts w:ascii="Arial" w:cs="Arial" w:eastAsia="Arial" w:hAnsi="Arial"/>
          <w:sz w:val="22"/>
          <w:szCs w:val="22"/>
        </w:rPr>
        <w:t xml:space="preserve">El IEES utiliza la misma fórmula en ambos planos (IEES = INR × (1−IAS_X)), pero su </w:t>
      </w:r>
      <w:r>
        <w:rPr>
          <w:rFonts w:ascii="Arial" w:cs="Arial" w:eastAsia="Arial" w:hAnsi="Arial"/>
          <w:b/>
          <w:bCs/>
          <w:sz w:val="22"/>
          <w:szCs w:val="22"/>
        </w:rPr>
        <w:t xml:space="preserve">interpretación ontológica difiere</w:t>
      </w:r>
      <w:r>
        <w:rPr>
          <w:rFonts w:ascii="Arial" w:cs="Arial" w:eastAsia="Arial" w:hAnsi="Arial"/>
          <w:sz w:val="22"/>
          <w:szCs w:val="22"/>
        </w:rPr>
        <w:t xml:space="preserve"> según el objeto de análisis. Esta distinción no cambia ningún cálculo, pero es necesaria para evitar confusión en análisis mixtos: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4560"/>
      </w:tblGrid>
      <w:tr>
        <w:trPr>
          <w:tblHeader/>
        </w:trPr>
        <w:tc>
          <w:tcPr>
            <w:tcW w:type="dxa" w:w="1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Variante</w:t>
            </w:r>
          </w:p>
        </w:tc>
        <w:tc>
          <w:tcPr>
            <w:tcW w:type="dxa" w:w="1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Plano</w:t>
            </w:r>
          </w:p>
        </w:tc>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Objeto de análisis</w:t>
            </w:r>
          </w:p>
        </w:tc>
        <w:tc>
          <w:tcPr>
            <w:tcW w:type="dxa" w:w="45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Qué mide concretamente</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IEES_A</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 — Semiótico</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texto o discurso como sistema semiótico</w:t>
            </w:r>
          </w:p>
        </w:tc>
        <w:tc>
          <w:tcPr>
            <w:tcW w:type="dxa" w:w="4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Erosión estructural del discurso: el grado en que el texto pierde coherencia semiótica interna por efecto del ruido y la incomprensión del lector/receptor.</w:t>
            </w:r>
          </w:p>
        </w:tc>
      </w:tr>
      <w:tr>
        <w:tc>
          <w:tcPr>
            <w:tcW w:type="dxa" w:w="1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IEES_B</w:t>
            </w:r>
          </w:p>
        </w:tc>
        <w:tc>
          <w:tcPr>
            <w:tcW w:type="dxa" w:w="1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 — Sistémico</w:t>
            </w:r>
          </w:p>
        </w:tc>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agente (persona, organización, sistema real)</w:t>
            </w:r>
          </w:p>
        </w:tc>
        <w:tc>
          <w:tcPr>
            <w:tcW w:type="dxa" w:w="45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Erosión del sistema real: el grado en que el agente pierde su estructura semiótica interna por efecto de amenazas externas e incomprensión del entorno.</w:t>
            </w:r>
          </w:p>
        </w:tc>
      </w:tr>
    </w:tbl>
    <w:p>
      <w:pPr>
        <w:spacing w:after="80" w:before="80"/>
        <w:ind w:left="560"/>
      </w:pPr>
      <w:r>
        <w:rPr>
          <w:rFonts w:ascii="Arial" w:cs="Arial" w:eastAsia="Arial" w:hAnsi="Arial"/>
          <w:b/>
          <w:bCs/>
          <w:i/>
          <w:iCs/>
          <w:color w:val="2E75B6"/>
          <w:sz w:val="20"/>
          <w:szCs w:val="20"/>
        </w:rPr>
        <w:t xml:space="preserve">Uso en la función unificada: </w:t>
      </w:r>
      <w:r>
        <w:rPr>
          <w:rFonts w:ascii="Arial" w:cs="Arial" w:eastAsia="Arial" w:hAnsi="Arial"/>
          <w:i/>
          <w:iCs/>
          <w:sz w:val="20"/>
          <w:szCs w:val="20"/>
        </w:rPr>
        <w:t xml:space="preserve">La función unificada opera con IEES en Plano B (erosión del agente). Cuando se use IEES_A (análisis del discurso), los resultados alimentan el diagnóstico del texto y no deben conectarse directamente con IDSΨ sin transición explícita al Plano B.</w:t>
      </w:r>
    </w:p>
    <w:p>
      <w:pPr>
        <w:spacing w:after="0" w:before="0"/>
      </w:pPr>
      <w:r>
        <w:t xml:space="preserve"/>
      </w:r>
    </w:p>
    <w:p>
      <w:pPr>
        <w:pBdr>
          <w:bottom w:val="single" w:color="2E75B6" w:sz="8" w:space="1"/>
        </w:pBdr>
        <w:spacing w:after="160" w:before="160"/>
      </w:pPr>
      <w:r>
        <w:t xml:space="preserve"/>
      </w:r>
    </w:p>
    <w:p>
      <w:pPr>
        <w:pStyle w:val="Heading1"/>
        <w:spacing w:after="140" w:before="400"/>
      </w:pPr>
      <w:r>
        <w:rPr>
          <w:rFonts w:ascii="Arial" w:cs="Arial" w:eastAsia="Arial" w:hAnsi="Arial"/>
          <w:b/>
          <w:bCs/>
          <w:color w:val="1F3864"/>
          <w:sz w:val="34"/>
          <w:szCs w:val="34"/>
        </w:rPr>
        <w:t xml:space="preserve">RESUMEN CONSOLIDADO DE CORRECCIONES (Claude + DeepSeek +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400"/>
        <w:gridCol w:w="136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Variable / Ajuste</w:t>
            </w:r>
          </w:p>
        </w:tc>
        <w:tc>
          <w:tcPr>
            <w:tcW w:type="dxa" w:w="2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Problema detectado</w:t>
            </w:r>
          </w:p>
        </w:tc>
        <w:tc>
          <w:tcPr>
            <w:tcW w:type="dxa" w:w="3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Corrección aplicada</w:t>
            </w:r>
          </w:p>
        </w:tc>
        <w:tc>
          <w:tcPr>
            <w:tcW w:type="dxa" w:w="1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Origen</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IExap</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Sin techo superior explícito</w:t>
            </w:r>
          </w:p>
        </w:tc>
        <w:tc>
          <w:tcPr>
            <w:tcW w:type="dxa" w:w="3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IExap_n = min(1, IExap_raw)</w:t>
            </w:r>
          </w:p>
        </w:tc>
        <w:tc>
          <w:tcPr>
            <w:tcW w:type="dxa" w:w="1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 anterior</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Ceff</w:t>
            </w:r>
          </w:p>
        </w:tc>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Rango abierto; usado sin normalizar en IDP</w:t>
            </w:r>
          </w:p>
        </w:tc>
        <w:tc>
          <w:tcPr>
            <w:tcW w:type="dxa" w:w="3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Ceff_n = Ceff_raw/(1+Ceff_raw)</w:t>
            </w:r>
          </w:p>
        </w:tc>
        <w:tc>
          <w:tcPr>
            <w:tcW w:type="dxa" w:w="1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 anterior</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η, PS, Ls</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Rangos abiertos</w:t>
            </w:r>
          </w:p>
        </w:tc>
        <w:tc>
          <w:tcPr>
            <w:tcW w:type="dxa" w:w="3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Versiones normalizadas _n con x/(1+x)</w:t>
            </w:r>
          </w:p>
        </w:tc>
        <w:tc>
          <w:tcPr>
            <w:tcW w:type="dxa" w:w="1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 anterior</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IDP</w:t>
            </w:r>
          </w:p>
        </w:tc>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Ceff sin normalizar; cancelación abrupta</w:t>
            </w:r>
          </w:p>
        </w:tc>
        <w:tc>
          <w:tcPr>
            <w:tcW w:type="dxa" w:w="3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IDP = IEES × (1−√Ceff_n) [raíz cuadrada]</w:t>
            </w:r>
          </w:p>
        </w:tc>
        <w:tc>
          <w:tcPr>
            <w:tcW w:type="dxa" w:w="1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 anterior</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Mmeta</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Modulación implícita; componentes en crudo</w:t>
            </w:r>
          </w:p>
        </w:tc>
        <w:tc>
          <w:tcPr>
            <w:tcW w:type="dxa" w:w="3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Mmeta_n normalizado + nota cruzada + alternativa exponencial</w:t>
            </w:r>
          </w:p>
        </w:tc>
        <w:tc>
          <w:tcPr>
            <w:tcW w:type="dxa" w:w="1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 anterior + DeepSeek</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IGM-Cos</w:t>
            </w:r>
          </w:p>
        </w:tc>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Podía dar negativo</w:t>
            </w:r>
          </w:p>
        </w:tc>
        <w:tc>
          <w:tcPr>
            <w:tcW w:type="dxa" w:w="3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Clipping min(1, max(0, …))</w:t>
            </w:r>
          </w:p>
        </w:tc>
        <w:tc>
          <w:tcPr>
            <w:tcW w:type="dxa" w:w="1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 anterior</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IPEM-Cos</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 aseguraba rango [0,1]</w:t>
            </w:r>
          </w:p>
        </w:tc>
        <w:tc>
          <w:tcPr>
            <w:tcW w:type="dxa" w:w="3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Reformulado como probabilidad logística O/(1+O)</w:t>
            </w:r>
          </w:p>
        </w:tc>
        <w:tc>
          <w:tcPr>
            <w:tcW w:type="dxa" w:w="1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 anterior</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Bext-Cos, CEE-Cos</w:t>
            </w:r>
          </w:p>
        </w:tc>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Mezclaban score y escala</w:t>
            </w:r>
          </w:p>
        </w:tc>
        <w:tc>
          <w:tcPr>
            <w:tcW w:type="dxa" w:w="3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Separados en _n (score) y _tablero (escala)</w:t>
            </w:r>
          </w:p>
        </w:tc>
        <w:tc>
          <w:tcPr>
            <w:tcW w:type="dxa" w:w="1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 anterior</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VDA-Cos</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Tratado como métrica escalar</w:t>
            </w:r>
          </w:p>
        </w:tc>
        <w:tc>
          <w:tcPr>
            <w:tcW w:type="dxa" w:w="3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Declarado explícitamente como sistema lógico condicional</w:t>
            </w:r>
          </w:p>
        </w:tc>
        <w:tc>
          <w:tcPr>
            <w:tcW w:type="dxa" w:w="1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 anterior + GPT</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IEES duplicado</w:t>
            </w:r>
          </w:p>
        </w:tc>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Dos entradas con tablas inconsistentes</w:t>
            </w:r>
          </w:p>
        </w:tc>
        <w:tc>
          <w:tcPr>
            <w:tcW w:type="dxa" w:w="3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Entrada 26 eliminada. Tabla unificada en entrada 16.</w:t>
            </w:r>
          </w:p>
        </w:tc>
        <w:tc>
          <w:tcPr>
            <w:tcW w:type="dxa" w:w="1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Claude</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Función unificada IDSΨ</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Fuera del cuerpo; IDCS vs. IAS_X sin justificar</w:t>
            </w:r>
          </w:p>
        </w:tc>
        <w:tc>
          <w:tcPr>
            <w:tcW w:type="dxa" w:w="3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Integrada como entrada 28 con derivación completa</w:t>
            </w:r>
          </w:p>
        </w:tc>
        <w:tc>
          <w:tcPr>
            <w:tcW w:type="dxa" w:w="1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Claude + GPT</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IAH: escala implícita</w:t>
            </w:r>
          </w:p>
        </w:tc>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denominador 100 no estaba documentado</w:t>
            </w:r>
          </w:p>
        </w:tc>
        <w:tc>
          <w:tcPr>
            <w:tcW w:type="dxa" w:w="3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Escala 0–100 declarada; saturación tanh(1)≈0.76 explicada</w:t>
            </w:r>
          </w:p>
        </w:tc>
        <w:tc>
          <w:tcPr>
            <w:tcW w:type="dxa" w:w="1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DeepSeek</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Jerarquía cadena IDP vs. función unificada</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 estaba explícita</w:t>
            </w:r>
          </w:p>
        </w:tc>
        <w:tc>
          <w:tcPr>
            <w:tcW w:type="dxa" w:w="3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Función unificada = referencia canónica; cadena IDP = herramienta diagnóstica</w:t>
            </w:r>
          </w:p>
        </w:tc>
        <w:tc>
          <w:tcPr>
            <w:tcW w:type="dxa" w:w="1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DeepSeek</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Notación inconsistente (σs/σ_s, κs/κ_s, ρ/ρ_c)</w:t>
            </w:r>
          </w:p>
        </w:tc>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Variaciones no normalizadas en el cuerpo</w:t>
            </w:r>
          </w:p>
        </w:tc>
        <w:tc>
          <w:tcPr>
            <w:tcW w:type="dxa" w:w="3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Tabla de convención de notación unificada añadida</w:t>
            </w:r>
          </w:p>
        </w:tc>
        <w:tc>
          <w:tcPr>
            <w:tcW w:type="dxa" w:w="1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GPT</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IEES_A vs. IEES_B</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Mismo IEES en dos planos sin distinción ontológica</w:t>
            </w:r>
          </w:p>
        </w:tc>
        <w:tc>
          <w:tcPr>
            <w:tcW w:type="dxa" w:w="3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Distinción explícita: IEES_A (discurso) y IEES_B (agente)</w:t>
            </w:r>
          </w:p>
        </w:tc>
        <w:tc>
          <w:tcPr>
            <w:tcW w:type="dxa" w:w="1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GPT</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ICRA: riesgo de mala aplicación</w:t>
            </w:r>
          </w:p>
        </w:tc>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Podía interpretarse como métrica de sistemas reales</w:t>
            </w:r>
          </w:p>
        </w:tc>
        <w:tc>
          <w:tcPr>
            <w:tcW w:type="dxa" w:w="3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Nota aclaratoria: ICRA describe condiciones de diseño óptimo, no sistemas reales</w:t>
            </w:r>
          </w:p>
        </w:tc>
        <w:tc>
          <w:tcPr>
            <w:tcW w:type="dxa" w:w="1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GPT</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IDCS: distinción contradicción de potencia vs. contenido</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Joya conceptual no suficientemente destacada</w:t>
            </w:r>
          </w:p>
        </w:tc>
        <w:tc>
          <w:tcPr>
            <w:tcW w:type="dxa" w:w="3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Nota canónica destacada en sección IDCS</w:t>
            </w:r>
          </w:p>
        </w:tc>
        <w:tc>
          <w:tcPr>
            <w:tcW w:type="dxa" w:w="1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GPT</w:t>
            </w:r>
          </w:p>
        </w:tc>
      </w:tr>
    </w:tbl>
    <w:p>
      <w:pPr>
        <w:spacing w:after="0" w:before="0"/>
      </w:pPr>
      <w:r>
        <w:t xml:space="preserve"/>
      </w:r>
    </w:p>
    <w:p>
      <w:pPr>
        <w:spacing w:after="0" w:before="0"/>
      </w:pPr>
      <w:r>
        <w:t xml:space="preserve"/>
      </w:r>
    </w:p>
    <w:p>
      <w:pPr>
        <w:spacing w:after="160" w:before="160"/>
        <w:jc w:val="center"/>
      </w:pPr>
      <w:r>
        <w:rPr>
          <w:rFonts w:ascii="Arial" w:cs="Arial" w:eastAsia="Arial" w:hAnsi="Arial"/>
          <w:i/>
          <w:iCs/>
          <w:color w:val="999999"/>
          <w:sz w:val="19"/>
          <w:szCs w:val="19"/>
        </w:rPr>
        <w:t xml:space="preserve">Modelo Cosmosemiótico — Versión Canónica Definitiva  |  Consolidación Claude + DeepSeek + GPT</w:t>
      </w:r>
    </w:p>
    <w:sectPr>
      <w:headerReference w:type="default" r:id="rId7"/>
      <w:footerReference w:type="default" r:id="rId8"/>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8"/>
        <w:szCs w:val="18"/>
      </w:rPr>
      <w:t xml:space="preserve">Pág.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Consolidación Claude + DeepSeek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888888"/>
        <w:sz w:val="18"/>
        <w:szCs w:val="18"/>
      </w:rPr>
      <w:t xml:space="preserve">Modelo Cosmosemiótico — Fórmulas Homologadas (Versión Final Revisada)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2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2026-04-01T16:40:16.647Z</dcterms:created>
  <dcterms:modified xsi:type="dcterms:W3CDTF">2026-04-01T16:40:16.649Z</dcterms:modified>
</cp:coreProperties>
</file>

<file path=docProps/custom.xml><?xml version="1.0" encoding="utf-8"?>
<Properties xmlns="http://schemas.openxmlformats.org/officeDocument/2006/custom-properties" xmlns:vt="http://schemas.openxmlformats.org/officeDocument/2006/docPropsVTypes"/>
</file>