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TABLE OF CONTENT</w:t>
      </w:r>
    </w:p>
    <w:p w:rsidR="00000000" w:rsidDel="00000000" w:rsidP="00000000" w:rsidRDefault="00000000" w:rsidRPr="00000000" w14:paraId="00000002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75"/>
        <w:gridCol w:w="27"/>
        <w:gridCol w:w="6598"/>
        <w:gridCol w:w="555"/>
        <w:gridCol w:w="787"/>
        <w:tblGridChange w:id="0">
          <w:tblGrid>
            <w:gridCol w:w="1575"/>
            <w:gridCol w:w="27"/>
            <w:gridCol w:w="6598"/>
            <w:gridCol w:w="555"/>
            <w:gridCol w:w="7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No.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LITERATURE REVIEW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3.1 Background on Embeddings and Drug Repurposing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3.1.1 Seq2seq Fingerprint: An Unsupervised Deep Molecular Embedding for Drug Discovery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3.1.2 Predicting New Molecular Targets for Known Drug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3.1.3 Drug Target Identification Using Side-Effect Similarity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3.2 Generating Embeddings for SMILES</w:t>
              <w:tab/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3.2.1 SMILES2Vec: An Interpretable General-Purpose Deep Neural Network for Predicting Chemical Properties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3.2.2 SPVec: A Word2vec-Inspired Feature Drug-Target Interaction Prediction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3.2.3 Mol2vec: Unsupervised Machine Learning Approach with Chemical Intuition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3.2.4 SWeeP: Representing Large Biological Sequences Datasets in Compact Vectors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 Generating Embeddings for Gene Expression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3.3.1 Drug Repurposing Using Deep Embeddings of Gene Expression Profiles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3.3.2 A Large-Scale Gene Expression Intensity-Based Similarity Metric for Drug Repositioning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3.3.3 Gene2vec: Distributed Representation of Genes Based on Co-Expression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3.3.4 Deep Learning Applications for Predicting Pharmacological Properties of Drugs and Drug Repurposing Using Transcriptomic Data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3.3.5 Continuous Distributed Representation of Biological Sequences for Deep Proteomics and Genomics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3.3.6 Drug Repositioning: A Machine-Learning Approach Through Data Integration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3.4 Adverse Drug Reactions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3.4.1 Systematic Drug Repositioning Based on Clinical Side- Effects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3.4.2 Predicting ADR of Combined Medication from Heterogeneous Pharmacologic Databases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3.4.3 Predicting Adverse Drug Reactions Through Interpretable Deep Learning Framework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ind w:left="705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3.4.4 Detecting Potential Adverse Drug Reactions Using a Deep Neural Network 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4.1 Overview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4.2 SMILES: Structural Indication of a Drug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4.3 LINCS: Functional Indication of a Drug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4.4 Combined Feature Set for ADR Detection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4.5 Classification Systems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ind w:left="526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4.5.1 ATC: Anatomical Therapeutic Chemical Classification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ind w:left="526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4.5.2 SIDER: Side Effects Resource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ind w:left="526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4.5.3 Adverse effects combined dataset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REQUIREMENTS SPECIFICATION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DESIGN (detailed)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IMPLEMENTATION AND PSEUDOCODE (if applicable)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 OF CAPSTONE PROJECT PHASE-1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OF WORK FOR CAPSTONE PROJECT PHASE-2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REFERENCE/ BIBLIOGRAPHY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a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APPENDIX A DEFINITIONS, ACRONYMS AND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ABBREVIATIONS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a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APPENDIX B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USER MANUAL (OPTIONAL)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80" w:lineRule="auto"/>
        <w:rPr>
          <w:rFonts w:ascii="Times New Roman" w:cs="Times New Roman" w:eastAsia="Times New Roman" w:hAnsi="Times New Roman"/>
        </w:rPr>
        <w:sectPr>
          <w:footerReference r:id="rId8" w:type="default"/>
          <w:footerReference r:id="rId9" w:type="even"/>
          <w:pgSz w:h="16838" w:w="11906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LIST OF FIGURES </w:t>
      </w:r>
    </w:p>
    <w:p w:rsidR="00000000" w:rsidDel="00000000" w:rsidP="00000000" w:rsidRDefault="00000000" w:rsidRPr="00000000" w14:paraId="000000DF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  <w:sectPr>
          <w:type w:val="continuous"/>
          <w:pgSz w:h="16838" w:w="11906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45"/>
        <w:gridCol w:w="360"/>
        <w:gridCol w:w="6390"/>
        <w:gridCol w:w="450"/>
        <w:gridCol w:w="1077"/>
        <w:tblGridChange w:id="0">
          <w:tblGrid>
            <w:gridCol w:w="1345"/>
            <w:gridCol w:w="360"/>
            <w:gridCol w:w="6390"/>
            <w:gridCol w:w="450"/>
            <w:gridCol w:w="107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Figure No.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Figure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ADRs caused by drugs when used separately as compared to used together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Figure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Representation of the L1000 Assay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Figure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Combined feature set for ADR prediction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Figure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Representation of the combine feature set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Figure 44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Graph of testing and training losses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48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FF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8" w:w="11906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LIST OF TABLES</w:t>
      </w:r>
    </w:p>
    <w:p w:rsidR="00000000" w:rsidDel="00000000" w:rsidP="00000000" w:rsidRDefault="00000000" w:rsidRPr="00000000" w14:paraId="00000103">
      <w:pPr>
        <w:tabs>
          <w:tab w:val="left" w:leader="none" w:pos="540"/>
        </w:tabs>
        <w:spacing w:line="24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6.000000000002" w:type="dxa"/>
        <w:jc w:val="left"/>
        <w:tblInd w:w="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1"/>
        <w:gridCol w:w="314"/>
        <w:gridCol w:w="6352"/>
        <w:gridCol w:w="432"/>
        <w:gridCol w:w="1137"/>
        <w:tblGridChange w:id="0">
          <w:tblGrid>
            <w:gridCol w:w="1181"/>
            <w:gridCol w:w="314"/>
            <w:gridCol w:w="6352"/>
            <w:gridCol w:w="432"/>
            <w:gridCol w:w="11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a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Statistics of the L100 Assay</w:t>
                <w:tab/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22"/>
              </w:tabs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0E">
      <w:pPr>
        <w:spacing w:line="48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I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xLzRaxGh0fTgzlXiH-5RgoxpmOZgtX9RD5OH3Dfigw/edit#heading%3Dh.qzpp4n2gssp1" TargetMode="External"/><Relationship Id="rId7" Type="http://schemas.openxmlformats.org/officeDocument/2006/relationships/hyperlink" Target="https://docs.google.com/document/d/1sxLzRaxGh0fTgzlXiH-5RgoxpmOZgtX9RD5OH3Dfigw/edit#heading%3Dh.mywen4vn97v4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