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5C11" w:rsidRDefault="00225C11" w:rsidP="00225C11">
      <w:pPr>
        <w:pStyle w:val="Heading1"/>
      </w:pPr>
      <w:r>
        <w:t xml:space="preserve">Working Title: </w:t>
      </w:r>
    </w:p>
    <w:p w:rsidR="00225C11" w:rsidRDefault="006259CF" w:rsidP="00225C11">
      <w:pPr>
        <w:pStyle w:val="PlainText"/>
        <w:rPr>
          <w:b/>
          <w:bCs/>
        </w:rPr>
      </w:pPr>
      <w:r w:rsidRPr="006259CF">
        <w:rPr>
          <w:b/>
          <w:bCs/>
        </w:rPr>
        <w:t>Data Management: Make sense of the complexity around data storage, description, re-use and archiving</w:t>
      </w:r>
      <w:r w:rsidR="00225C11">
        <w:rPr>
          <w:b/>
          <w:bCs/>
        </w:rPr>
        <w:t>.</w:t>
      </w:r>
    </w:p>
    <w:p w:rsidR="00225C11" w:rsidRDefault="00225C11" w:rsidP="008A07CB">
      <w:pPr>
        <w:pStyle w:val="PlainText"/>
      </w:pPr>
      <w:r>
        <w:t>The research data landscape is evolving.  International publishers and funders are now mandating for best practice in data planning, description, storage, and sharing.</w:t>
      </w:r>
      <w:r w:rsidR="008A07CB">
        <w:t xml:space="preserve">  However </w:t>
      </w:r>
      <w:r w:rsidR="00D1554A">
        <w:t>data</w:t>
      </w:r>
      <w:r w:rsidR="008A07CB">
        <w:t xml:space="preserve"> sensitivities still need to be understood and managed.</w:t>
      </w:r>
      <w:r>
        <w:t xml:space="preserve">  </w:t>
      </w:r>
      <w:r w:rsidR="008A07CB">
        <w:t xml:space="preserve">This </w:t>
      </w:r>
      <w:r w:rsidR="00D1554A">
        <w:t>discussion</w:t>
      </w:r>
      <w:r w:rsidR="008A07CB">
        <w:t xml:space="preserve"> will cover g</w:t>
      </w:r>
      <w:r w:rsidR="008A07CB" w:rsidRPr="008A07CB">
        <w:t>eneral best-practice principles of management, stora</w:t>
      </w:r>
      <w:r w:rsidR="008A07CB">
        <w:t xml:space="preserve">ge and sharing of research data.  </w:t>
      </w:r>
      <w:r w:rsidR="00D1554A">
        <w:t xml:space="preserve">Using the </w:t>
      </w:r>
      <w:proofErr w:type="spellStart"/>
      <w:r w:rsidR="00D1554A">
        <w:t>DMPt</w:t>
      </w:r>
      <w:proofErr w:type="spellEnd"/>
      <w:r w:rsidR="00D1554A">
        <w:t xml:space="preserve"> as a guide, it</w:t>
      </w:r>
      <w:r w:rsidR="008A07CB">
        <w:t xml:space="preserve"> will include p</w:t>
      </w:r>
      <w:r w:rsidR="008A07CB" w:rsidRPr="008A07CB">
        <w:t xml:space="preserve">ractical tips for improving data management practices that </w:t>
      </w:r>
      <w:r w:rsidR="008A07CB">
        <w:t xml:space="preserve">can </w:t>
      </w:r>
      <w:r w:rsidR="00D1554A">
        <w:t xml:space="preserve">be </w:t>
      </w:r>
      <w:r w:rsidR="008A07CB">
        <w:t>implement</w:t>
      </w:r>
      <w:r w:rsidR="00D1554A">
        <w:t>ed</w:t>
      </w:r>
      <w:r w:rsidR="008A07CB">
        <w:t xml:space="preserve"> immediately regardless of the type of data.  By attending students should feel better </w:t>
      </w:r>
      <w:r w:rsidR="008A07CB" w:rsidRPr="008A07CB">
        <w:t xml:space="preserve">prepared </w:t>
      </w:r>
      <w:r w:rsidR="008A07CB">
        <w:t>to respond to</w:t>
      </w:r>
      <w:r w:rsidR="008A07CB" w:rsidRPr="008A07CB">
        <w:t xml:space="preserve"> university, employer, funder and/or publisher data requirements</w:t>
      </w:r>
      <w:r w:rsidR="008A07CB">
        <w:t>.</w:t>
      </w:r>
      <w:r w:rsidR="006259CF">
        <w:t xml:space="preserve"> </w:t>
      </w:r>
    </w:p>
    <w:p w:rsidR="00225C11" w:rsidRDefault="00225C11" w:rsidP="00225C11"/>
    <w:p w:rsidR="003E0481" w:rsidRDefault="00225C11" w:rsidP="00225C11">
      <w:pPr>
        <w:pStyle w:val="Heading1"/>
      </w:pPr>
      <w:r>
        <w:t>Learning Objectives:</w:t>
      </w:r>
    </w:p>
    <w:p w:rsidR="00225C11" w:rsidRDefault="00225C11" w:rsidP="00225C11">
      <w:r>
        <w:t>Students will be able to:</w:t>
      </w:r>
    </w:p>
    <w:p w:rsidR="00225C11" w:rsidRDefault="00225C11" w:rsidP="00225C11">
      <w:pPr>
        <w:pStyle w:val="ListParagraph"/>
        <w:numPr>
          <w:ilvl w:val="0"/>
          <w:numId w:val="2"/>
        </w:numPr>
      </w:pPr>
      <w:r>
        <w:t>Think critically about best practice in the management, storage and sharing of research data</w:t>
      </w:r>
      <w:r w:rsidR="006259CF">
        <w:t xml:space="preserve">, relating it to their </w:t>
      </w:r>
      <w:r w:rsidR="008A07CB">
        <w:t>discipline</w:t>
      </w:r>
      <w:r w:rsidR="006259CF">
        <w:t xml:space="preserve"> and research practices.</w:t>
      </w:r>
    </w:p>
    <w:p w:rsidR="00225C11" w:rsidRDefault="00225C11" w:rsidP="00225C11">
      <w:pPr>
        <w:pStyle w:val="ListParagraph"/>
        <w:numPr>
          <w:ilvl w:val="0"/>
          <w:numId w:val="2"/>
        </w:numPr>
      </w:pPr>
      <w:r>
        <w:t>Share and discuss perso</w:t>
      </w:r>
      <w:r w:rsidR="006259CF">
        <w:t>nal data management experiences.</w:t>
      </w:r>
    </w:p>
    <w:p w:rsidR="00225C11" w:rsidRDefault="00D57FF9" w:rsidP="00225C11">
      <w:pPr>
        <w:pStyle w:val="ListParagraph"/>
        <w:numPr>
          <w:ilvl w:val="0"/>
          <w:numId w:val="2"/>
        </w:numPr>
      </w:pPr>
      <w:r>
        <w:t xml:space="preserve">Examine their current practices within conversations around </w:t>
      </w:r>
      <w:r w:rsidR="0015350F">
        <w:t xml:space="preserve">the Otago </w:t>
      </w:r>
      <w:proofErr w:type="spellStart"/>
      <w:r w:rsidR="0015350F">
        <w:t>DMPt</w:t>
      </w:r>
      <w:proofErr w:type="spellEnd"/>
      <w:r w:rsidR="006259CF">
        <w:t>.</w:t>
      </w:r>
    </w:p>
    <w:p w:rsidR="006259CF" w:rsidRDefault="006259CF" w:rsidP="00225C11">
      <w:pPr>
        <w:pStyle w:val="ListParagraph"/>
        <w:numPr>
          <w:ilvl w:val="0"/>
          <w:numId w:val="2"/>
        </w:numPr>
      </w:pPr>
      <w:r>
        <w:t>U</w:t>
      </w:r>
      <w:r w:rsidR="00D1554A">
        <w:t>nderstand and u</w:t>
      </w:r>
      <w:r>
        <w:t>se the University of Otago DMP tool.</w:t>
      </w:r>
    </w:p>
    <w:p w:rsidR="00225C11" w:rsidRDefault="00225C11" w:rsidP="00D57FF9">
      <w:pPr>
        <w:pStyle w:val="Heading1"/>
      </w:pPr>
      <w:r>
        <w:t>Resources Required:</w:t>
      </w:r>
    </w:p>
    <w:p w:rsidR="00D57FF9" w:rsidRDefault="00D57FF9" w:rsidP="00D57FF9">
      <w:r>
        <w:t>PowerPoint Presentation</w:t>
      </w:r>
    </w:p>
    <w:p w:rsidR="00D57FF9" w:rsidRDefault="00D57FF9" w:rsidP="00D57FF9">
      <w:r>
        <w:t>Internet and projector connected Laptop (if a tutor machine is not available)</w:t>
      </w:r>
      <w:r w:rsidR="00CE7BE5">
        <w:t xml:space="preserve"> – go live</w:t>
      </w:r>
    </w:p>
    <w:p w:rsidR="00FE4248" w:rsidRDefault="00D1554A" w:rsidP="00D1554A">
      <w:pPr>
        <w:pStyle w:val="Header"/>
      </w:pPr>
      <w:r>
        <w:t>Research Data Management: Practical Tips and Tricks for All Researchers –</w:t>
      </w:r>
      <w:r w:rsidR="00FE4248">
        <w:t xml:space="preserve"> handout</w:t>
      </w:r>
    </w:p>
    <w:p w:rsidR="00D1554A" w:rsidRDefault="00D1554A" w:rsidP="00D1554A">
      <w:pPr>
        <w:pStyle w:val="Header"/>
      </w:pPr>
    </w:p>
    <w:p w:rsidR="003E1BDD" w:rsidRDefault="00D1554A" w:rsidP="00D57FF9">
      <w:proofErr w:type="spellStart"/>
      <w:r>
        <w:t>DMPt</w:t>
      </w:r>
      <w:proofErr w:type="spellEnd"/>
      <w:r w:rsidR="003E1BDD">
        <w:t xml:space="preserve"> handout</w:t>
      </w:r>
    </w:p>
    <w:p w:rsidR="00D57FF9" w:rsidRDefault="00D57FF9" w:rsidP="00D57FF9">
      <w:pPr>
        <w:pStyle w:val="Heading1"/>
      </w:pPr>
      <w:r>
        <w:t>Lesson Outline:</w:t>
      </w:r>
    </w:p>
    <w:p w:rsidR="00AA3C6B" w:rsidRPr="00AA3C6B" w:rsidRDefault="00F148A3" w:rsidP="00AA3C6B">
      <w:r>
        <w:t xml:space="preserve">Below is an order of activities assuming the </w:t>
      </w:r>
      <w:r w:rsidR="00D1554A">
        <w:t>discussion</w:t>
      </w:r>
      <w:r>
        <w:t xml:space="preserve"> is </w:t>
      </w:r>
      <w:proofErr w:type="gramStart"/>
      <w:r>
        <w:t>structured.</w:t>
      </w:r>
      <w:proofErr w:type="gramEnd"/>
      <w:r>
        <w:t xml:space="preserve">  </w:t>
      </w:r>
      <w:r w:rsidRPr="00CE7BE5">
        <w:rPr>
          <w:highlight w:val="yellow"/>
        </w:rPr>
        <w:t>However, be prepared to deviate to address specific int</w:t>
      </w:r>
      <w:r w:rsidR="00D1554A" w:rsidRPr="00CE7BE5">
        <w:rPr>
          <w:highlight w:val="yellow"/>
        </w:rPr>
        <w:t>erests or concerns that arise.</w:t>
      </w:r>
    </w:p>
    <w:tbl>
      <w:tblPr>
        <w:tblStyle w:val="TableGrid"/>
        <w:tblW w:w="0" w:type="auto"/>
        <w:tblLook w:val="04A0" w:firstRow="1" w:lastRow="0" w:firstColumn="1" w:lastColumn="0" w:noHBand="0" w:noVBand="1"/>
      </w:tblPr>
      <w:tblGrid>
        <w:gridCol w:w="8099"/>
        <w:gridCol w:w="917"/>
      </w:tblGrid>
      <w:tr w:rsidR="00400B77" w:rsidTr="00400B77">
        <w:tc>
          <w:tcPr>
            <w:tcW w:w="7366" w:type="dxa"/>
            <w:shd w:val="clear" w:color="auto" w:fill="BFBFBF" w:themeFill="background1" w:themeFillShade="BF"/>
          </w:tcPr>
          <w:p w:rsidR="00400B77" w:rsidRDefault="00400B77" w:rsidP="00D57FF9">
            <w:r>
              <w:t>Activity</w:t>
            </w:r>
          </w:p>
        </w:tc>
        <w:tc>
          <w:tcPr>
            <w:tcW w:w="1650" w:type="dxa"/>
            <w:shd w:val="clear" w:color="auto" w:fill="BFBFBF" w:themeFill="background1" w:themeFillShade="BF"/>
          </w:tcPr>
          <w:p w:rsidR="00400B77" w:rsidRDefault="00400B77" w:rsidP="00D57FF9">
            <w:r>
              <w:t>Time</w:t>
            </w:r>
            <w:r w:rsidR="00E64882">
              <w:t xml:space="preserve"> Guideline</w:t>
            </w:r>
          </w:p>
        </w:tc>
      </w:tr>
      <w:tr w:rsidR="00400B77" w:rsidTr="008A07CB">
        <w:tc>
          <w:tcPr>
            <w:tcW w:w="7366" w:type="dxa"/>
            <w:shd w:val="clear" w:color="auto" w:fill="auto"/>
          </w:tcPr>
          <w:p w:rsidR="00400B77" w:rsidRPr="00CE7BE5" w:rsidRDefault="00AA3C6B" w:rsidP="00D57FF9">
            <w:pPr>
              <w:rPr>
                <w:b/>
              </w:rPr>
            </w:pPr>
            <w:r w:rsidRPr="00CE7BE5">
              <w:rPr>
                <w:b/>
              </w:rPr>
              <w:t>Introduction:</w:t>
            </w:r>
          </w:p>
          <w:p w:rsidR="00AA3C6B" w:rsidRPr="008A07CB" w:rsidRDefault="00AA3C6B" w:rsidP="00D57FF9">
            <w:r w:rsidRPr="008A07CB">
              <w:t>Greet s</w:t>
            </w:r>
            <w:r w:rsidR="008A07CB" w:rsidRPr="008A07CB">
              <w:t>tudents and introduce presenter</w:t>
            </w:r>
            <w:r w:rsidR="00D1554A">
              <w:t>s</w:t>
            </w:r>
          </w:p>
          <w:p w:rsidR="00E15926" w:rsidRPr="008A07CB" w:rsidRDefault="00E15926" w:rsidP="00D57FF9"/>
        </w:tc>
        <w:tc>
          <w:tcPr>
            <w:tcW w:w="1650" w:type="dxa"/>
            <w:shd w:val="clear" w:color="auto" w:fill="auto"/>
          </w:tcPr>
          <w:p w:rsidR="00400B77" w:rsidRPr="008A07CB" w:rsidRDefault="00FE4248" w:rsidP="00D57FF9">
            <w:r w:rsidRPr="008A07CB">
              <w:t>2m</w:t>
            </w:r>
          </w:p>
        </w:tc>
      </w:tr>
      <w:tr w:rsidR="00400B77" w:rsidTr="008A07CB">
        <w:tc>
          <w:tcPr>
            <w:tcW w:w="7366" w:type="dxa"/>
            <w:shd w:val="clear" w:color="auto" w:fill="auto"/>
          </w:tcPr>
          <w:p w:rsidR="008A07CB" w:rsidRPr="00CE7BE5" w:rsidRDefault="00AA3C6B" w:rsidP="00D57FF9">
            <w:pPr>
              <w:rPr>
                <w:b/>
              </w:rPr>
            </w:pPr>
            <w:r w:rsidRPr="00CE7BE5">
              <w:rPr>
                <w:b/>
              </w:rPr>
              <w:t>First Activity:</w:t>
            </w:r>
            <w:r w:rsidR="00F45669" w:rsidRPr="00CE7BE5">
              <w:rPr>
                <w:b/>
              </w:rPr>
              <w:t xml:space="preserve"> </w:t>
            </w:r>
          </w:p>
          <w:p w:rsidR="008A07CB" w:rsidRDefault="008A07CB" w:rsidP="00D1554A">
            <w:pPr>
              <w:rPr>
                <w:b/>
              </w:rPr>
            </w:pPr>
          </w:p>
          <w:p w:rsidR="00D1554A" w:rsidRPr="00CE7BE5" w:rsidRDefault="00D1554A" w:rsidP="00D1554A">
            <w:r w:rsidRPr="00CE7BE5">
              <w:t>What is the Research Data Management Plan? Why do you need one? Who has one?</w:t>
            </w:r>
          </w:p>
          <w:p w:rsidR="00D1554A" w:rsidRPr="00D1554A" w:rsidRDefault="00D1554A" w:rsidP="00D1554A">
            <w:pPr>
              <w:rPr>
                <w:b/>
              </w:rPr>
            </w:pPr>
          </w:p>
        </w:tc>
        <w:tc>
          <w:tcPr>
            <w:tcW w:w="1650" w:type="dxa"/>
            <w:shd w:val="clear" w:color="auto" w:fill="auto"/>
          </w:tcPr>
          <w:p w:rsidR="00400B77" w:rsidRPr="008A07CB" w:rsidRDefault="00CE7BE5" w:rsidP="00D57FF9">
            <w:r>
              <w:t>5</w:t>
            </w:r>
            <w:r w:rsidR="00DD18EF" w:rsidRPr="008A07CB">
              <w:t>m</w:t>
            </w:r>
          </w:p>
        </w:tc>
      </w:tr>
      <w:tr w:rsidR="00400B77" w:rsidTr="00400B77">
        <w:tc>
          <w:tcPr>
            <w:tcW w:w="7366" w:type="dxa"/>
          </w:tcPr>
          <w:p w:rsidR="00400B77" w:rsidRPr="00CE7BE5" w:rsidRDefault="00AA3C6B" w:rsidP="00D57FF9">
            <w:pPr>
              <w:rPr>
                <w:b/>
              </w:rPr>
            </w:pPr>
            <w:r w:rsidRPr="00CE7BE5">
              <w:rPr>
                <w:b/>
              </w:rPr>
              <w:t>Second Activity:</w:t>
            </w:r>
            <w:r w:rsidR="00F45669" w:rsidRPr="00CE7BE5">
              <w:rPr>
                <w:b/>
              </w:rPr>
              <w:t xml:space="preserve"> </w:t>
            </w:r>
            <w:r w:rsidR="00D1554A" w:rsidRPr="00CE7BE5">
              <w:rPr>
                <w:b/>
              </w:rPr>
              <w:t>Introduce</w:t>
            </w:r>
            <w:r w:rsidR="00C30913" w:rsidRPr="00CE7BE5">
              <w:rPr>
                <w:b/>
              </w:rPr>
              <w:t xml:space="preserve"> the Otago </w:t>
            </w:r>
            <w:proofErr w:type="spellStart"/>
            <w:r w:rsidR="00C30913" w:rsidRPr="00CE7BE5">
              <w:rPr>
                <w:b/>
              </w:rPr>
              <w:t>DMPt</w:t>
            </w:r>
            <w:proofErr w:type="spellEnd"/>
          </w:p>
          <w:p w:rsidR="00F45669" w:rsidRDefault="00C30913" w:rsidP="00D57FF9">
            <w:r>
              <w:t>-Paper version</w:t>
            </w:r>
            <w:r w:rsidR="00654BBC">
              <w:t xml:space="preserve"> – they are welcome to fill as we go</w:t>
            </w:r>
          </w:p>
          <w:p w:rsidR="00C30913" w:rsidRDefault="00C30913" w:rsidP="00D57FF9">
            <w:r>
              <w:t>-Online version in two parts</w:t>
            </w:r>
          </w:p>
          <w:p w:rsidR="00C30913" w:rsidRDefault="00C30913" w:rsidP="00D57FF9">
            <w:r>
              <w:t>-No mandatory fields – living document you complete gradually over time</w:t>
            </w:r>
          </w:p>
          <w:p w:rsidR="00C30913" w:rsidRDefault="00C30913" w:rsidP="00D57FF9">
            <w:r>
              <w:t xml:space="preserve">-Captures bibliographic metadata more so than Subject Specific metadata </w:t>
            </w:r>
            <w:r w:rsidR="00654BBC">
              <w:t>but there is scope for Subject-specific</w:t>
            </w:r>
          </w:p>
          <w:p w:rsidR="00654BBC" w:rsidRDefault="00654BBC" w:rsidP="00D57FF9">
            <w:r>
              <w:t xml:space="preserve">-Digital version allows you to add other researchers and has information hover overs to provide further explanations </w:t>
            </w:r>
          </w:p>
          <w:p w:rsidR="00E15926" w:rsidRDefault="00CE7BE5" w:rsidP="00CE7BE5">
            <w:r>
              <w:lastRenderedPageBreak/>
              <w:t xml:space="preserve">-Influences: DCC and </w:t>
            </w:r>
            <w:proofErr w:type="spellStart"/>
            <w:r>
              <w:t>DMPOnline</w:t>
            </w:r>
            <w:proofErr w:type="spellEnd"/>
          </w:p>
        </w:tc>
        <w:tc>
          <w:tcPr>
            <w:tcW w:w="1650" w:type="dxa"/>
          </w:tcPr>
          <w:p w:rsidR="00400B77" w:rsidRDefault="00CE7BE5" w:rsidP="00D57FF9">
            <w:r>
              <w:lastRenderedPageBreak/>
              <w:t>8</w:t>
            </w:r>
            <w:r w:rsidR="00DD18EF">
              <w:t>m</w:t>
            </w:r>
          </w:p>
        </w:tc>
      </w:tr>
      <w:tr w:rsidR="00400B77" w:rsidTr="008A07CB">
        <w:tc>
          <w:tcPr>
            <w:tcW w:w="7366" w:type="dxa"/>
            <w:shd w:val="clear" w:color="auto" w:fill="auto"/>
          </w:tcPr>
          <w:p w:rsidR="00F45669" w:rsidRDefault="00564AA2" w:rsidP="00D57FF9">
            <w:r>
              <w:t>Third Activity:</w:t>
            </w:r>
            <w:r w:rsidR="00F45669">
              <w:t xml:space="preserve"> </w:t>
            </w:r>
            <w:r w:rsidR="00654BBC">
              <w:t xml:space="preserve">Go through the </w:t>
            </w:r>
            <w:proofErr w:type="spellStart"/>
            <w:r w:rsidR="00654BBC">
              <w:t>DMPt</w:t>
            </w:r>
            <w:proofErr w:type="spellEnd"/>
            <w:r w:rsidR="00654BBC">
              <w:t xml:space="preserve"> and consider what information it is capturing and why:</w:t>
            </w:r>
          </w:p>
          <w:p w:rsidR="00654BBC" w:rsidRDefault="00654BBC" w:rsidP="00D57FF9"/>
          <w:p w:rsidR="00654BBC" w:rsidRDefault="00654BBC" w:rsidP="00D57FF9">
            <w:r>
              <w:t>**Some questions we can feed to the attendees if they don’t themselves</w:t>
            </w:r>
          </w:p>
          <w:p w:rsidR="00654BBC" w:rsidRDefault="00654BBC" w:rsidP="00D57FF9"/>
          <w:p w:rsidR="00400B77" w:rsidRPr="00E15926" w:rsidRDefault="00654BBC" w:rsidP="00D57FF9">
            <w:r>
              <w:rPr>
                <w:b/>
              </w:rPr>
              <w:t>Project description</w:t>
            </w:r>
            <w:r w:rsidR="00E15926">
              <w:rPr>
                <w:b/>
              </w:rPr>
              <w:t xml:space="preserve">: </w:t>
            </w:r>
          </w:p>
          <w:p w:rsidR="00F45669" w:rsidRDefault="00654BBC" w:rsidP="00D57FF9">
            <w:r>
              <w:t xml:space="preserve">Can be used later (copy and paste) to a repository </w:t>
            </w:r>
          </w:p>
          <w:p w:rsidR="00654BBC" w:rsidRDefault="00654BBC" w:rsidP="00D57FF9"/>
          <w:p w:rsidR="00654BBC" w:rsidRDefault="00654BBC" w:rsidP="00D57FF9">
            <w:r>
              <w:t>**Consent - If someone wants to access the data in the future who should be contacted?</w:t>
            </w:r>
          </w:p>
          <w:p w:rsidR="00F45669" w:rsidRDefault="00F45669" w:rsidP="00D57FF9"/>
          <w:p w:rsidR="00F45669" w:rsidRPr="00E15926" w:rsidRDefault="00654BBC" w:rsidP="008A07CB">
            <w:pPr>
              <w:rPr>
                <w:b/>
              </w:rPr>
            </w:pPr>
            <w:r>
              <w:rPr>
                <w:b/>
              </w:rPr>
              <w:t>Dataset Information</w:t>
            </w:r>
            <w:r w:rsidR="00E15926">
              <w:rPr>
                <w:b/>
              </w:rPr>
              <w:t>:</w:t>
            </w:r>
          </w:p>
          <w:p w:rsidR="000324CD" w:rsidRDefault="00654BBC" w:rsidP="00654BBC">
            <w:r>
              <w:t>**Owner/Creator - Researchers who generate data as part of a wider project – do they own the data they collect?  Will they be able to get access to the data if they move on?</w:t>
            </w:r>
          </w:p>
          <w:p w:rsidR="009D092B" w:rsidRDefault="009D092B" w:rsidP="00654BBC"/>
          <w:p w:rsidR="009D092B" w:rsidRDefault="009D092B" w:rsidP="00654BBC">
            <w:r>
              <w:t xml:space="preserve">Creator ID – I use </w:t>
            </w:r>
            <w:proofErr w:type="spellStart"/>
            <w:r>
              <w:t>ORCiD</w:t>
            </w:r>
            <w:proofErr w:type="spellEnd"/>
            <w:r>
              <w:t xml:space="preserve"> **who has an </w:t>
            </w:r>
            <w:proofErr w:type="spellStart"/>
            <w:r>
              <w:t>ORCiD</w:t>
            </w:r>
            <w:proofErr w:type="spellEnd"/>
            <w:r>
              <w:t xml:space="preserve">? [will come back to </w:t>
            </w:r>
            <w:proofErr w:type="spellStart"/>
            <w:r>
              <w:t>ORCiD</w:t>
            </w:r>
            <w:proofErr w:type="spellEnd"/>
            <w:r>
              <w:t>]</w:t>
            </w:r>
          </w:p>
          <w:p w:rsidR="00654BBC" w:rsidRDefault="00654BBC" w:rsidP="00654BBC"/>
          <w:p w:rsidR="00654BBC" w:rsidRDefault="00654BBC" w:rsidP="00654BBC">
            <w:r>
              <w:t>Description – again useful for copy and pasting.</w:t>
            </w:r>
          </w:p>
          <w:p w:rsidR="00654BBC" w:rsidRDefault="00654BBC" w:rsidP="00654BBC"/>
          <w:p w:rsidR="00654BBC" w:rsidRDefault="00654BBC" w:rsidP="00654BBC">
            <w:r>
              <w:t>Start and end dates of data collection are not always the same as the project</w:t>
            </w:r>
          </w:p>
          <w:p w:rsidR="00654BBC" w:rsidRDefault="00654BBC" w:rsidP="00654BBC"/>
          <w:p w:rsidR="009D092B" w:rsidRDefault="00654BBC" w:rsidP="00654BBC">
            <w:r>
              <w:t>**Do you systematically record the tools used to generate data</w:t>
            </w:r>
            <w:r w:rsidR="009D092B">
              <w:t>?</w:t>
            </w:r>
            <w:r>
              <w:t xml:space="preserve"> – how detailed do you go?  - Implications for reproducibility/transparency. </w:t>
            </w:r>
            <w:r w:rsidR="009D092B">
              <w:t xml:space="preserve"> Also note movement towards providing instrument PIDs and encouraging citation culture.</w:t>
            </w:r>
          </w:p>
          <w:p w:rsidR="009D092B" w:rsidRDefault="009D092B" w:rsidP="00654BBC"/>
          <w:p w:rsidR="009D092B" w:rsidRDefault="009D092B" w:rsidP="00654BBC">
            <w:r>
              <w:t>**How proprietary is/are the formats your data are in?  Could you access them in 10 years’ time? Format – start considering long term preservation.  Plus tidy data principles – Have a copy of the raw data that you never touch.  Consider a preservation copy that will be in a non-proprietary format (or at least in a format that is familiar to your research community)</w:t>
            </w:r>
            <w:r w:rsidR="008759BE">
              <w:t>.  Issue of format shifting e.g. what if your external hard drive doesn’t plug into a modern computer in 10 years’ time?</w:t>
            </w:r>
          </w:p>
          <w:p w:rsidR="009D092B" w:rsidRDefault="009D092B" w:rsidP="00654BBC"/>
          <w:p w:rsidR="009D092B" w:rsidRDefault="009D092B" w:rsidP="00654BBC">
            <w:r>
              <w:t xml:space="preserve">Keywords – again useful for copy and pasting later.  </w:t>
            </w:r>
          </w:p>
          <w:p w:rsidR="009D092B" w:rsidRDefault="009D092B" w:rsidP="00654BBC"/>
          <w:p w:rsidR="009D092B" w:rsidRDefault="009D092B" w:rsidP="00654BBC">
            <w:r>
              <w:t>Citations – those publications that cite the data – why this is a living document</w:t>
            </w:r>
          </w:p>
          <w:p w:rsidR="009D092B" w:rsidRDefault="009D092B" w:rsidP="00654BBC"/>
          <w:p w:rsidR="009D092B" w:rsidRDefault="009D092B" w:rsidP="00654BBC">
            <w:r>
              <w:t>Host department – responsible for managing and storing the data</w:t>
            </w:r>
          </w:p>
          <w:p w:rsidR="009D092B" w:rsidRDefault="009D092B" w:rsidP="00654BBC"/>
          <w:p w:rsidR="009D092B" w:rsidRDefault="009D092B" w:rsidP="00654BBC">
            <w:r>
              <w:t>**How easy would you be able to find that dataset a few years on? Location may be physical or digital – Use a stable/persistent URL so a repository with DOI is better than your personal website etc.</w:t>
            </w:r>
            <w:r w:rsidR="008759BE">
              <w:t xml:space="preserve"> </w:t>
            </w:r>
          </w:p>
          <w:p w:rsidR="008759BE" w:rsidRDefault="008759BE" w:rsidP="00654BBC"/>
          <w:p w:rsidR="008759BE" w:rsidRDefault="008759BE" w:rsidP="00654BBC">
            <w:r>
              <w:t xml:space="preserve">Number of files – tidy data principles – keep like with like and be consistent file naming </w:t>
            </w:r>
          </w:p>
          <w:p w:rsidR="008759BE" w:rsidRDefault="008759BE" w:rsidP="00654BBC"/>
          <w:p w:rsidR="008759BE" w:rsidRDefault="008759BE" w:rsidP="00654BBC">
            <w:r>
              <w:t>Space – At start this might be an estimate but it is good to think about this early on because it will help you decide the equipment and storage you will need to manage, work with, and back up the data.</w:t>
            </w:r>
          </w:p>
          <w:p w:rsidR="008759BE" w:rsidRDefault="008759BE" w:rsidP="00654BBC"/>
          <w:p w:rsidR="008759BE" w:rsidRDefault="008759BE" w:rsidP="00654BBC">
            <w:r>
              <w:t xml:space="preserve">**Are you planning on destroying your data after X number of years?  If not have you ensured your ethics and consent reflect this [where applicable].  </w:t>
            </w:r>
          </w:p>
          <w:p w:rsidR="008759BE" w:rsidRDefault="008759BE" w:rsidP="00654BBC">
            <w:r>
              <w:t>**Is it possible you might use the data for a future project?</w:t>
            </w:r>
          </w:p>
          <w:p w:rsidR="008759BE" w:rsidRDefault="008759BE" w:rsidP="00654BBC">
            <w:r>
              <w:t>**Are you planning on making your data available to others?  Do you have a funder or publisher mandate?  Have you accounted for this in ethics and consent [where applicable]</w:t>
            </w:r>
            <w:proofErr w:type="gramStart"/>
            <w:r>
              <w:t>.</w:t>
            </w:r>
            <w:proofErr w:type="gramEnd"/>
            <w:r>
              <w:t xml:space="preserve">  </w:t>
            </w:r>
          </w:p>
          <w:p w:rsidR="008759BE" w:rsidRDefault="008759BE" w:rsidP="00654BBC">
            <w:r>
              <w:lastRenderedPageBreak/>
              <w:t>**How will you share the data?  - Preservation copies and shared copies may not be the same format?  [</w:t>
            </w:r>
            <w:r w:rsidRPr="008759BE">
              <w:rPr>
                <w:highlight w:val="yellow"/>
              </w:rPr>
              <w:t>Fiona to speak about OM experience here</w:t>
            </w:r>
            <w:r>
              <w:t>]</w:t>
            </w:r>
          </w:p>
          <w:p w:rsidR="00654BBC" w:rsidRPr="000324CD" w:rsidRDefault="00654BBC" w:rsidP="008759BE">
            <w:pPr>
              <w:rPr>
                <w:b/>
              </w:rPr>
            </w:pPr>
          </w:p>
        </w:tc>
        <w:tc>
          <w:tcPr>
            <w:tcW w:w="1650" w:type="dxa"/>
          </w:tcPr>
          <w:p w:rsidR="00400B77" w:rsidRDefault="000324CD" w:rsidP="00D57FF9">
            <w:r>
              <w:lastRenderedPageBreak/>
              <w:t>30</w:t>
            </w:r>
            <w:r w:rsidR="00E15926">
              <w:t>m</w:t>
            </w:r>
          </w:p>
        </w:tc>
      </w:tr>
      <w:tr w:rsidR="00FE4248" w:rsidTr="008A07CB">
        <w:tc>
          <w:tcPr>
            <w:tcW w:w="7366" w:type="dxa"/>
            <w:shd w:val="clear" w:color="auto" w:fill="auto"/>
          </w:tcPr>
          <w:p w:rsidR="008759BE" w:rsidRDefault="008759BE" w:rsidP="00D57FF9">
            <w:r>
              <w:t>Four</w:t>
            </w:r>
            <w:r w:rsidR="00FE4248">
              <w:t xml:space="preserve"> Activity:</w:t>
            </w:r>
            <w:r>
              <w:t xml:space="preserve"> </w:t>
            </w:r>
            <w:r w:rsidR="00CE7BE5">
              <w:t xml:space="preserve">Data </w:t>
            </w:r>
            <w:r>
              <w:t>Repositories</w:t>
            </w:r>
            <w:r w:rsidR="002A57CB">
              <w:t xml:space="preserve"> – look at </w:t>
            </w:r>
            <w:proofErr w:type="spellStart"/>
            <w:r w:rsidR="002A57CB">
              <w:t>Figshare</w:t>
            </w:r>
            <w:proofErr w:type="spellEnd"/>
            <w:r w:rsidR="002A57CB">
              <w:t xml:space="preserve"> as example</w:t>
            </w:r>
          </w:p>
          <w:p w:rsidR="00CE7BE5" w:rsidRDefault="008759BE" w:rsidP="00D57FF9">
            <w:r>
              <w:t xml:space="preserve">Subject specific VS </w:t>
            </w:r>
            <w:r w:rsidR="00CE7BE5">
              <w:t>general/institutional</w:t>
            </w:r>
            <w:r w:rsidR="002A57CB">
              <w:t xml:space="preserve"> (</w:t>
            </w:r>
            <w:hyperlink r:id="rId6" w:history="1">
              <w:r w:rsidR="002A57CB">
                <w:rPr>
                  <w:rStyle w:val="Hyperlink"/>
                </w:rPr>
                <w:t>https://www.ncbi.nlm.nih.gov/genbank/samplerecord/</w:t>
              </w:r>
            </w:hyperlink>
            <w:r w:rsidR="002A57CB">
              <w:t xml:space="preserve"> vs </w:t>
            </w:r>
            <w:hyperlink r:id="rId7" w:history="1">
              <w:r w:rsidR="002A57CB">
                <w:rPr>
                  <w:rStyle w:val="Hyperlink"/>
                </w:rPr>
                <w:t>https://figshare.com/articles/Postgraduate_Support_at_Otago_Student_Questionnaire_Answers/7464938</w:t>
              </w:r>
            </w:hyperlink>
            <w:r w:rsidR="002A57CB">
              <w:t>)</w:t>
            </w:r>
          </w:p>
          <w:p w:rsidR="00CE7BE5" w:rsidRDefault="00CE7BE5" w:rsidP="00D57FF9">
            <w:r>
              <w:t xml:space="preserve">-Metadata differences </w:t>
            </w:r>
          </w:p>
          <w:p w:rsidR="00E15926" w:rsidRDefault="00CE7BE5" w:rsidP="00D57FF9">
            <w:r>
              <w:t>-Advantages – PID, Discoverability, Version control, Metrics, Metadata only options</w:t>
            </w:r>
          </w:p>
          <w:p w:rsidR="00FE4248" w:rsidRDefault="00FE4248" w:rsidP="00FE4248"/>
        </w:tc>
        <w:tc>
          <w:tcPr>
            <w:tcW w:w="1650" w:type="dxa"/>
            <w:shd w:val="clear" w:color="auto" w:fill="auto"/>
          </w:tcPr>
          <w:p w:rsidR="00FE4248" w:rsidRDefault="00CE7BE5" w:rsidP="00D57FF9">
            <w:r>
              <w:t>10</w:t>
            </w:r>
            <w:r w:rsidR="00DD18EF">
              <w:t>m</w:t>
            </w:r>
          </w:p>
        </w:tc>
      </w:tr>
      <w:tr w:rsidR="00E15926" w:rsidTr="00400B77">
        <w:tc>
          <w:tcPr>
            <w:tcW w:w="7366" w:type="dxa"/>
          </w:tcPr>
          <w:p w:rsidR="00E15926" w:rsidRDefault="00E15926" w:rsidP="00D57FF9">
            <w:r>
              <w:t>Conclusion:</w:t>
            </w:r>
          </w:p>
          <w:p w:rsidR="00E15926" w:rsidRDefault="00E15926" w:rsidP="00D57FF9">
            <w:r>
              <w:t xml:space="preserve">Hand out and evaluation </w:t>
            </w:r>
          </w:p>
          <w:p w:rsidR="00E15926" w:rsidRDefault="00E15926" w:rsidP="00D57FF9"/>
        </w:tc>
        <w:tc>
          <w:tcPr>
            <w:tcW w:w="1650" w:type="dxa"/>
          </w:tcPr>
          <w:p w:rsidR="00E15926" w:rsidRDefault="000324CD" w:rsidP="00D57FF9">
            <w:r>
              <w:t>1</w:t>
            </w:r>
            <w:r w:rsidR="00E15926">
              <w:t>m</w:t>
            </w:r>
          </w:p>
        </w:tc>
      </w:tr>
    </w:tbl>
    <w:p w:rsidR="00D57FF9" w:rsidRDefault="002073BC" w:rsidP="002073BC">
      <w:pPr>
        <w:pStyle w:val="Heading1"/>
      </w:pPr>
      <w:r>
        <w:t xml:space="preserve">Evaluation: </w:t>
      </w:r>
    </w:p>
    <w:p w:rsidR="002073BC" w:rsidRDefault="0015350F" w:rsidP="00D57FF9">
      <w:bookmarkStart w:id="0" w:name="_GoBack"/>
      <w:bookmarkEnd w:id="0"/>
      <w:r>
        <w:t>Post-it notes using carpentry style</w:t>
      </w:r>
    </w:p>
    <w:p w:rsidR="002073BC" w:rsidRDefault="002073BC" w:rsidP="002073BC">
      <w:pPr>
        <w:pStyle w:val="Heading1"/>
      </w:pPr>
      <w:r>
        <w:t>Key Readings:</w:t>
      </w:r>
    </w:p>
    <w:p w:rsidR="002073BC" w:rsidRDefault="00231947" w:rsidP="00D57FF9">
      <w:r>
        <w:t xml:space="preserve">Managing and sharing research data: A guide to good practice by </w:t>
      </w:r>
      <w:proofErr w:type="spellStart"/>
      <w:r>
        <w:t>Corti</w:t>
      </w:r>
      <w:proofErr w:type="spellEnd"/>
      <w:r>
        <w:t xml:space="preserve">, Van den </w:t>
      </w:r>
      <w:proofErr w:type="spellStart"/>
      <w:r>
        <w:t>Eynden</w:t>
      </w:r>
      <w:proofErr w:type="spellEnd"/>
      <w:r>
        <w:t xml:space="preserve">, Bishop, and </w:t>
      </w:r>
      <w:proofErr w:type="spellStart"/>
      <w:r>
        <w:t>Woollard</w:t>
      </w:r>
      <w:proofErr w:type="spellEnd"/>
      <w:r>
        <w:t xml:space="preserve"> – BOOK </w:t>
      </w:r>
      <w:hyperlink r:id="rId8" w:history="1">
        <w:r w:rsidR="00906863" w:rsidRPr="002638EA">
          <w:rPr>
            <w:rStyle w:val="Hyperlink"/>
          </w:rPr>
          <w:t>https://otago.hosted.exlibrisgroup.com/primo-explore/fulldisplay?docid=OTAGO_ALMA21174009620001891&amp;context=L&amp;vid=DUNEDIN&amp;search_scope=All&amp;tab=default_tab&amp;lang=en_US</w:t>
        </w:r>
      </w:hyperlink>
      <w:r w:rsidR="00906863">
        <w:t xml:space="preserve"> </w:t>
      </w:r>
    </w:p>
    <w:p w:rsidR="002073BC" w:rsidRPr="00225C11" w:rsidRDefault="002073BC" w:rsidP="00D57FF9"/>
    <w:sectPr w:rsidR="002073BC" w:rsidRPr="00225C11" w:rsidSect="00DD2801">
      <w:pgSz w:w="11906" w:h="16838"/>
      <w:pgMar w:top="709" w:right="1440" w:bottom="993"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0941FA"/>
    <w:multiLevelType w:val="hybridMultilevel"/>
    <w:tmpl w:val="E590696A"/>
    <w:lvl w:ilvl="0" w:tplc="B19C6338">
      <w:start w:val="2"/>
      <w:numFmt w:val="bullet"/>
      <w:lvlText w:val="-"/>
      <w:lvlJc w:val="left"/>
      <w:pPr>
        <w:ind w:left="720" w:hanging="360"/>
      </w:pPr>
      <w:rPr>
        <w:rFonts w:ascii="Calibri" w:eastAsiaTheme="minorHAnsi" w:hAnsi="Calibri" w:cs="Calibri"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EBC2916"/>
    <w:multiLevelType w:val="hybridMultilevel"/>
    <w:tmpl w:val="234C8A7C"/>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4B9D0E40"/>
    <w:multiLevelType w:val="hybridMultilevel"/>
    <w:tmpl w:val="B4049BC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6EF56AE7"/>
    <w:multiLevelType w:val="hybridMultilevel"/>
    <w:tmpl w:val="F8A69F18"/>
    <w:lvl w:ilvl="0" w:tplc="4F4A4016">
      <w:start w:val="1"/>
      <w:numFmt w:val="upp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C13"/>
    <w:rsid w:val="000324CD"/>
    <w:rsid w:val="00054136"/>
    <w:rsid w:val="000F0562"/>
    <w:rsid w:val="00100A1D"/>
    <w:rsid w:val="00117C85"/>
    <w:rsid w:val="0012241F"/>
    <w:rsid w:val="00151645"/>
    <w:rsid w:val="0015350F"/>
    <w:rsid w:val="00183DEF"/>
    <w:rsid w:val="001A7240"/>
    <w:rsid w:val="001B0E80"/>
    <w:rsid w:val="001B4E86"/>
    <w:rsid w:val="001C3A8B"/>
    <w:rsid w:val="001E309A"/>
    <w:rsid w:val="002073BC"/>
    <w:rsid w:val="002106E1"/>
    <w:rsid w:val="00214CA9"/>
    <w:rsid w:val="00221981"/>
    <w:rsid w:val="00222BF7"/>
    <w:rsid w:val="00225C11"/>
    <w:rsid w:val="00231947"/>
    <w:rsid w:val="002514A4"/>
    <w:rsid w:val="00252545"/>
    <w:rsid w:val="00255739"/>
    <w:rsid w:val="002A57CB"/>
    <w:rsid w:val="002D6089"/>
    <w:rsid w:val="002D771C"/>
    <w:rsid w:val="002F3974"/>
    <w:rsid w:val="00321290"/>
    <w:rsid w:val="00326515"/>
    <w:rsid w:val="00386A5D"/>
    <w:rsid w:val="003B6E12"/>
    <w:rsid w:val="003E0481"/>
    <w:rsid w:val="003E0AE3"/>
    <w:rsid w:val="003E1235"/>
    <w:rsid w:val="003E1BDD"/>
    <w:rsid w:val="00400B77"/>
    <w:rsid w:val="00403438"/>
    <w:rsid w:val="004159EE"/>
    <w:rsid w:val="004552F3"/>
    <w:rsid w:val="0047019C"/>
    <w:rsid w:val="004903E0"/>
    <w:rsid w:val="004B2778"/>
    <w:rsid w:val="004E188E"/>
    <w:rsid w:val="004F5706"/>
    <w:rsid w:val="005022F3"/>
    <w:rsid w:val="00503BDB"/>
    <w:rsid w:val="005247A4"/>
    <w:rsid w:val="00564AA2"/>
    <w:rsid w:val="0056756B"/>
    <w:rsid w:val="005D765C"/>
    <w:rsid w:val="006259CF"/>
    <w:rsid w:val="00634A1A"/>
    <w:rsid w:val="00634A52"/>
    <w:rsid w:val="00654BBC"/>
    <w:rsid w:val="006654BA"/>
    <w:rsid w:val="00672BDA"/>
    <w:rsid w:val="006D49CA"/>
    <w:rsid w:val="006F7B49"/>
    <w:rsid w:val="00704878"/>
    <w:rsid w:val="00740100"/>
    <w:rsid w:val="007E1E93"/>
    <w:rsid w:val="0080156A"/>
    <w:rsid w:val="00802C84"/>
    <w:rsid w:val="008137FB"/>
    <w:rsid w:val="00816FC4"/>
    <w:rsid w:val="00835F64"/>
    <w:rsid w:val="008665BC"/>
    <w:rsid w:val="008725F7"/>
    <w:rsid w:val="008759BE"/>
    <w:rsid w:val="008A07CB"/>
    <w:rsid w:val="008D0C13"/>
    <w:rsid w:val="008F297A"/>
    <w:rsid w:val="008F2E60"/>
    <w:rsid w:val="00900F33"/>
    <w:rsid w:val="00906863"/>
    <w:rsid w:val="00920A42"/>
    <w:rsid w:val="00926288"/>
    <w:rsid w:val="009678A2"/>
    <w:rsid w:val="00977C0A"/>
    <w:rsid w:val="00981770"/>
    <w:rsid w:val="009A141A"/>
    <w:rsid w:val="009D092B"/>
    <w:rsid w:val="009F7971"/>
    <w:rsid w:val="00A00AED"/>
    <w:rsid w:val="00A148D8"/>
    <w:rsid w:val="00A347C0"/>
    <w:rsid w:val="00A42A81"/>
    <w:rsid w:val="00A65795"/>
    <w:rsid w:val="00AA3C6B"/>
    <w:rsid w:val="00AD7BE3"/>
    <w:rsid w:val="00AF2DA6"/>
    <w:rsid w:val="00AF620C"/>
    <w:rsid w:val="00B06379"/>
    <w:rsid w:val="00B42AD0"/>
    <w:rsid w:val="00B61219"/>
    <w:rsid w:val="00B76920"/>
    <w:rsid w:val="00B80E5F"/>
    <w:rsid w:val="00BA65D5"/>
    <w:rsid w:val="00BB62E5"/>
    <w:rsid w:val="00C30913"/>
    <w:rsid w:val="00C336F8"/>
    <w:rsid w:val="00C4153A"/>
    <w:rsid w:val="00C55A11"/>
    <w:rsid w:val="00CE7BE5"/>
    <w:rsid w:val="00D1554A"/>
    <w:rsid w:val="00D4213D"/>
    <w:rsid w:val="00D57FF9"/>
    <w:rsid w:val="00D61FB7"/>
    <w:rsid w:val="00D629E7"/>
    <w:rsid w:val="00D71F99"/>
    <w:rsid w:val="00D730EE"/>
    <w:rsid w:val="00DA3FEC"/>
    <w:rsid w:val="00DB7533"/>
    <w:rsid w:val="00DD18EF"/>
    <w:rsid w:val="00DD1ABC"/>
    <w:rsid w:val="00DD2801"/>
    <w:rsid w:val="00E06E04"/>
    <w:rsid w:val="00E15926"/>
    <w:rsid w:val="00E64882"/>
    <w:rsid w:val="00E96CB0"/>
    <w:rsid w:val="00EE352A"/>
    <w:rsid w:val="00F03030"/>
    <w:rsid w:val="00F148A3"/>
    <w:rsid w:val="00F16E0F"/>
    <w:rsid w:val="00F2547F"/>
    <w:rsid w:val="00F32843"/>
    <w:rsid w:val="00F45669"/>
    <w:rsid w:val="00F8554B"/>
    <w:rsid w:val="00F8573D"/>
    <w:rsid w:val="00FA17F3"/>
    <w:rsid w:val="00FC5337"/>
    <w:rsid w:val="00FE0D0E"/>
    <w:rsid w:val="00FE4248"/>
    <w:rsid w:val="00FE46BF"/>
    <w:rsid w:val="00FE4E2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01647"/>
  <w15:docId w15:val="{9AFBC310-0762-4F0D-8437-037814262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25C1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D0C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D0C13"/>
    <w:rPr>
      <w:color w:val="0000FF" w:themeColor="hyperlink"/>
      <w:u w:val="single"/>
    </w:rPr>
  </w:style>
  <w:style w:type="character" w:styleId="FollowedHyperlink">
    <w:name w:val="FollowedHyperlink"/>
    <w:basedOn w:val="DefaultParagraphFont"/>
    <w:uiPriority w:val="99"/>
    <w:semiHidden/>
    <w:unhideWhenUsed/>
    <w:rsid w:val="00403438"/>
    <w:rPr>
      <w:color w:val="800080" w:themeColor="followedHyperlink"/>
      <w:u w:val="single"/>
    </w:rPr>
  </w:style>
  <w:style w:type="paragraph" w:styleId="NormalWeb">
    <w:name w:val="Normal (Web)"/>
    <w:basedOn w:val="Normal"/>
    <w:uiPriority w:val="99"/>
    <w:semiHidden/>
    <w:unhideWhenUsed/>
    <w:rsid w:val="00D730EE"/>
    <w:pPr>
      <w:spacing w:before="100" w:beforeAutospacing="1" w:after="100" w:afterAutospacing="1" w:line="240" w:lineRule="auto"/>
    </w:pPr>
    <w:rPr>
      <w:rFonts w:ascii="Times New Roman" w:eastAsia="Times New Roman" w:hAnsi="Times New Roman" w:cs="Times New Roman"/>
      <w:sz w:val="24"/>
      <w:szCs w:val="24"/>
      <w:lang w:eastAsia="en-NZ"/>
    </w:rPr>
  </w:style>
  <w:style w:type="paragraph" w:styleId="ListParagraph">
    <w:name w:val="List Paragraph"/>
    <w:basedOn w:val="Normal"/>
    <w:uiPriority w:val="34"/>
    <w:qFormat/>
    <w:rsid w:val="00C55A11"/>
    <w:pPr>
      <w:ind w:left="720"/>
      <w:contextualSpacing/>
    </w:pPr>
  </w:style>
  <w:style w:type="paragraph" w:styleId="BalloonText">
    <w:name w:val="Balloon Text"/>
    <w:basedOn w:val="Normal"/>
    <w:link w:val="BalloonTextChar"/>
    <w:uiPriority w:val="99"/>
    <w:semiHidden/>
    <w:unhideWhenUsed/>
    <w:rsid w:val="004903E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03E0"/>
    <w:rPr>
      <w:rFonts w:ascii="Segoe UI" w:hAnsi="Segoe UI" w:cs="Segoe UI"/>
      <w:sz w:val="18"/>
      <w:szCs w:val="18"/>
    </w:rPr>
  </w:style>
  <w:style w:type="paragraph" w:styleId="PlainText">
    <w:name w:val="Plain Text"/>
    <w:basedOn w:val="Normal"/>
    <w:link w:val="PlainTextChar"/>
    <w:uiPriority w:val="99"/>
    <w:semiHidden/>
    <w:unhideWhenUsed/>
    <w:rsid w:val="00225C1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225C11"/>
    <w:rPr>
      <w:rFonts w:ascii="Calibri" w:hAnsi="Calibri" w:cs="Calibri"/>
    </w:rPr>
  </w:style>
  <w:style w:type="character" w:customStyle="1" w:styleId="Heading1Char">
    <w:name w:val="Heading 1 Char"/>
    <w:basedOn w:val="DefaultParagraphFont"/>
    <w:link w:val="Heading1"/>
    <w:uiPriority w:val="9"/>
    <w:rsid w:val="00225C11"/>
    <w:rPr>
      <w:rFonts w:asciiTheme="majorHAnsi" w:eastAsiaTheme="majorEastAsia" w:hAnsiTheme="majorHAnsi" w:cstheme="majorBidi"/>
      <w:color w:val="365F91" w:themeColor="accent1" w:themeShade="BF"/>
      <w:sz w:val="32"/>
      <w:szCs w:val="32"/>
    </w:rPr>
  </w:style>
  <w:style w:type="paragraph" w:styleId="Header">
    <w:name w:val="header"/>
    <w:basedOn w:val="Normal"/>
    <w:link w:val="HeaderChar"/>
    <w:uiPriority w:val="99"/>
    <w:unhideWhenUsed/>
    <w:rsid w:val="00D155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55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851314">
      <w:bodyDiv w:val="1"/>
      <w:marLeft w:val="0"/>
      <w:marRight w:val="0"/>
      <w:marTop w:val="0"/>
      <w:marBottom w:val="0"/>
      <w:divBdr>
        <w:top w:val="none" w:sz="0" w:space="0" w:color="auto"/>
        <w:left w:val="none" w:sz="0" w:space="0" w:color="auto"/>
        <w:bottom w:val="none" w:sz="0" w:space="0" w:color="auto"/>
        <w:right w:val="none" w:sz="0" w:space="0" w:color="auto"/>
      </w:divBdr>
    </w:div>
    <w:div w:id="162354819">
      <w:bodyDiv w:val="1"/>
      <w:marLeft w:val="0"/>
      <w:marRight w:val="0"/>
      <w:marTop w:val="0"/>
      <w:marBottom w:val="0"/>
      <w:divBdr>
        <w:top w:val="none" w:sz="0" w:space="0" w:color="auto"/>
        <w:left w:val="none" w:sz="0" w:space="0" w:color="auto"/>
        <w:bottom w:val="none" w:sz="0" w:space="0" w:color="auto"/>
        <w:right w:val="none" w:sz="0" w:space="0" w:color="auto"/>
      </w:divBdr>
      <w:divsChild>
        <w:div w:id="1782802967">
          <w:marLeft w:val="0"/>
          <w:marRight w:val="0"/>
          <w:marTop w:val="0"/>
          <w:marBottom w:val="0"/>
          <w:divBdr>
            <w:top w:val="none" w:sz="0" w:space="0" w:color="auto"/>
            <w:left w:val="none" w:sz="0" w:space="0" w:color="auto"/>
            <w:bottom w:val="none" w:sz="0" w:space="0" w:color="auto"/>
            <w:right w:val="none" w:sz="0" w:space="0" w:color="auto"/>
          </w:divBdr>
        </w:div>
      </w:divsChild>
    </w:div>
    <w:div w:id="441150187">
      <w:bodyDiv w:val="1"/>
      <w:marLeft w:val="0"/>
      <w:marRight w:val="0"/>
      <w:marTop w:val="0"/>
      <w:marBottom w:val="0"/>
      <w:divBdr>
        <w:top w:val="none" w:sz="0" w:space="0" w:color="auto"/>
        <w:left w:val="none" w:sz="0" w:space="0" w:color="auto"/>
        <w:bottom w:val="none" w:sz="0" w:space="0" w:color="auto"/>
        <w:right w:val="none" w:sz="0" w:space="0" w:color="auto"/>
      </w:divBdr>
    </w:div>
    <w:div w:id="557519056">
      <w:bodyDiv w:val="1"/>
      <w:marLeft w:val="0"/>
      <w:marRight w:val="0"/>
      <w:marTop w:val="0"/>
      <w:marBottom w:val="0"/>
      <w:divBdr>
        <w:top w:val="none" w:sz="0" w:space="0" w:color="auto"/>
        <w:left w:val="none" w:sz="0" w:space="0" w:color="auto"/>
        <w:bottom w:val="none" w:sz="0" w:space="0" w:color="auto"/>
        <w:right w:val="none" w:sz="0" w:space="0" w:color="auto"/>
      </w:divBdr>
    </w:div>
    <w:div w:id="665398840">
      <w:bodyDiv w:val="1"/>
      <w:marLeft w:val="0"/>
      <w:marRight w:val="0"/>
      <w:marTop w:val="0"/>
      <w:marBottom w:val="0"/>
      <w:divBdr>
        <w:top w:val="none" w:sz="0" w:space="0" w:color="auto"/>
        <w:left w:val="none" w:sz="0" w:space="0" w:color="auto"/>
        <w:bottom w:val="none" w:sz="0" w:space="0" w:color="auto"/>
        <w:right w:val="none" w:sz="0" w:space="0" w:color="auto"/>
      </w:divBdr>
    </w:div>
    <w:div w:id="805051366">
      <w:bodyDiv w:val="1"/>
      <w:marLeft w:val="0"/>
      <w:marRight w:val="0"/>
      <w:marTop w:val="0"/>
      <w:marBottom w:val="0"/>
      <w:divBdr>
        <w:top w:val="none" w:sz="0" w:space="0" w:color="auto"/>
        <w:left w:val="none" w:sz="0" w:space="0" w:color="auto"/>
        <w:bottom w:val="none" w:sz="0" w:space="0" w:color="auto"/>
        <w:right w:val="none" w:sz="0" w:space="0" w:color="auto"/>
      </w:divBdr>
    </w:div>
    <w:div w:id="812604273">
      <w:bodyDiv w:val="1"/>
      <w:marLeft w:val="0"/>
      <w:marRight w:val="0"/>
      <w:marTop w:val="0"/>
      <w:marBottom w:val="0"/>
      <w:divBdr>
        <w:top w:val="none" w:sz="0" w:space="0" w:color="auto"/>
        <w:left w:val="none" w:sz="0" w:space="0" w:color="auto"/>
        <w:bottom w:val="none" w:sz="0" w:space="0" w:color="auto"/>
        <w:right w:val="none" w:sz="0" w:space="0" w:color="auto"/>
      </w:divBdr>
      <w:divsChild>
        <w:div w:id="445276603">
          <w:marLeft w:val="1080"/>
          <w:marRight w:val="0"/>
          <w:marTop w:val="100"/>
          <w:marBottom w:val="0"/>
          <w:divBdr>
            <w:top w:val="none" w:sz="0" w:space="0" w:color="auto"/>
            <w:left w:val="none" w:sz="0" w:space="0" w:color="auto"/>
            <w:bottom w:val="none" w:sz="0" w:space="0" w:color="auto"/>
            <w:right w:val="none" w:sz="0" w:space="0" w:color="auto"/>
          </w:divBdr>
        </w:div>
        <w:div w:id="1169251297">
          <w:marLeft w:val="1080"/>
          <w:marRight w:val="0"/>
          <w:marTop w:val="100"/>
          <w:marBottom w:val="0"/>
          <w:divBdr>
            <w:top w:val="none" w:sz="0" w:space="0" w:color="auto"/>
            <w:left w:val="none" w:sz="0" w:space="0" w:color="auto"/>
            <w:bottom w:val="none" w:sz="0" w:space="0" w:color="auto"/>
            <w:right w:val="none" w:sz="0" w:space="0" w:color="auto"/>
          </w:divBdr>
        </w:div>
        <w:div w:id="1542521033">
          <w:marLeft w:val="1080"/>
          <w:marRight w:val="0"/>
          <w:marTop w:val="100"/>
          <w:marBottom w:val="0"/>
          <w:divBdr>
            <w:top w:val="none" w:sz="0" w:space="0" w:color="auto"/>
            <w:left w:val="none" w:sz="0" w:space="0" w:color="auto"/>
            <w:bottom w:val="none" w:sz="0" w:space="0" w:color="auto"/>
            <w:right w:val="none" w:sz="0" w:space="0" w:color="auto"/>
          </w:divBdr>
        </w:div>
      </w:divsChild>
    </w:div>
    <w:div w:id="934283986">
      <w:bodyDiv w:val="1"/>
      <w:marLeft w:val="0"/>
      <w:marRight w:val="0"/>
      <w:marTop w:val="0"/>
      <w:marBottom w:val="0"/>
      <w:divBdr>
        <w:top w:val="none" w:sz="0" w:space="0" w:color="auto"/>
        <w:left w:val="none" w:sz="0" w:space="0" w:color="auto"/>
        <w:bottom w:val="none" w:sz="0" w:space="0" w:color="auto"/>
        <w:right w:val="none" w:sz="0" w:space="0" w:color="auto"/>
      </w:divBdr>
    </w:div>
    <w:div w:id="1135412502">
      <w:bodyDiv w:val="1"/>
      <w:marLeft w:val="0"/>
      <w:marRight w:val="0"/>
      <w:marTop w:val="0"/>
      <w:marBottom w:val="0"/>
      <w:divBdr>
        <w:top w:val="none" w:sz="0" w:space="0" w:color="auto"/>
        <w:left w:val="none" w:sz="0" w:space="0" w:color="auto"/>
        <w:bottom w:val="none" w:sz="0" w:space="0" w:color="auto"/>
        <w:right w:val="none" w:sz="0" w:space="0" w:color="auto"/>
      </w:divBdr>
    </w:div>
    <w:div w:id="1262029615">
      <w:bodyDiv w:val="1"/>
      <w:marLeft w:val="0"/>
      <w:marRight w:val="0"/>
      <w:marTop w:val="0"/>
      <w:marBottom w:val="0"/>
      <w:divBdr>
        <w:top w:val="none" w:sz="0" w:space="0" w:color="auto"/>
        <w:left w:val="none" w:sz="0" w:space="0" w:color="auto"/>
        <w:bottom w:val="none" w:sz="0" w:space="0" w:color="auto"/>
        <w:right w:val="none" w:sz="0" w:space="0" w:color="auto"/>
      </w:divBdr>
    </w:div>
    <w:div w:id="1331249889">
      <w:bodyDiv w:val="1"/>
      <w:marLeft w:val="0"/>
      <w:marRight w:val="0"/>
      <w:marTop w:val="0"/>
      <w:marBottom w:val="0"/>
      <w:divBdr>
        <w:top w:val="none" w:sz="0" w:space="0" w:color="auto"/>
        <w:left w:val="none" w:sz="0" w:space="0" w:color="auto"/>
        <w:bottom w:val="none" w:sz="0" w:space="0" w:color="auto"/>
        <w:right w:val="none" w:sz="0" w:space="0" w:color="auto"/>
      </w:divBdr>
    </w:div>
    <w:div w:id="1448281843">
      <w:bodyDiv w:val="1"/>
      <w:marLeft w:val="0"/>
      <w:marRight w:val="0"/>
      <w:marTop w:val="0"/>
      <w:marBottom w:val="0"/>
      <w:divBdr>
        <w:top w:val="none" w:sz="0" w:space="0" w:color="auto"/>
        <w:left w:val="none" w:sz="0" w:space="0" w:color="auto"/>
        <w:bottom w:val="none" w:sz="0" w:space="0" w:color="auto"/>
        <w:right w:val="none" w:sz="0" w:space="0" w:color="auto"/>
      </w:divBdr>
    </w:div>
    <w:div w:id="1503352329">
      <w:bodyDiv w:val="1"/>
      <w:marLeft w:val="0"/>
      <w:marRight w:val="0"/>
      <w:marTop w:val="0"/>
      <w:marBottom w:val="0"/>
      <w:divBdr>
        <w:top w:val="none" w:sz="0" w:space="0" w:color="auto"/>
        <w:left w:val="none" w:sz="0" w:space="0" w:color="auto"/>
        <w:bottom w:val="none" w:sz="0" w:space="0" w:color="auto"/>
        <w:right w:val="none" w:sz="0" w:space="0" w:color="auto"/>
      </w:divBdr>
    </w:div>
    <w:div w:id="1952086495">
      <w:bodyDiv w:val="1"/>
      <w:marLeft w:val="0"/>
      <w:marRight w:val="0"/>
      <w:marTop w:val="0"/>
      <w:marBottom w:val="0"/>
      <w:divBdr>
        <w:top w:val="none" w:sz="0" w:space="0" w:color="auto"/>
        <w:left w:val="none" w:sz="0" w:space="0" w:color="auto"/>
        <w:bottom w:val="none" w:sz="0" w:space="0" w:color="auto"/>
        <w:right w:val="none" w:sz="0" w:space="0" w:color="auto"/>
      </w:divBdr>
    </w:div>
    <w:div w:id="204382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tago.hosted.exlibrisgroup.com/primo-explore/fulldisplay?docid=OTAGO_ALMA21174009620001891&amp;context=L&amp;vid=DUNEDIN&amp;search_scope=All&amp;tab=default_tab&amp;lang=en_US" TargetMode="External"/><Relationship Id="rId3" Type="http://schemas.openxmlformats.org/officeDocument/2006/relationships/styles" Target="styles.xml"/><Relationship Id="rId7" Type="http://schemas.openxmlformats.org/officeDocument/2006/relationships/hyperlink" Target="https://figshare.com/articles/Postgraduate_Support_at_Otago_Student_Questionnaire_Answers/746493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cbi.nlm.nih.gov/genbank/samplerecord/"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1503F0-87BF-4564-A739-01F4109C6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1199</TotalTime>
  <Pages>3</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Otago</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Thelma</dc:creator>
  <cp:lastModifiedBy>Shiobhan Smith</cp:lastModifiedBy>
  <cp:revision>8</cp:revision>
  <cp:lastPrinted>2019-05-06T03:04:00Z</cp:lastPrinted>
  <dcterms:created xsi:type="dcterms:W3CDTF">2019-05-01T02:56:00Z</dcterms:created>
  <dcterms:modified xsi:type="dcterms:W3CDTF">2019-05-12T22:42:00Z</dcterms:modified>
</cp:coreProperties>
</file>