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01093" w14:textId="4EB22944" w:rsidR="00187740" w:rsidRDefault="00187740" w:rsidP="0005054C">
      <w:pPr>
        <w:spacing w:line="240" w:lineRule="auto"/>
        <w:jc w:val="center"/>
        <w:rPr>
          <w:rFonts w:ascii="Garamond" w:hAnsi="Garamond"/>
          <w:b/>
          <w:bCs/>
          <w:sz w:val="36"/>
          <w:szCs w:val="36"/>
          <w:u w:val="single"/>
        </w:rPr>
      </w:pPr>
      <w:r>
        <w:rPr>
          <w:noProof/>
        </w:rPr>
        <w:drawing>
          <wp:anchor distT="0" distB="0" distL="114300" distR="114300" simplePos="0" relativeHeight="251659264" behindDoc="0" locked="0" layoutInCell="1" allowOverlap="1" wp14:anchorId="039EBD2D" wp14:editId="64C620CB">
            <wp:simplePos x="0" y="0"/>
            <wp:positionH relativeFrom="margin">
              <wp:posOffset>3136900</wp:posOffset>
            </wp:positionH>
            <wp:positionV relativeFrom="margin">
              <wp:posOffset>44450</wp:posOffset>
            </wp:positionV>
            <wp:extent cx="988060" cy="422275"/>
            <wp:effectExtent l="0" t="0" r="2540" b="0"/>
            <wp:wrapSquare wrapText="bothSides"/>
            <wp:docPr id="476747904" name="Picture 8" descr="Emploi Bourse de Casablanca - Emploi et recrutement : Bourse de Casablan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ploi Bourse de Casablanca - Emploi et recrutement : Bourse de Casablanc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8060" cy="422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Garamond" w:hAnsi="Garamond"/>
          <w:b/>
          <w:bCs/>
          <w:noProof/>
          <w:sz w:val="36"/>
          <w:szCs w:val="36"/>
          <w:u w:val="single"/>
        </w:rPr>
        <w:drawing>
          <wp:anchor distT="0" distB="0" distL="114300" distR="114300" simplePos="0" relativeHeight="251658240" behindDoc="0" locked="0" layoutInCell="1" allowOverlap="1" wp14:anchorId="49739B52" wp14:editId="42825309">
            <wp:simplePos x="0" y="0"/>
            <wp:positionH relativeFrom="margin">
              <wp:posOffset>2038350</wp:posOffset>
            </wp:positionH>
            <wp:positionV relativeFrom="margin">
              <wp:posOffset>-76200</wp:posOffset>
            </wp:positionV>
            <wp:extent cx="689610" cy="688340"/>
            <wp:effectExtent l="0" t="0" r="5715" b="0"/>
            <wp:wrapSquare wrapText="bothSides"/>
            <wp:docPr id="1784009276" name="Picture 7" descr="A lion head with a few coin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09276" name="Picture 7" descr="A lion head with a few coins around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9610" cy="688340"/>
                    </a:xfrm>
                    <a:prstGeom prst="rect">
                      <a:avLst/>
                    </a:prstGeom>
                  </pic:spPr>
                </pic:pic>
              </a:graphicData>
            </a:graphic>
            <wp14:sizeRelH relativeFrom="margin">
              <wp14:pctWidth>0</wp14:pctWidth>
            </wp14:sizeRelH>
            <wp14:sizeRelV relativeFrom="margin">
              <wp14:pctHeight>0</wp14:pctHeight>
            </wp14:sizeRelV>
          </wp:anchor>
        </w:drawing>
      </w:r>
    </w:p>
    <w:p w14:paraId="49EC7BE0" w14:textId="33C1DE74" w:rsidR="00187740" w:rsidRDefault="00187740" w:rsidP="0005054C">
      <w:pPr>
        <w:spacing w:line="240" w:lineRule="auto"/>
        <w:jc w:val="center"/>
        <w:rPr>
          <w:rFonts w:ascii="Garamond" w:hAnsi="Garamond"/>
          <w:b/>
          <w:bCs/>
          <w:sz w:val="36"/>
          <w:szCs w:val="36"/>
          <w:u w:val="single"/>
        </w:rPr>
      </w:pPr>
    </w:p>
    <w:p w14:paraId="7162DF39" w14:textId="77777777" w:rsidR="005B0E2B" w:rsidRDefault="005B0E2B" w:rsidP="00897E2E">
      <w:pPr>
        <w:spacing w:after="160" w:line="240" w:lineRule="auto"/>
        <w:jc w:val="center"/>
        <w:rPr>
          <w:rFonts w:asciiTheme="majorBidi" w:hAnsiTheme="majorBidi" w:cstheme="majorBidi"/>
          <w:sz w:val="22"/>
          <w:szCs w:val="22"/>
          <w:lang w:val="fr-FR"/>
        </w:rPr>
      </w:pPr>
    </w:p>
    <w:p w14:paraId="243E8875" w14:textId="71ED2CA6" w:rsidR="005B0E2B" w:rsidRDefault="005B0E2B" w:rsidP="005B0E2B">
      <w:pPr>
        <w:bidi/>
        <w:spacing w:line="240" w:lineRule="auto"/>
        <w:ind w:left="-450" w:right="-810"/>
        <w:jc w:val="center"/>
        <w:rPr>
          <w:rFonts w:ascii="Garamond" w:hAnsi="Garamond"/>
          <w:b/>
          <w:bCs/>
          <w:sz w:val="36"/>
          <w:szCs w:val="36"/>
          <w:u w:val="single"/>
          <w:lang w:val="fr-FR"/>
        </w:rPr>
      </w:pPr>
      <w:r w:rsidRPr="00897E2E">
        <w:rPr>
          <w:rFonts w:ascii="Garamond" w:hAnsi="Garamond"/>
          <w:b/>
          <w:bCs/>
          <w:sz w:val="36"/>
          <w:szCs w:val="36"/>
          <w:u w:val="single"/>
          <w:lang w:val="fr-FR"/>
        </w:rPr>
        <w:t>Optimisation d'un portefeuille</w:t>
      </w:r>
    </w:p>
    <w:p w14:paraId="674F33F3" w14:textId="6488DF58" w:rsidR="005B0E2B" w:rsidRPr="005B0E2B" w:rsidRDefault="005B0E2B" w:rsidP="005B0E2B">
      <w:pPr>
        <w:bidi/>
        <w:spacing w:line="240" w:lineRule="auto"/>
        <w:ind w:left="-450" w:right="-810"/>
        <w:jc w:val="center"/>
        <w:rPr>
          <w:rFonts w:ascii="Garamond" w:hAnsi="Garamond"/>
          <w:b/>
          <w:bCs/>
          <w:sz w:val="36"/>
          <w:szCs w:val="36"/>
          <w:u w:val="single"/>
          <w:lang w:val="fr-FR"/>
        </w:rPr>
      </w:pPr>
      <w:proofErr w:type="gramStart"/>
      <w:r w:rsidRPr="00897E2E">
        <w:rPr>
          <w:rFonts w:ascii="Garamond" w:hAnsi="Garamond"/>
          <w:b/>
          <w:bCs/>
          <w:sz w:val="36"/>
          <w:szCs w:val="36"/>
          <w:u w:val="single"/>
          <w:lang w:val="fr-FR"/>
        </w:rPr>
        <w:t>d'actions</w:t>
      </w:r>
      <w:proofErr w:type="gramEnd"/>
      <w:r w:rsidRPr="00897E2E">
        <w:rPr>
          <w:rFonts w:ascii="Garamond" w:hAnsi="Garamond"/>
          <w:b/>
          <w:bCs/>
          <w:sz w:val="36"/>
          <w:szCs w:val="36"/>
          <w:u w:val="single"/>
          <w:lang w:val="fr-FR"/>
        </w:rPr>
        <w:t xml:space="preserve"> marocains par simulation de Monte Carlo et frontière efficiente :</w:t>
      </w:r>
    </w:p>
    <w:p w14:paraId="75363BA7" w14:textId="791A721C" w:rsidR="00897E2E" w:rsidRPr="00897E2E" w:rsidRDefault="00897E2E" w:rsidP="00897E2E">
      <w:pPr>
        <w:spacing w:after="160" w:line="240" w:lineRule="auto"/>
        <w:jc w:val="center"/>
        <w:rPr>
          <w:rFonts w:asciiTheme="majorBidi" w:hAnsiTheme="majorBidi" w:cstheme="majorBidi"/>
          <w:sz w:val="22"/>
          <w:szCs w:val="22"/>
          <w:lang w:val="fr-FR"/>
        </w:rPr>
      </w:pPr>
      <w:r w:rsidRPr="00897E2E">
        <w:rPr>
          <w:rFonts w:asciiTheme="majorBidi" w:hAnsiTheme="majorBidi" w:cstheme="majorBidi"/>
          <w:sz w:val="22"/>
          <w:szCs w:val="22"/>
          <w:lang w:val="fr-FR"/>
        </w:rPr>
        <w:t>Évaluation de la performance des portefeuilles pondérés par la capitalisation boursière par rapport aux portefeuilles optimisés au sein de l'univers MASI20 (2015-2025)</w:t>
      </w:r>
    </w:p>
    <w:p w14:paraId="626FAF5F" w14:textId="77777777" w:rsidR="001750D1" w:rsidRDefault="0005054C" w:rsidP="001750D1">
      <w:pPr>
        <w:spacing w:line="240" w:lineRule="auto"/>
        <w:jc w:val="center"/>
        <w:rPr>
          <w:noProof/>
        </w:rPr>
      </w:pPr>
      <w:r w:rsidRPr="00187740">
        <w:rPr>
          <w:b/>
          <w:bCs/>
          <w:color w:val="747474" w:themeColor="background2" w:themeShade="80"/>
          <w:sz w:val="18"/>
          <w:szCs w:val="18"/>
        </w:rPr>
        <w:t>Educational / non-investment advice disclaimer</w:t>
      </w:r>
      <w:r w:rsidR="001750D1">
        <w:rPr>
          <w:b/>
          <w:bCs/>
          <w:color w:val="747474" w:themeColor="background2" w:themeShade="80"/>
          <w:sz w:val="18"/>
          <w:szCs w:val="18"/>
        </w:rPr>
        <w:fldChar w:fldCharType="begin"/>
      </w:r>
      <w:r w:rsidR="001750D1">
        <w:rPr>
          <w:b/>
          <w:bCs/>
          <w:color w:val="747474" w:themeColor="background2" w:themeShade="80"/>
          <w:sz w:val="18"/>
          <w:szCs w:val="18"/>
        </w:rPr>
        <w:instrText xml:space="preserve"> TOC \h \z \t "Title,1,Subtitle,2" </w:instrText>
      </w:r>
      <w:r w:rsidR="001750D1">
        <w:rPr>
          <w:b/>
          <w:bCs/>
          <w:color w:val="747474" w:themeColor="background2" w:themeShade="80"/>
          <w:sz w:val="18"/>
          <w:szCs w:val="18"/>
        </w:rPr>
        <w:fldChar w:fldCharType="separate"/>
      </w:r>
    </w:p>
    <w:p w14:paraId="6243C47A" w14:textId="0AC75540" w:rsidR="001750D1" w:rsidRPr="00696AC0" w:rsidRDefault="001750D1">
      <w:pPr>
        <w:pStyle w:val="TOC1"/>
        <w:tabs>
          <w:tab w:val="right" w:leader="dot" w:pos="9350"/>
        </w:tabs>
        <w:rPr>
          <w:rFonts w:asciiTheme="minorHAnsi" w:eastAsiaTheme="minorEastAsia" w:hAnsiTheme="minorHAnsi"/>
          <w:b/>
          <w:bCs/>
          <w:noProof/>
        </w:rPr>
      </w:pPr>
      <w:hyperlink w:anchor="_Toc216563367" w:history="1">
        <w:r w:rsidRPr="00696AC0">
          <w:rPr>
            <w:rStyle w:val="Hyperlink"/>
            <w:b/>
            <w:bCs/>
            <w:noProof/>
            <w:lang w:val="fr-FR"/>
          </w:rPr>
          <w:t>Introduction et méthodologie :</w:t>
        </w:r>
        <w:r w:rsidRPr="00696AC0">
          <w:rPr>
            <w:b/>
            <w:bCs/>
            <w:noProof/>
            <w:webHidden/>
          </w:rPr>
          <w:tab/>
        </w:r>
        <w:r w:rsidRPr="00696AC0">
          <w:rPr>
            <w:b/>
            <w:bCs/>
            <w:noProof/>
            <w:webHidden/>
          </w:rPr>
          <w:fldChar w:fldCharType="begin"/>
        </w:r>
        <w:r w:rsidRPr="00696AC0">
          <w:rPr>
            <w:b/>
            <w:bCs/>
            <w:noProof/>
            <w:webHidden/>
          </w:rPr>
          <w:instrText xml:space="preserve"> PAGEREF _Toc216563367 \h </w:instrText>
        </w:r>
        <w:r w:rsidRPr="00696AC0">
          <w:rPr>
            <w:b/>
            <w:bCs/>
            <w:noProof/>
            <w:webHidden/>
          </w:rPr>
        </w:r>
        <w:r w:rsidRPr="00696AC0">
          <w:rPr>
            <w:b/>
            <w:bCs/>
            <w:noProof/>
            <w:webHidden/>
          </w:rPr>
          <w:fldChar w:fldCharType="separate"/>
        </w:r>
        <w:r w:rsidRPr="00696AC0">
          <w:rPr>
            <w:b/>
            <w:bCs/>
            <w:noProof/>
            <w:webHidden/>
          </w:rPr>
          <w:t>2</w:t>
        </w:r>
        <w:r w:rsidRPr="00696AC0">
          <w:rPr>
            <w:b/>
            <w:bCs/>
            <w:noProof/>
            <w:webHidden/>
          </w:rPr>
          <w:fldChar w:fldCharType="end"/>
        </w:r>
      </w:hyperlink>
    </w:p>
    <w:p w14:paraId="5CD557E2" w14:textId="4EA277AB" w:rsidR="001750D1" w:rsidRPr="00696AC0" w:rsidRDefault="001750D1">
      <w:pPr>
        <w:pStyle w:val="TOC2"/>
        <w:tabs>
          <w:tab w:val="right" w:leader="dot" w:pos="9350"/>
        </w:tabs>
        <w:rPr>
          <w:rFonts w:asciiTheme="minorHAnsi" w:eastAsiaTheme="minorEastAsia" w:hAnsiTheme="minorHAnsi"/>
          <w:b/>
          <w:bCs/>
          <w:noProof/>
        </w:rPr>
      </w:pPr>
      <w:hyperlink w:anchor="_Toc216563368" w:history="1">
        <w:r w:rsidRPr="00696AC0">
          <w:rPr>
            <w:rStyle w:val="Hyperlink"/>
            <w:b/>
            <w:bCs/>
            <w:noProof/>
            <w:lang w:val="fr-FR"/>
          </w:rPr>
          <w:t>Portée, hypothèses, source des données, période d'échantillonnage :</w:t>
        </w:r>
        <w:r w:rsidRPr="00696AC0">
          <w:rPr>
            <w:b/>
            <w:bCs/>
            <w:noProof/>
            <w:webHidden/>
          </w:rPr>
          <w:tab/>
        </w:r>
        <w:r w:rsidRPr="00696AC0">
          <w:rPr>
            <w:b/>
            <w:bCs/>
            <w:noProof/>
            <w:webHidden/>
          </w:rPr>
          <w:fldChar w:fldCharType="begin"/>
        </w:r>
        <w:r w:rsidRPr="00696AC0">
          <w:rPr>
            <w:b/>
            <w:bCs/>
            <w:noProof/>
            <w:webHidden/>
          </w:rPr>
          <w:instrText xml:space="preserve"> PAGEREF _Toc216563368 \h </w:instrText>
        </w:r>
        <w:r w:rsidRPr="00696AC0">
          <w:rPr>
            <w:b/>
            <w:bCs/>
            <w:noProof/>
            <w:webHidden/>
          </w:rPr>
        </w:r>
        <w:r w:rsidRPr="00696AC0">
          <w:rPr>
            <w:b/>
            <w:bCs/>
            <w:noProof/>
            <w:webHidden/>
          </w:rPr>
          <w:fldChar w:fldCharType="separate"/>
        </w:r>
        <w:r w:rsidRPr="00696AC0">
          <w:rPr>
            <w:b/>
            <w:bCs/>
            <w:noProof/>
            <w:webHidden/>
          </w:rPr>
          <w:t>2</w:t>
        </w:r>
        <w:r w:rsidRPr="00696AC0">
          <w:rPr>
            <w:b/>
            <w:bCs/>
            <w:noProof/>
            <w:webHidden/>
          </w:rPr>
          <w:fldChar w:fldCharType="end"/>
        </w:r>
      </w:hyperlink>
    </w:p>
    <w:p w14:paraId="7F995197" w14:textId="29DEECC3" w:rsidR="001750D1" w:rsidRPr="00696AC0" w:rsidRDefault="001750D1">
      <w:pPr>
        <w:pStyle w:val="TOC1"/>
        <w:tabs>
          <w:tab w:val="right" w:leader="dot" w:pos="9350"/>
        </w:tabs>
        <w:rPr>
          <w:rFonts w:asciiTheme="minorHAnsi" w:eastAsiaTheme="minorEastAsia" w:hAnsiTheme="minorHAnsi"/>
          <w:b/>
          <w:bCs/>
          <w:noProof/>
        </w:rPr>
      </w:pPr>
      <w:hyperlink w:anchor="_Toc216563369" w:history="1">
        <w:r w:rsidRPr="00696AC0">
          <w:rPr>
            <w:rStyle w:val="Hyperlink"/>
            <w:b/>
            <w:bCs/>
            <w:noProof/>
            <w:lang w:val="fr-FR"/>
          </w:rPr>
          <w:t>Aperçu de l’univers du marché :</w:t>
        </w:r>
        <w:r w:rsidRPr="00696AC0">
          <w:rPr>
            <w:b/>
            <w:bCs/>
            <w:noProof/>
            <w:webHidden/>
          </w:rPr>
          <w:tab/>
        </w:r>
        <w:r w:rsidRPr="00696AC0">
          <w:rPr>
            <w:b/>
            <w:bCs/>
            <w:noProof/>
            <w:webHidden/>
          </w:rPr>
          <w:fldChar w:fldCharType="begin"/>
        </w:r>
        <w:r w:rsidRPr="00696AC0">
          <w:rPr>
            <w:b/>
            <w:bCs/>
            <w:noProof/>
            <w:webHidden/>
          </w:rPr>
          <w:instrText xml:space="preserve"> PAGEREF _Toc216563369 \h </w:instrText>
        </w:r>
        <w:r w:rsidRPr="00696AC0">
          <w:rPr>
            <w:b/>
            <w:bCs/>
            <w:noProof/>
            <w:webHidden/>
          </w:rPr>
        </w:r>
        <w:r w:rsidRPr="00696AC0">
          <w:rPr>
            <w:b/>
            <w:bCs/>
            <w:noProof/>
            <w:webHidden/>
          </w:rPr>
          <w:fldChar w:fldCharType="separate"/>
        </w:r>
        <w:r w:rsidRPr="00696AC0">
          <w:rPr>
            <w:b/>
            <w:bCs/>
            <w:noProof/>
            <w:webHidden/>
          </w:rPr>
          <w:t>2</w:t>
        </w:r>
        <w:r w:rsidRPr="00696AC0">
          <w:rPr>
            <w:b/>
            <w:bCs/>
            <w:noProof/>
            <w:webHidden/>
          </w:rPr>
          <w:fldChar w:fldCharType="end"/>
        </w:r>
      </w:hyperlink>
    </w:p>
    <w:p w14:paraId="37DBFB8D" w14:textId="3BB8B06D" w:rsidR="001750D1" w:rsidRPr="00696AC0" w:rsidRDefault="001750D1">
      <w:pPr>
        <w:pStyle w:val="TOC2"/>
        <w:tabs>
          <w:tab w:val="right" w:leader="dot" w:pos="9350"/>
        </w:tabs>
        <w:rPr>
          <w:rFonts w:asciiTheme="minorHAnsi" w:eastAsiaTheme="minorEastAsia" w:hAnsiTheme="minorHAnsi"/>
          <w:b/>
          <w:bCs/>
          <w:noProof/>
        </w:rPr>
      </w:pPr>
      <w:hyperlink w:anchor="_Toc216563370" w:history="1">
        <w:r w:rsidRPr="00696AC0">
          <w:rPr>
            <w:rStyle w:val="Hyperlink"/>
            <w:b/>
            <w:bCs/>
            <w:noProof/>
            <w:lang w:val="fr-FR"/>
          </w:rPr>
          <w:t>Actions sélectionnées, pondération de l'indice, statistiques descriptives :</w:t>
        </w:r>
        <w:r w:rsidRPr="00696AC0">
          <w:rPr>
            <w:b/>
            <w:bCs/>
            <w:noProof/>
            <w:webHidden/>
          </w:rPr>
          <w:tab/>
        </w:r>
        <w:r w:rsidRPr="00696AC0">
          <w:rPr>
            <w:b/>
            <w:bCs/>
            <w:noProof/>
            <w:webHidden/>
          </w:rPr>
          <w:fldChar w:fldCharType="begin"/>
        </w:r>
        <w:r w:rsidRPr="00696AC0">
          <w:rPr>
            <w:b/>
            <w:bCs/>
            <w:noProof/>
            <w:webHidden/>
          </w:rPr>
          <w:instrText xml:space="preserve"> PAGEREF _Toc216563370 \h </w:instrText>
        </w:r>
        <w:r w:rsidRPr="00696AC0">
          <w:rPr>
            <w:b/>
            <w:bCs/>
            <w:noProof/>
            <w:webHidden/>
          </w:rPr>
        </w:r>
        <w:r w:rsidRPr="00696AC0">
          <w:rPr>
            <w:b/>
            <w:bCs/>
            <w:noProof/>
            <w:webHidden/>
          </w:rPr>
          <w:fldChar w:fldCharType="separate"/>
        </w:r>
        <w:r w:rsidRPr="00696AC0">
          <w:rPr>
            <w:b/>
            <w:bCs/>
            <w:noProof/>
            <w:webHidden/>
          </w:rPr>
          <w:t>2</w:t>
        </w:r>
        <w:r w:rsidRPr="00696AC0">
          <w:rPr>
            <w:b/>
            <w:bCs/>
            <w:noProof/>
            <w:webHidden/>
          </w:rPr>
          <w:fldChar w:fldCharType="end"/>
        </w:r>
      </w:hyperlink>
    </w:p>
    <w:p w14:paraId="0D4E2711" w14:textId="548A810D" w:rsidR="001750D1" w:rsidRPr="00696AC0" w:rsidRDefault="001750D1">
      <w:pPr>
        <w:pStyle w:val="TOC1"/>
        <w:tabs>
          <w:tab w:val="right" w:leader="dot" w:pos="9350"/>
        </w:tabs>
        <w:rPr>
          <w:rFonts w:asciiTheme="minorHAnsi" w:eastAsiaTheme="minorEastAsia" w:hAnsiTheme="minorHAnsi"/>
          <w:b/>
          <w:bCs/>
          <w:noProof/>
        </w:rPr>
      </w:pPr>
      <w:hyperlink w:anchor="_Toc216563371" w:history="1">
        <w:r w:rsidRPr="00696AC0">
          <w:rPr>
            <w:rStyle w:val="Hyperlink"/>
            <w:b/>
            <w:bCs/>
            <w:noProof/>
            <w:lang w:val="fr-FR"/>
          </w:rPr>
          <w:t>Analyse des risques et des corrélations :</w:t>
        </w:r>
        <w:r w:rsidRPr="00696AC0">
          <w:rPr>
            <w:b/>
            <w:bCs/>
            <w:noProof/>
            <w:webHidden/>
          </w:rPr>
          <w:tab/>
        </w:r>
        <w:r w:rsidRPr="00696AC0">
          <w:rPr>
            <w:b/>
            <w:bCs/>
            <w:noProof/>
            <w:webHidden/>
          </w:rPr>
          <w:fldChar w:fldCharType="begin"/>
        </w:r>
        <w:r w:rsidRPr="00696AC0">
          <w:rPr>
            <w:b/>
            <w:bCs/>
            <w:noProof/>
            <w:webHidden/>
          </w:rPr>
          <w:instrText xml:space="preserve"> PAGEREF _Toc216563371 \h </w:instrText>
        </w:r>
        <w:r w:rsidRPr="00696AC0">
          <w:rPr>
            <w:b/>
            <w:bCs/>
            <w:noProof/>
            <w:webHidden/>
          </w:rPr>
        </w:r>
        <w:r w:rsidRPr="00696AC0">
          <w:rPr>
            <w:b/>
            <w:bCs/>
            <w:noProof/>
            <w:webHidden/>
          </w:rPr>
          <w:fldChar w:fldCharType="separate"/>
        </w:r>
        <w:r w:rsidRPr="00696AC0">
          <w:rPr>
            <w:b/>
            <w:bCs/>
            <w:noProof/>
            <w:webHidden/>
          </w:rPr>
          <w:t>6</w:t>
        </w:r>
        <w:r w:rsidRPr="00696AC0">
          <w:rPr>
            <w:b/>
            <w:bCs/>
            <w:noProof/>
            <w:webHidden/>
          </w:rPr>
          <w:fldChar w:fldCharType="end"/>
        </w:r>
      </w:hyperlink>
    </w:p>
    <w:p w14:paraId="0A3D7EA9" w14:textId="066FE0D4" w:rsidR="001750D1" w:rsidRPr="00696AC0" w:rsidRDefault="001750D1">
      <w:pPr>
        <w:pStyle w:val="TOC2"/>
        <w:tabs>
          <w:tab w:val="right" w:leader="dot" w:pos="9350"/>
        </w:tabs>
        <w:rPr>
          <w:rFonts w:asciiTheme="minorHAnsi" w:eastAsiaTheme="minorEastAsia" w:hAnsiTheme="minorHAnsi"/>
          <w:b/>
          <w:bCs/>
          <w:noProof/>
        </w:rPr>
      </w:pPr>
      <w:hyperlink w:anchor="_Toc216563372" w:history="1">
        <w:r w:rsidRPr="00696AC0">
          <w:rPr>
            <w:rStyle w:val="Hyperlink"/>
            <w:b/>
            <w:bCs/>
            <w:noProof/>
            <w:lang w:val="fr-FR"/>
          </w:rPr>
          <w:t>Carte thermique des rendements quotidiens, de la volatilité et de la corrélation :</w:t>
        </w:r>
        <w:r w:rsidRPr="00696AC0">
          <w:rPr>
            <w:b/>
            <w:bCs/>
            <w:noProof/>
            <w:webHidden/>
          </w:rPr>
          <w:tab/>
        </w:r>
        <w:r w:rsidRPr="00696AC0">
          <w:rPr>
            <w:b/>
            <w:bCs/>
            <w:noProof/>
            <w:webHidden/>
          </w:rPr>
          <w:fldChar w:fldCharType="begin"/>
        </w:r>
        <w:r w:rsidRPr="00696AC0">
          <w:rPr>
            <w:b/>
            <w:bCs/>
            <w:noProof/>
            <w:webHidden/>
          </w:rPr>
          <w:instrText xml:space="preserve"> PAGEREF _Toc216563372 \h </w:instrText>
        </w:r>
        <w:r w:rsidRPr="00696AC0">
          <w:rPr>
            <w:b/>
            <w:bCs/>
            <w:noProof/>
            <w:webHidden/>
          </w:rPr>
        </w:r>
        <w:r w:rsidRPr="00696AC0">
          <w:rPr>
            <w:b/>
            <w:bCs/>
            <w:noProof/>
            <w:webHidden/>
          </w:rPr>
          <w:fldChar w:fldCharType="separate"/>
        </w:r>
        <w:r w:rsidRPr="00696AC0">
          <w:rPr>
            <w:b/>
            <w:bCs/>
            <w:noProof/>
            <w:webHidden/>
          </w:rPr>
          <w:t>6</w:t>
        </w:r>
        <w:r w:rsidRPr="00696AC0">
          <w:rPr>
            <w:b/>
            <w:bCs/>
            <w:noProof/>
            <w:webHidden/>
          </w:rPr>
          <w:fldChar w:fldCharType="end"/>
        </w:r>
      </w:hyperlink>
    </w:p>
    <w:p w14:paraId="7430D7CF" w14:textId="5A202D83" w:rsidR="001750D1" w:rsidRPr="00696AC0" w:rsidRDefault="001750D1">
      <w:pPr>
        <w:pStyle w:val="TOC1"/>
        <w:tabs>
          <w:tab w:val="right" w:leader="dot" w:pos="9350"/>
        </w:tabs>
        <w:rPr>
          <w:rFonts w:asciiTheme="minorHAnsi" w:eastAsiaTheme="minorEastAsia" w:hAnsiTheme="minorHAnsi"/>
          <w:b/>
          <w:bCs/>
          <w:noProof/>
        </w:rPr>
      </w:pPr>
      <w:hyperlink w:anchor="_Toc216563373" w:history="1">
        <w:r w:rsidRPr="00696AC0">
          <w:rPr>
            <w:rStyle w:val="Hyperlink"/>
            <w:b/>
            <w:bCs/>
            <w:noProof/>
            <w:lang w:val="fr-FR"/>
          </w:rPr>
          <w:t>Comparaison des performances (MASI20) :</w:t>
        </w:r>
        <w:r w:rsidRPr="00696AC0">
          <w:rPr>
            <w:b/>
            <w:bCs/>
            <w:noProof/>
            <w:webHidden/>
          </w:rPr>
          <w:tab/>
        </w:r>
        <w:r w:rsidRPr="00696AC0">
          <w:rPr>
            <w:b/>
            <w:bCs/>
            <w:noProof/>
            <w:webHidden/>
          </w:rPr>
          <w:fldChar w:fldCharType="begin"/>
        </w:r>
        <w:r w:rsidRPr="00696AC0">
          <w:rPr>
            <w:b/>
            <w:bCs/>
            <w:noProof/>
            <w:webHidden/>
          </w:rPr>
          <w:instrText xml:space="preserve"> PAGEREF _Toc216563373 \h </w:instrText>
        </w:r>
        <w:r w:rsidRPr="00696AC0">
          <w:rPr>
            <w:b/>
            <w:bCs/>
            <w:noProof/>
            <w:webHidden/>
          </w:rPr>
        </w:r>
        <w:r w:rsidRPr="00696AC0">
          <w:rPr>
            <w:b/>
            <w:bCs/>
            <w:noProof/>
            <w:webHidden/>
          </w:rPr>
          <w:fldChar w:fldCharType="separate"/>
        </w:r>
        <w:r w:rsidRPr="00696AC0">
          <w:rPr>
            <w:b/>
            <w:bCs/>
            <w:noProof/>
            <w:webHidden/>
          </w:rPr>
          <w:t>7</w:t>
        </w:r>
        <w:r w:rsidRPr="00696AC0">
          <w:rPr>
            <w:b/>
            <w:bCs/>
            <w:noProof/>
            <w:webHidden/>
          </w:rPr>
          <w:fldChar w:fldCharType="end"/>
        </w:r>
      </w:hyperlink>
    </w:p>
    <w:p w14:paraId="10D405CE" w14:textId="63B8E2D1" w:rsidR="001750D1" w:rsidRPr="00696AC0" w:rsidRDefault="001750D1">
      <w:pPr>
        <w:pStyle w:val="TOC2"/>
        <w:tabs>
          <w:tab w:val="right" w:leader="dot" w:pos="9350"/>
        </w:tabs>
        <w:rPr>
          <w:rFonts w:asciiTheme="minorHAnsi" w:eastAsiaTheme="minorEastAsia" w:hAnsiTheme="minorHAnsi"/>
          <w:b/>
          <w:bCs/>
          <w:noProof/>
        </w:rPr>
      </w:pPr>
      <w:hyperlink w:anchor="_Toc216563374" w:history="1">
        <w:r w:rsidRPr="00696AC0">
          <w:rPr>
            <w:rStyle w:val="Hyperlink"/>
            <w:b/>
            <w:bCs/>
            <w:noProof/>
          </w:rPr>
          <w:t>Aperçu du benchmark MASI20:</w:t>
        </w:r>
        <w:r w:rsidRPr="00696AC0">
          <w:rPr>
            <w:b/>
            <w:bCs/>
            <w:noProof/>
            <w:webHidden/>
          </w:rPr>
          <w:tab/>
        </w:r>
        <w:r w:rsidRPr="00696AC0">
          <w:rPr>
            <w:b/>
            <w:bCs/>
            <w:noProof/>
            <w:webHidden/>
          </w:rPr>
          <w:fldChar w:fldCharType="begin"/>
        </w:r>
        <w:r w:rsidRPr="00696AC0">
          <w:rPr>
            <w:b/>
            <w:bCs/>
            <w:noProof/>
            <w:webHidden/>
          </w:rPr>
          <w:instrText xml:space="preserve"> PAGEREF _Toc216563374 \h </w:instrText>
        </w:r>
        <w:r w:rsidRPr="00696AC0">
          <w:rPr>
            <w:b/>
            <w:bCs/>
            <w:noProof/>
            <w:webHidden/>
          </w:rPr>
        </w:r>
        <w:r w:rsidRPr="00696AC0">
          <w:rPr>
            <w:b/>
            <w:bCs/>
            <w:noProof/>
            <w:webHidden/>
          </w:rPr>
          <w:fldChar w:fldCharType="separate"/>
        </w:r>
        <w:r w:rsidRPr="00696AC0">
          <w:rPr>
            <w:b/>
            <w:bCs/>
            <w:noProof/>
            <w:webHidden/>
          </w:rPr>
          <w:t>7</w:t>
        </w:r>
        <w:r w:rsidRPr="00696AC0">
          <w:rPr>
            <w:b/>
            <w:bCs/>
            <w:noProof/>
            <w:webHidden/>
          </w:rPr>
          <w:fldChar w:fldCharType="end"/>
        </w:r>
      </w:hyperlink>
    </w:p>
    <w:p w14:paraId="30EF6F00" w14:textId="7230BB26" w:rsidR="001750D1" w:rsidRPr="00696AC0" w:rsidRDefault="001750D1">
      <w:pPr>
        <w:pStyle w:val="TOC2"/>
        <w:tabs>
          <w:tab w:val="right" w:leader="dot" w:pos="9350"/>
        </w:tabs>
        <w:rPr>
          <w:rFonts w:asciiTheme="minorHAnsi" w:eastAsiaTheme="minorEastAsia" w:hAnsiTheme="minorHAnsi"/>
          <w:b/>
          <w:bCs/>
          <w:noProof/>
        </w:rPr>
      </w:pPr>
      <w:hyperlink w:anchor="_Toc216563375" w:history="1">
        <w:r w:rsidRPr="00696AC0">
          <w:rPr>
            <w:rStyle w:val="Hyperlink"/>
            <w:b/>
            <w:bCs/>
            <w:noProof/>
            <w:lang w:val="fr-FR"/>
          </w:rPr>
          <w:t>Construction d'un portefeuille à pondération égale :</w:t>
        </w:r>
        <w:r w:rsidRPr="00696AC0">
          <w:rPr>
            <w:b/>
            <w:bCs/>
            <w:noProof/>
            <w:webHidden/>
          </w:rPr>
          <w:tab/>
        </w:r>
        <w:r w:rsidRPr="00696AC0">
          <w:rPr>
            <w:b/>
            <w:bCs/>
            <w:noProof/>
            <w:webHidden/>
          </w:rPr>
          <w:fldChar w:fldCharType="begin"/>
        </w:r>
        <w:r w:rsidRPr="00696AC0">
          <w:rPr>
            <w:b/>
            <w:bCs/>
            <w:noProof/>
            <w:webHidden/>
          </w:rPr>
          <w:instrText xml:space="preserve"> PAGEREF _Toc216563375 \h </w:instrText>
        </w:r>
        <w:r w:rsidRPr="00696AC0">
          <w:rPr>
            <w:b/>
            <w:bCs/>
            <w:noProof/>
            <w:webHidden/>
          </w:rPr>
        </w:r>
        <w:r w:rsidRPr="00696AC0">
          <w:rPr>
            <w:b/>
            <w:bCs/>
            <w:noProof/>
            <w:webHidden/>
          </w:rPr>
          <w:fldChar w:fldCharType="separate"/>
        </w:r>
        <w:r w:rsidRPr="00696AC0">
          <w:rPr>
            <w:b/>
            <w:bCs/>
            <w:noProof/>
            <w:webHidden/>
          </w:rPr>
          <w:t>8</w:t>
        </w:r>
        <w:r w:rsidRPr="00696AC0">
          <w:rPr>
            <w:b/>
            <w:bCs/>
            <w:noProof/>
            <w:webHidden/>
          </w:rPr>
          <w:fldChar w:fldCharType="end"/>
        </w:r>
      </w:hyperlink>
    </w:p>
    <w:p w14:paraId="6C82318F" w14:textId="5B26030C" w:rsidR="001750D1" w:rsidRPr="00696AC0" w:rsidRDefault="001750D1">
      <w:pPr>
        <w:pStyle w:val="TOC1"/>
        <w:tabs>
          <w:tab w:val="right" w:leader="dot" w:pos="9350"/>
        </w:tabs>
        <w:rPr>
          <w:rFonts w:asciiTheme="minorHAnsi" w:eastAsiaTheme="minorEastAsia" w:hAnsiTheme="minorHAnsi"/>
          <w:b/>
          <w:bCs/>
          <w:noProof/>
        </w:rPr>
      </w:pPr>
      <w:hyperlink w:anchor="_Toc216563376" w:history="1">
        <w:r w:rsidRPr="00696AC0">
          <w:rPr>
            <w:rStyle w:val="Hyperlink"/>
            <w:b/>
            <w:bCs/>
            <w:noProof/>
            <w:lang w:val="fr-FR"/>
          </w:rPr>
          <w:t>Stratégie de portefeuille optimisée :</w:t>
        </w:r>
        <w:r w:rsidRPr="00696AC0">
          <w:rPr>
            <w:b/>
            <w:bCs/>
            <w:noProof/>
            <w:webHidden/>
          </w:rPr>
          <w:tab/>
        </w:r>
        <w:r w:rsidRPr="00696AC0">
          <w:rPr>
            <w:b/>
            <w:bCs/>
            <w:noProof/>
            <w:webHidden/>
          </w:rPr>
          <w:fldChar w:fldCharType="begin"/>
        </w:r>
        <w:r w:rsidRPr="00696AC0">
          <w:rPr>
            <w:b/>
            <w:bCs/>
            <w:noProof/>
            <w:webHidden/>
          </w:rPr>
          <w:instrText xml:space="preserve"> PAGEREF _Toc216563376 \h </w:instrText>
        </w:r>
        <w:r w:rsidRPr="00696AC0">
          <w:rPr>
            <w:b/>
            <w:bCs/>
            <w:noProof/>
            <w:webHidden/>
          </w:rPr>
        </w:r>
        <w:r w:rsidRPr="00696AC0">
          <w:rPr>
            <w:b/>
            <w:bCs/>
            <w:noProof/>
            <w:webHidden/>
          </w:rPr>
          <w:fldChar w:fldCharType="separate"/>
        </w:r>
        <w:r w:rsidRPr="00696AC0">
          <w:rPr>
            <w:b/>
            <w:bCs/>
            <w:noProof/>
            <w:webHidden/>
          </w:rPr>
          <w:t>9</w:t>
        </w:r>
        <w:r w:rsidRPr="00696AC0">
          <w:rPr>
            <w:b/>
            <w:bCs/>
            <w:noProof/>
            <w:webHidden/>
          </w:rPr>
          <w:fldChar w:fldCharType="end"/>
        </w:r>
      </w:hyperlink>
    </w:p>
    <w:p w14:paraId="59B41DA1" w14:textId="7A567C7B" w:rsidR="001750D1" w:rsidRPr="00696AC0" w:rsidRDefault="001750D1">
      <w:pPr>
        <w:pStyle w:val="TOC2"/>
        <w:tabs>
          <w:tab w:val="right" w:leader="dot" w:pos="9350"/>
        </w:tabs>
        <w:rPr>
          <w:rFonts w:asciiTheme="minorHAnsi" w:eastAsiaTheme="minorEastAsia" w:hAnsiTheme="minorHAnsi"/>
          <w:b/>
          <w:bCs/>
          <w:noProof/>
        </w:rPr>
      </w:pPr>
      <w:hyperlink w:anchor="_Toc216563377" w:history="1">
        <w:r w:rsidRPr="00696AC0">
          <w:rPr>
            <w:rStyle w:val="Hyperlink"/>
            <w:b/>
            <w:bCs/>
            <w:noProof/>
            <w:lang w:val="fr-FR"/>
          </w:rPr>
          <w:t>Portefeuille à pondération égale (scénario de référence) :</w:t>
        </w:r>
        <w:r w:rsidRPr="00696AC0">
          <w:rPr>
            <w:b/>
            <w:bCs/>
            <w:noProof/>
            <w:webHidden/>
          </w:rPr>
          <w:tab/>
        </w:r>
        <w:r w:rsidRPr="00696AC0">
          <w:rPr>
            <w:b/>
            <w:bCs/>
            <w:noProof/>
            <w:webHidden/>
          </w:rPr>
          <w:fldChar w:fldCharType="begin"/>
        </w:r>
        <w:r w:rsidRPr="00696AC0">
          <w:rPr>
            <w:b/>
            <w:bCs/>
            <w:noProof/>
            <w:webHidden/>
          </w:rPr>
          <w:instrText xml:space="preserve"> PAGEREF _Toc216563377 \h </w:instrText>
        </w:r>
        <w:r w:rsidRPr="00696AC0">
          <w:rPr>
            <w:b/>
            <w:bCs/>
            <w:noProof/>
            <w:webHidden/>
          </w:rPr>
        </w:r>
        <w:r w:rsidRPr="00696AC0">
          <w:rPr>
            <w:b/>
            <w:bCs/>
            <w:noProof/>
            <w:webHidden/>
          </w:rPr>
          <w:fldChar w:fldCharType="separate"/>
        </w:r>
        <w:r w:rsidRPr="00696AC0">
          <w:rPr>
            <w:b/>
            <w:bCs/>
            <w:noProof/>
            <w:webHidden/>
          </w:rPr>
          <w:t>9</w:t>
        </w:r>
        <w:r w:rsidRPr="00696AC0">
          <w:rPr>
            <w:b/>
            <w:bCs/>
            <w:noProof/>
            <w:webHidden/>
          </w:rPr>
          <w:fldChar w:fldCharType="end"/>
        </w:r>
      </w:hyperlink>
    </w:p>
    <w:p w14:paraId="6DE18BDE" w14:textId="09D75A02" w:rsidR="001750D1" w:rsidRPr="00696AC0" w:rsidRDefault="001750D1">
      <w:pPr>
        <w:pStyle w:val="TOC2"/>
        <w:tabs>
          <w:tab w:val="right" w:leader="dot" w:pos="9350"/>
        </w:tabs>
        <w:rPr>
          <w:rFonts w:asciiTheme="minorHAnsi" w:eastAsiaTheme="minorEastAsia" w:hAnsiTheme="minorHAnsi"/>
          <w:b/>
          <w:bCs/>
          <w:noProof/>
        </w:rPr>
      </w:pPr>
      <w:hyperlink w:anchor="_Toc216563378" w:history="1">
        <w:r w:rsidRPr="00696AC0">
          <w:rPr>
            <w:rStyle w:val="Hyperlink"/>
            <w:b/>
            <w:bCs/>
            <w:noProof/>
            <w:lang w:val="fr-FR"/>
          </w:rPr>
          <w:t>Allocation individuelle basée sur Sharpe :</w:t>
        </w:r>
        <w:r w:rsidRPr="00696AC0">
          <w:rPr>
            <w:b/>
            <w:bCs/>
            <w:noProof/>
            <w:webHidden/>
          </w:rPr>
          <w:tab/>
        </w:r>
        <w:r w:rsidRPr="00696AC0">
          <w:rPr>
            <w:b/>
            <w:bCs/>
            <w:noProof/>
            <w:webHidden/>
          </w:rPr>
          <w:fldChar w:fldCharType="begin"/>
        </w:r>
        <w:r w:rsidRPr="00696AC0">
          <w:rPr>
            <w:b/>
            <w:bCs/>
            <w:noProof/>
            <w:webHidden/>
          </w:rPr>
          <w:instrText xml:space="preserve"> PAGEREF _Toc216563378 \h </w:instrText>
        </w:r>
        <w:r w:rsidRPr="00696AC0">
          <w:rPr>
            <w:b/>
            <w:bCs/>
            <w:noProof/>
            <w:webHidden/>
          </w:rPr>
        </w:r>
        <w:r w:rsidRPr="00696AC0">
          <w:rPr>
            <w:b/>
            <w:bCs/>
            <w:noProof/>
            <w:webHidden/>
          </w:rPr>
          <w:fldChar w:fldCharType="separate"/>
        </w:r>
        <w:r w:rsidRPr="00696AC0">
          <w:rPr>
            <w:b/>
            <w:bCs/>
            <w:noProof/>
            <w:webHidden/>
          </w:rPr>
          <w:t>10</w:t>
        </w:r>
        <w:r w:rsidRPr="00696AC0">
          <w:rPr>
            <w:b/>
            <w:bCs/>
            <w:noProof/>
            <w:webHidden/>
          </w:rPr>
          <w:fldChar w:fldCharType="end"/>
        </w:r>
      </w:hyperlink>
    </w:p>
    <w:p w14:paraId="00BFB073" w14:textId="3AB9E209" w:rsidR="001750D1" w:rsidRPr="00696AC0" w:rsidRDefault="001750D1">
      <w:pPr>
        <w:pStyle w:val="TOC2"/>
        <w:tabs>
          <w:tab w:val="right" w:leader="dot" w:pos="9350"/>
        </w:tabs>
        <w:rPr>
          <w:rFonts w:asciiTheme="minorHAnsi" w:eastAsiaTheme="minorEastAsia" w:hAnsiTheme="minorHAnsi"/>
          <w:b/>
          <w:bCs/>
          <w:noProof/>
        </w:rPr>
      </w:pPr>
      <w:hyperlink w:anchor="_Toc216563379" w:history="1">
        <w:r w:rsidRPr="00696AC0">
          <w:rPr>
            <w:rStyle w:val="Hyperlink"/>
            <w:b/>
            <w:bCs/>
            <w:noProof/>
            <w:lang w:val="fr-FR"/>
          </w:rPr>
          <w:t>Portefeuille Sharpe maximal (positions longues uniquement) :</w:t>
        </w:r>
        <w:r w:rsidRPr="00696AC0">
          <w:rPr>
            <w:b/>
            <w:bCs/>
            <w:noProof/>
            <w:webHidden/>
          </w:rPr>
          <w:tab/>
        </w:r>
        <w:r w:rsidRPr="00696AC0">
          <w:rPr>
            <w:b/>
            <w:bCs/>
            <w:noProof/>
            <w:webHidden/>
          </w:rPr>
          <w:fldChar w:fldCharType="begin"/>
        </w:r>
        <w:r w:rsidRPr="00696AC0">
          <w:rPr>
            <w:b/>
            <w:bCs/>
            <w:noProof/>
            <w:webHidden/>
          </w:rPr>
          <w:instrText xml:space="preserve"> PAGEREF _Toc216563379 \h </w:instrText>
        </w:r>
        <w:r w:rsidRPr="00696AC0">
          <w:rPr>
            <w:b/>
            <w:bCs/>
            <w:noProof/>
            <w:webHidden/>
          </w:rPr>
        </w:r>
        <w:r w:rsidRPr="00696AC0">
          <w:rPr>
            <w:b/>
            <w:bCs/>
            <w:noProof/>
            <w:webHidden/>
          </w:rPr>
          <w:fldChar w:fldCharType="separate"/>
        </w:r>
        <w:r w:rsidRPr="00696AC0">
          <w:rPr>
            <w:b/>
            <w:bCs/>
            <w:noProof/>
            <w:webHidden/>
          </w:rPr>
          <w:t>10</w:t>
        </w:r>
        <w:r w:rsidRPr="00696AC0">
          <w:rPr>
            <w:b/>
            <w:bCs/>
            <w:noProof/>
            <w:webHidden/>
          </w:rPr>
          <w:fldChar w:fldCharType="end"/>
        </w:r>
      </w:hyperlink>
    </w:p>
    <w:p w14:paraId="54E0D55D" w14:textId="01E84DB7" w:rsidR="001750D1" w:rsidRPr="00696AC0" w:rsidRDefault="001750D1">
      <w:pPr>
        <w:pStyle w:val="TOC2"/>
        <w:tabs>
          <w:tab w:val="right" w:leader="dot" w:pos="9350"/>
        </w:tabs>
        <w:rPr>
          <w:rFonts w:asciiTheme="minorHAnsi" w:eastAsiaTheme="minorEastAsia" w:hAnsiTheme="minorHAnsi"/>
          <w:b/>
          <w:bCs/>
          <w:noProof/>
        </w:rPr>
      </w:pPr>
      <w:hyperlink w:anchor="_Toc216563380" w:history="1">
        <w:r w:rsidRPr="00696AC0">
          <w:rPr>
            <w:rStyle w:val="Hyperlink"/>
            <w:b/>
            <w:bCs/>
            <w:noProof/>
            <w:lang w:val="fr-FR"/>
          </w:rPr>
          <w:t xml:space="preserve">Stratégie de </w:t>
        </w:r>
        <w:r w:rsidRPr="00696AC0">
          <w:rPr>
            <w:rStyle w:val="Hyperlink"/>
            <w:b/>
            <w:bCs/>
            <w:noProof/>
          </w:rPr>
          <w:t>portefeuille</w:t>
        </w:r>
        <w:r w:rsidRPr="00696AC0">
          <w:rPr>
            <w:rStyle w:val="Hyperlink"/>
            <w:b/>
            <w:bCs/>
            <w:noProof/>
            <w:lang w:val="fr-FR"/>
          </w:rPr>
          <w:t xml:space="preserve"> hybride :</w:t>
        </w:r>
        <w:r w:rsidRPr="00696AC0">
          <w:rPr>
            <w:b/>
            <w:bCs/>
            <w:noProof/>
            <w:webHidden/>
          </w:rPr>
          <w:tab/>
        </w:r>
        <w:r w:rsidRPr="00696AC0">
          <w:rPr>
            <w:b/>
            <w:bCs/>
            <w:noProof/>
            <w:webHidden/>
          </w:rPr>
          <w:fldChar w:fldCharType="begin"/>
        </w:r>
        <w:r w:rsidRPr="00696AC0">
          <w:rPr>
            <w:b/>
            <w:bCs/>
            <w:noProof/>
            <w:webHidden/>
          </w:rPr>
          <w:instrText xml:space="preserve"> PAGEREF _Toc216563380 \h </w:instrText>
        </w:r>
        <w:r w:rsidRPr="00696AC0">
          <w:rPr>
            <w:b/>
            <w:bCs/>
            <w:noProof/>
            <w:webHidden/>
          </w:rPr>
        </w:r>
        <w:r w:rsidRPr="00696AC0">
          <w:rPr>
            <w:b/>
            <w:bCs/>
            <w:noProof/>
            <w:webHidden/>
          </w:rPr>
          <w:fldChar w:fldCharType="separate"/>
        </w:r>
        <w:r w:rsidRPr="00696AC0">
          <w:rPr>
            <w:b/>
            <w:bCs/>
            <w:noProof/>
            <w:webHidden/>
          </w:rPr>
          <w:t>10</w:t>
        </w:r>
        <w:r w:rsidRPr="00696AC0">
          <w:rPr>
            <w:b/>
            <w:bCs/>
            <w:noProof/>
            <w:webHidden/>
          </w:rPr>
          <w:fldChar w:fldCharType="end"/>
        </w:r>
      </w:hyperlink>
    </w:p>
    <w:p w14:paraId="5066235B" w14:textId="630644DF" w:rsidR="001750D1" w:rsidRPr="00696AC0" w:rsidRDefault="001750D1">
      <w:pPr>
        <w:pStyle w:val="TOC1"/>
        <w:tabs>
          <w:tab w:val="right" w:leader="dot" w:pos="9350"/>
        </w:tabs>
        <w:rPr>
          <w:rFonts w:asciiTheme="minorHAnsi" w:eastAsiaTheme="minorEastAsia" w:hAnsiTheme="minorHAnsi"/>
          <w:b/>
          <w:bCs/>
          <w:noProof/>
        </w:rPr>
      </w:pPr>
      <w:hyperlink w:anchor="_Toc216563381" w:history="1">
        <w:r w:rsidRPr="00696AC0">
          <w:rPr>
            <w:rStyle w:val="Hyperlink"/>
            <w:b/>
            <w:bCs/>
            <w:noProof/>
            <w:lang w:val="fr-FR"/>
          </w:rPr>
          <w:t>Efficient Frontier &amp; Monte Carlo Optimization:</w:t>
        </w:r>
        <w:r w:rsidRPr="00696AC0">
          <w:rPr>
            <w:b/>
            <w:bCs/>
            <w:noProof/>
            <w:webHidden/>
          </w:rPr>
          <w:tab/>
        </w:r>
        <w:r w:rsidRPr="00696AC0">
          <w:rPr>
            <w:b/>
            <w:bCs/>
            <w:noProof/>
            <w:webHidden/>
          </w:rPr>
          <w:fldChar w:fldCharType="begin"/>
        </w:r>
        <w:r w:rsidRPr="00696AC0">
          <w:rPr>
            <w:b/>
            <w:bCs/>
            <w:noProof/>
            <w:webHidden/>
          </w:rPr>
          <w:instrText xml:space="preserve"> PAGEREF _Toc216563381 \h </w:instrText>
        </w:r>
        <w:r w:rsidRPr="00696AC0">
          <w:rPr>
            <w:b/>
            <w:bCs/>
            <w:noProof/>
            <w:webHidden/>
          </w:rPr>
        </w:r>
        <w:r w:rsidRPr="00696AC0">
          <w:rPr>
            <w:b/>
            <w:bCs/>
            <w:noProof/>
            <w:webHidden/>
          </w:rPr>
          <w:fldChar w:fldCharType="separate"/>
        </w:r>
        <w:r w:rsidRPr="00696AC0">
          <w:rPr>
            <w:b/>
            <w:bCs/>
            <w:noProof/>
            <w:webHidden/>
          </w:rPr>
          <w:t>11</w:t>
        </w:r>
        <w:r w:rsidRPr="00696AC0">
          <w:rPr>
            <w:b/>
            <w:bCs/>
            <w:noProof/>
            <w:webHidden/>
          </w:rPr>
          <w:fldChar w:fldCharType="end"/>
        </w:r>
      </w:hyperlink>
    </w:p>
    <w:p w14:paraId="796745CD" w14:textId="7807F446" w:rsidR="001750D1" w:rsidRPr="00696AC0" w:rsidRDefault="001750D1">
      <w:pPr>
        <w:pStyle w:val="TOC1"/>
        <w:tabs>
          <w:tab w:val="right" w:leader="dot" w:pos="9350"/>
        </w:tabs>
        <w:rPr>
          <w:rFonts w:asciiTheme="minorHAnsi" w:eastAsiaTheme="minorEastAsia" w:hAnsiTheme="minorHAnsi"/>
          <w:b/>
          <w:bCs/>
          <w:noProof/>
        </w:rPr>
      </w:pPr>
      <w:hyperlink w:anchor="_Toc216563382" w:history="1">
        <w:r w:rsidRPr="00696AC0">
          <w:rPr>
            <w:rStyle w:val="Hyperlink"/>
            <w:b/>
            <w:bCs/>
            <w:noProof/>
            <w:lang w:val="fr-FR"/>
          </w:rPr>
          <w:t>Analyse de la performance des portefeuilles optimisés :</w:t>
        </w:r>
        <w:r w:rsidRPr="00696AC0">
          <w:rPr>
            <w:b/>
            <w:bCs/>
            <w:noProof/>
            <w:webHidden/>
          </w:rPr>
          <w:tab/>
        </w:r>
        <w:r w:rsidRPr="00696AC0">
          <w:rPr>
            <w:b/>
            <w:bCs/>
            <w:noProof/>
            <w:webHidden/>
          </w:rPr>
          <w:fldChar w:fldCharType="begin"/>
        </w:r>
        <w:r w:rsidRPr="00696AC0">
          <w:rPr>
            <w:b/>
            <w:bCs/>
            <w:noProof/>
            <w:webHidden/>
          </w:rPr>
          <w:instrText xml:space="preserve"> PAGEREF _Toc216563382 \h </w:instrText>
        </w:r>
        <w:r w:rsidRPr="00696AC0">
          <w:rPr>
            <w:b/>
            <w:bCs/>
            <w:noProof/>
            <w:webHidden/>
          </w:rPr>
        </w:r>
        <w:r w:rsidRPr="00696AC0">
          <w:rPr>
            <w:b/>
            <w:bCs/>
            <w:noProof/>
            <w:webHidden/>
          </w:rPr>
          <w:fldChar w:fldCharType="separate"/>
        </w:r>
        <w:r w:rsidRPr="00696AC0">
          <w:rPr>
            <w:b/>
            <w:bCs/>
            <w:noProof/>
            <w:webHidden/>
          </w:rPr>
          <w:t>12</w:t>
        </w:r>
        <w:r w:rsidRPr="00696AC0">
          <w:rPr>
            <w:b/>
            <w:bCs/>
            <w:noProof/>
            <w:webHidden/>
          </w:rPr>
          <w:fldChar w:fldCharType="end"/>
        </w:r>
      </w:hyperlink>
    </w:p>
    <w:p w14:paraId="09EDD152" w14:textId="182571F6" w:rsidR="001750D1" w:rsidRPr="00696AC0" w:rsidRDefault="001750D1">
      <w:pPr>
        <w:pStyle w:val="TOC2"/>
        <w:tabs>
          <w:tab w:val="right" w:leader="dot" w:pos="9350"/>
        </w:tabs>
        <w:rPr>
          <w:rFonts w:asciiTheme="minorHAnsi" w:eastAsiaTheme="minorEastAsia" w:hAnsiTheme="minorHAnsi"/>
          <w:b/>
          <w:bCs/>
          <w:noProof/>
        </w:rPr>
      </w:pPr>
      <w:hyperlink w:anchor="_Toc216563383" w:history="1">
        <w:r w:rsidRPr="00696AC0">
          <w:rPr>
            <w:rStyle w:val="Hyperlink"/>
            <w:b/>
            <w:bCs/>
            <w:noProof/>
            <w:lang w:val="fr-FR"/>
          </w:rPr>
          <w:t>Analyses du rendement des portfeuilles:</w:t>
        </w:r>
        <w:r w:rsidRPr="00696AC0">
          <w:rPr>
            <w:b/>
            <w:bCs/>
            <w:noProof/>
            <w:webHidden/>
          </w:rPr>
          <w:tab/>
        </w:r>
        <w:r w:rsidRPr="00696AC0">
          <w:rPr>
            <w:b/>
            <w:bCs/>
            <w:noProof/>
            <w:webHidden/>
          </w:rPr>
          <w:fldChar w:fldCharType="begin"/>
        </w:r>
        <w:r w:rsidRPr="00696AC0">
          <w:rPr>
            <w:b/>
            <w:bCs/>
            <w:noProof/>
            <w:webHidden/>
          </w:rPr>
          <w:instrText xml:space="preserve"> PAGEREF _Toc216563383 \h </w:instrText>
        </w:r>
        <w:r w:rsidRPr="00696AC0">
          <w:rPr>
            <w:b/>
            <w:bCs/>
            <w:noProof/>
            <w:webHidden/>
          </w:rPr>
        </w:r>
        <w:r w:rsidRPr="00696AC0">
          <w:rPr>
            <w:b/>
            <w:bCs/>
            <w:noProof/>
            <w:webHidden/>
          </w:rPr>
          <w:fldChar w:fldCharType="separate"/>
        </w:r>
        <w:r w:rsidRPr="00696AC0">
          <w:rPr>
            <w:b/>
            <w:bCs/>
            <w:noProof/>
            <w:webHidden/>
          </w:rPr>
          <w:t>12</w:t>
        </w:r>
        <w:r w:rsidRPr="00696AC0">
          <w:rPr>
            <w:b/>
            <w:bCs/>
            <w:noProof/>
            <w:webHidden/>
          </w:rPr>
          <w:fldChar w:fldCharType="end"/>
        </w:r>
      </w:hyperlink>
    </w:p>
    <w:p w14:paraId="0383F668" w14:textId="41E547AF" w:rsidR="001750D1" w:rsidRPr="00696AC0" w:rsidRDefault="001750D1">
      <w:pPr>
        <w:pStyle w:val="TOC2"/>
        <w:tabs>
          <w:tab w:val="right" w:leader="dot" w:pos="9350"/>
        </w:tabs>
        <w:rPr>
          <w:rFonts w:asciiTheme="minorHAnsi" w:eastAsiaTheme="minorEastAsia" w:hAnsiTheme="minorHAnsi"/>
          <w:b/>
          <w:bCs/>
          <w:noProof/>
        </w:rPr>
      </w:pPr>
      <w:hyperlink w:anchor="_Toc216563384" w:history="1">
        <w:r w:rsidRPr="00696AC0">
          <w:rPr>
            <w:rStyle w:val="Hyperlink"/>
            <w:b/>
            <w:bCs/>
            <w:noProof/>
            <w:lang w:val="fr-FR"/>
          </w:rPr>
          <w:t>Analyse du Drawdown:</w:t>
        </w:r>
        <w:r w:rsidRPr="00696AC0">
          <w:rPr>
            <w:b/>
            <w:bCs/>
            <w:noProof/>
            <w:webHidden/>
          </w:rPr>
          <w:tab/>
        </w:r>
        <w:r w:rsidRPr="00696AC0">
          <w:rPr>
            <w:b/>
            <w:bCs/>
            <w:noProof/>
            <w:webHidden/>
          </w:rPr>
          <w:fldChar w:fldCharType="begin"/>
        </w:r>
        <w:r w:rsidRPr="00696AC0">
          <w:rPr>
            <w:b/>
            <w:bCs/>
            <w:noProof/>
            <w:webHidden/>
          </w:rPr>
          <w:instrText xml:space="preserve"> PAGEREF _Toc216563384 \h </w:instrText>
        </w:r>
        <w:r w:rsidRPr="00696AC0">
          <w:rPr>
            <w:b/>
            <w:bCs/>
            <w:noProof/>
            <w:webHidden/>
          </w:rPr>
        </w:r>
        <w:r w:rsidRPr="00696AC0">
          <w:rPr>
            <w:b/>
            <w:bCs/>
            <w:noProof/>
            <w:webHidden/>
          </w:rPr>
          <w:fldChar w:fldCharType="separate"/>
        </w:r>
        <w:r w:rsidRPr="00696AC0">
          <w:rPr>
            <w:b/>
            <w:bCs/>
            <w:noProof/>
            <w:webHidden/>
          </w:rPr>
          <w:t>13</w:t>
        </w:r>
        <w:r w:rsidRPr="00696AC0">
          <w:rPr>
            <w:b/>
            <w:bCs/>
            <w:noProof/>
            <w:webHidden/>
          </w:rPr>
          <w:fldChar w:fldCharType="end"/>
        </w:r>
      </w:hyperlink>
    </w:p>
    <w:p w14:paraId="7890AF6C" w14:textId="3D9F3C10" w:rsidR="001750D1" w:rsidRPr="00696AC0" w:rsidRDefault="001750D1">
      <w:pPr>
        <w:pStyle w:val="TOC1"/>
        <w:tabs>
          <w:tab w:val="right" w:leader="dot" w:pos="9350"/>
        </w:tabs>
        <w:rPr>
          <w:rFonts w:asciiTheme="minorHAnsi" w:eastAsiaTheme="minorEastAsia" w:hAnsiTheme="minorHAnsi"/>
          <w:b/>
          <w:bCs/>
          <w:noProof/>
        </w:rPr>
      </w:pPr>
      <w:hyperlink w:anchor="_Toc216563385" w:history="1">
        <w:r w:rsidRPr="00696AC0">
          <w:rPr>
            <w:rStyle w:val="Hyperlink"/>
            <w:b/>
            <w:bCs/>
            <w:noProof/>
          </w:rPr>
          <w:t>Conclusion</w:t>
        </w:r>
        <w:r w:rsidRPr="00696AC0">
          <w:rPr>
            <w:rStyle w:val="Hyperlink"/>
            <w:b/>
            <w:bCs/>
            <w:noProof/>
            <w:lang w:val="fr-FR"/>
          </w:rPr>
          <w:t>:</w:t>
        </w:r>
        <w:r w:rsidRPr="00696AC0">
          <w:rPr>
            <w:b/>
            <w:bCs/>
            <w:noProof/>
            <w:webHidden/>
          </w:rPr>
          <w:tab/>
        </w:r>
        <w:r w:rsidRPr="00696AC0">
          <w:rPr>
            <w:b/>
            <w:bCs/>
            <w:noProof/>
            <w:webHidden/>
          </w:rPr>
          <w:fldChar w:fldCharType="begin"/>
        </w:r>
        <w:r w:rsidRPr="00696AC0">
          <w:rPr>
            <w:b/>
            <w:bCs/>
            <w:noProof/>
            <w:webHidden/>
          </w:rPr>
          <w:instrText xml:space="preserve"> PAGEREF _Toc216563385 \h </w:instrText>
        </w:r>
        <w:r w:rsidRPr="00696AC0">
          <w:rPr>
            <w:b/>
            <w:bCs/>
            <w:noProof/>
            <w:webHidden/>
          </w:rPr>
        </w:r>
        <w:r w:rsidRPr="00696AC0">
          <w:rPr>
            <w:b/>
            <w:bCs/>
            <w:noProof/>
            <w:webHidden/>
          </w:rPr>
          <w:fldChar w:fldCharType="separate"/>
        </w:r>
        <w:r w:rsidRPr="00696AC0">
          <w:rPr>
            <w:b/>
            <w:bCs/>
            <w:noProof/>
            <w:webHidden/>
          </w:rPr>
          <w:t>15</w:t>
        </w:r>
        <w:r w:rsidRPr="00696AC0">
          <w:rPr>
            <w:b/>
            <w:bCs/>
            <w:noProof/>
            <w:webHidden/>
          </w:rPr>
          <w:fldChar w:fldCharType="end"/>
        </w:r>
      </w:hyperlink>
    </w:p>
    <w:p w14:paraId="61A6B28D" w14:textId="691F4E8B" w:rsidR="001750D1" w:rsidRPr="00696AC0" w:rsidRDefault="001750D1">
      <w:pPr>
        <w:pStyle w:val="TOC1"/>
        <w:tabs>
          <w:tab w:val="right" w:leader="dot" w:pos="9350"/>
        </w:tabs>
        <w:rPr>
          <w:rFonts w:asciiTheme="minorHAnsi" w:eastAsiaTheme="minorEastAsia" w:hAnsiTheme="minorHAnsi"/>
          <w:b/>
          <w:bCs/>
          <w:noProof/>
        </w:rPr>
      </w:pPr>
      <w:hyperlink w:anchor="_Toc216563386" w:history="1">
        <w:r w:rsidRPr="00696AC0">
          <w:rPr>
            <w:rStyle w:val="Hyperlink"/>
            <w:b/>
            <w:bCs/>
            <w:noProof/>
            <w:lang w:val="fr-FR"/>
          </w:rPr>
          <w:t>Améliorations futures :</w:t>
        </w:r>
        <w:r w:rsidRPr="00696AC0">
          <w:rPr>
            <w:b/>
            <w:bCs/>
            <w:noProof/>
            <w:webHidden/>
          </w:rPr>
          <w:tab/>
        </w:r>
        <w:r w:rsidRPr="00696AC0">
          <w:rPr>
            <w:b/>
            <w:bCs/>
            <w:noProof/>
            <w:webHidden/>
          </w:rPr>
          <w:fldChar w:fldCharType="begin"/>
        </w:r>
        <w:r w:rsidRPr="00696AC0">
          <w:rPr>
            <w:b/>
            <w:bCs/>
            <w:noProof/>
            <w:webHidden/>
          </w:rPr>
          <w:instrText xml:space="preserve"> PAGEREF _Toc216563386 \h </w:instrText>
        </w:r>
        <w:r w:rsidRPr="00696AC0">
          <w:rPr>
            <w:b/>
            <w:bCs/>
            <w:noProof/>
            <w:webHidden/>
          </w:rPr>
        </w:r>
        <w:r w:rsidRPr="00696AC0">
          <w:rPr>
            <w:b/>
            <w:bCs/>
            <w:noProof/>
            <w:webHidden/>
          </w:rPr>
          <w:fldChar w:fldCharType="separate"/>
        </w:r>
        <w:r w:rsidRPr="00696AC0">
          <w:rPr>
            <w:b/>
            <w:bCs/>
            <w:noProof/>
            <w:webHidden/>
          </w:rPr>
          <w:t>15</w:t>
        </w:r>
        <w:r w:rsidRPr="00696AC0">
          <w:rPr>
            <w:b/>
            <w:bCs/>
            <w:noProof/>
            <w:webHidden/>
          </w:rPr>
          <w:fldChar w:fldCharType="end"/>
        </w:r>
      </w:hyperlink>
    </w:p>
    <w:p w14:paraId="13B75429" w14:textId="6DC9668A" w:rsidR="00531A8A" w:rsidRDefault="001750D1" w:rsidP="001750D1">
      <w:pPr>
        <w:spacing w:line="240" w:lineRule="auto"/>
        <w:jc w:val="center"/>
        <w:rPr>
          <w:b/>
          <w:bCs/>
          <w:color w:val="747474" w:themeColor="background2" w:themeShade="80"/>
          <w:sz w:val="18"/>
          <w:szCs w:val="18"/>
        </w:rPr>
      </w:pPr>
      <w:r>
        <w:rPr>
          <w:b/>
          <w:bCs/>
          <w:color w:val="747474" w:themeColor="background2" w:themeShade="80"/>
          <w:sz w:val="18"/>
          <w:szCs w:val="18"/>
        </w:rPr>
        <w:fldChar w:fldCharType="end"/>
      </w:r>
    </w:p>
    <w:p w14:paraId="403366BB" w14:textId="77777777" w:rsidR="00531A8A" w:rsidRDefault="00531A8A">
      <w:pPr>
        <w:rPr>
          <w:b/>
          <w:bCs/>
          <w:color w:val="747474" w:themeColor="background2" w:themeShade="80"/>
          <w:sz w:val="18"/>
          <w:szCs w:val="18"/>
        </w:rPr>
      </w:pPr>
      <w:r>
        <w:rPr>
          <w:b/>
          <w:bCs/>
          <w:color w:val="747474" w:themeColor="background2" w:themeShade="80"/>
          <w:sz w:val="18"/>
          <w:szCs w:val="18"/>
        </w:rPr>
        <w:br w:type="page"/>
      </w:r>
    </w:p>
    <w:p w14:paraId="2FA0DFC3" w14:textId="77777777" w:rsidR="00187740" w:rsidRPr="00187740" w:rsidRDefault="00187740" w:rsidP="00187740">
      <w:pPr>
        <w:spacing w:line="240" w:lineRule="auto"/>
        <w:rPr>
          <w:b/>
          <w:bCs/>
          <w:color w:val="747474" w:themeColor="background2" w:themeShade="80"/>
          <w:sz w:val="18"/>
          <w:szCs w:val="18"/>
        </w:rPr>
      </w:pPr>
    </w:p>
    <w:p w14:paraId="631FD16A" w14:textId="77777777" w:rsidR="00897E2E" w:rsidRPr="00897E2E" w:rsidRDefault="00897E2E" w:rsidP="00AE77DF">
      <w:pPr>
        <w:pStyle w:val="Title"/>
        <w:rPr>
          <w:lang w:val="fr-FR"/>
        </w:rPr>
      </w:pPr>
      <w:bookmarkStart w:id="0" w:name="_Toc216541066"/>
      <w:bookmarkStart w:id="1" w:name="_Toc216563132"/>
      <w:bookmarkStart w:id="2" w:name="_Toc216563367"/>
      <w:r w:rsidRPr="00897E2E">
        <w:rPr>
          <w:lang w:val="fr-FR"/>
        </w:rPr>
        <w:t>Introduction et méthodologie :</w:t>
      </w:r>
      <w:bookmarkEnd w:id="1"/>
      <w:bookmarkEnd w:id="2"/>
    </w:p>
    <w:p w14:paraId="1996DD6A" w14:textId="77777777" w:rsidR="00897E2E" w:rsidRPr="00897E2E" w:rsidRDefault="00897E2E" w:rsidP="00AE77DF">
      <w:pPr>
        <w:pStyle w:val="Subtitle"/>
        <w:rPr>
          <w:lang w:val="fr-FR"/>
        </w:rPr>
      </w:pPr>
      <w:bookmarkStart w:id="3" w:name="_Toc216563133"/>
      <w:bookmarkStart w:id="4" w:name="_Toc216563368"/>
      <w:bookmarkEnd w:id="0"/>
      <w:r w:rsidRPr="00897E2E">
        <w:rPr>
          <w:lang w:val="fr-FR"/>
        </w:rPr>
        <w:t>Portée, hypothèses, source des données, période d'échantillonnage :</w:t>
      </w:r>
      <w:bookmarkEnd w:id="3"/>
      <w:bookmarkEnd w:id="4"/>
    </w:p>
    <w:p w14:paraId="01C82E58" w14:textId="77777777" w:rsidR="00897E2E" w:rsidRPr="00897E2E" w:rsidRDefault="00897E2E" w:rsidP="00FE1B30">
      <w:pPr>
        <w:rPr>
          <w:lang w:val="fr-FR"/>
        </w:rPr>
      </w:pPr>
      <w:bookmarkStart w:id="5" w:name="_Toc216541067"/>
      <w:r w:rsidRPr="00897E2E">
        <w:rPr>
          <w:lang w:val="fr-FR"/>
        </w:rPr>
        <w:t>Le 13 août 2025, la Bourse de Casablanca a atteint une capitalisation totale de 1 000 milliards de dirhams marocains (MAD), toutes actions confondues. Ce chiffre a attiré l'attention des médias marocains et étrangers, faisant de la Bourse de Casablanca un sujet d'étude et de suivi privilégié pour les investisseurs. Avec une moyenne d'une introduction en bourse (IPO) entre 2018 et 2024, contre trois en 2025, même les plus grandes entreprises, telles que SGTM, ont compris l'intérêt des petits investisseurs marocains, prêts à confier leurs économies durement gagnées aux entreprises marocaines pour favoriser leur croissance et leur prospérité.</w:t>
      </w:r>
    </w:p>
    <w:p w14:paraId="77A6A80D" w14:textId="77777777" w:rsidR="00897E2E" w:rsidRPr="00897E2E" w:rsidRDefault="00897E2E" w:rsidP="00897E2E">
      <w:pPr>
        <w:pStyle w:val="Title"/>
        <w:rPr>
          <w:rFonts w:asciiTheme="majorBidi" w:eastAsiaTheme="minorHAnsi" w:hAnsiTheme="majorBidi"/>
          <w:b w:val="0"/>
          <w:spacing w:val="0"/>
          <w:kern w:val="2"/>
          <w:sz w:val="24"/>
          <w:szCs w:val="24"/>
          <w:lang w:val="fr-FR"/>
        </w:rPr>
      </w:pPr>
    </w:p>
    <w:p w14:paraId="4F8A02DE" w14:textId="77777777" w:rsidR="00897E2E" w:rsidRPr="00897E2E" w:rsidRDefault="00897E2E" w:rsidP="00FE1B30">
      <w:pPr>
        <w:rPr>
          <w:lang w:val="fr-FR"/>
        </w:rPr>
      </w:pPr>
      <w:r w:rsidRPr="00897E2E">
        <w:rPr>
          <w:lang w:val="fr-FR"/>
        </w:rPr>
        <w:t>En tant que trader/analyste quantitatif, je souhaite étudier ce phénomène et constituer un portefeuille d'actions composé à 100 % d'actions marocaines, sans obligations, sans devises, sans cryptomonnaies (la BAM ne serait pas ravie </w:t>
      </w:r>
      <w:r w:rsidRPr="00897E2E">
        <w:rPr>
          <w:rFonts w:ascii="Segoe UI Emoji" w:hAnsi="Segoe UI Emoji" w:cs="Segoe UI Emoji"/>
        </w:rPr>
        <w:t>😉</w:t>
      </w:r>
      <w:r w:rsidRPr="00897E2E">
        <w:rPr>
          <w:lang w:val="fr-FR"/>
        </w:rPr>
        <w:t>). Nous sélectionnerons les entreprises de l'indice boursier marocain MASI20 en fonction de leur capitalisation boursière, de leur chiffre d'affaires et de leur présence sur les marchés marocains, notamment dans les secteurs de l'immobilier, de la banque, de la santé et de la logistique. Nous analyserons les indicateurs clés tels que les rendements quotidiens, le risque, la variance et la corrélation entre les actions, et appliquerons une simulation de Monte-Carlo pour optimiser le portefeuille étudié.</w:t>
      </w:r>
    </w:p>
    <w:p w14:paraId="7C9CF110" w14:textId="77777777" w:rsidR="00897E2E" w:rsidRPr="00897E2E" w:rsidRDefault="00897E2E" w:rsidP="00897E2E">
      <w:pPr>
        <w:pStyle w:val="Title"/>
        <w:rPr>
          <w:rFonts w:asciiTheme="majorBidi" w:eastAsiaTheme="minorHAnsi" w:hAnsiTheme="majorBidi"/>
          <w:b w:val="0"/>
          <w:spacing w:val="0"/>
          <w:kern w:val="2"/>
          <w:sz w:val="24"/>
          <w:szCs w:val="24"/>
          <w:lang w:val="fr-FR"/>
        </w:rPr>
      </w:pPr>
    </w:p>
    <w:p w14:paraId="2BD8DAAA" w14:textId="4AD8DD9F" w:rsidR="00897E2E" w:rsidRPr="00897E2E" w:rsidRDefault="00897E2E" w:rsidP="005B0E2B">
      <w:pPr>
        <w:rPr>
          <w:lang w:val="fr-FR"/>
        </w:rPr>
      </w:pPr>
      <w:bookmarkStart w:id="6" w:name="_Toc216563134"/>
      <w:r w:rsidRPr="00897E2E">
        <w:rPr>
          <w:lang w:val="fr-FR"/>
        </w:rPr>
        <w:t xml:space="preserve">- </w:t>
      </w:r>
      <w:r w:rsidRPr="005B0E2B">
        <w:rPr>
          <w:b/>
          <w:lang w:val="fr-FR"/>
        </w:rPr>
        <w:t xml:space="preserve">Sources des </w:t>
      </w:r>
      <w:proofErr w:type="gramStart"/>
      <w:r w:rsidRPr="005B0E2B">
        <w:rPr>
          <w:b/>
          <w:lang w:val="fr-FR"/>
        </w:rPr>
        <w:t>données</w:t>
      </w:r>
      <w:r w:rsidRPr="00897E2E">
        <w:rPr>
          <w:bCs/>
          <w:lang w:val="fr-FR"/>
        </w:rPr>
        <w:t>:</w:t>
      </w:r>
      <w:proofErr w:type="gramEnd"/>
      <w:r w:rsidRPr="00897E2E">
        <w:rPr>
          <w:lang w:val="fr-FR"/>
        </w:rPr>
        <w:t xml:space="preserve"> Bourse de Casablanca (site officiel), Yahoo Finance et Investing.com</w:t>
      </w:r>
      <w:bookmarkEnd w:id="6"/>
    </w:p>
    <w:p w14:paraId="39497C4E" w14:textId="77777777" w:rsidR="00897E2E" w:rsidRPr="00897E2E" w:rsidRDefault="00897E2E" w:rsidP="00897E2E">
      <w:pPr>
        <w:pStyle w:val="Title"/>
        <w:rPr>
          <w:rFonts w:asciiTheme="majorBidi" w:eastAsiaTheme="minorHAnsi" w:hAnsiTheme="majorBidi"/>
          <w:b w:val="0"/>
          <w:spacing w:val="0"/>
          <w:kern w:val="2"/>
          <w:sz w:val="24"/>
          <w:szCs w:val="24"/>
          <w:lang w:val="fr-FR"/>
        </w:rPr>
      </w:pPr>
    </w:p>
    <w:p w14:paraId="5F79C752" w14:textId="77777777" w:rsidR="00897E2E" w:rsidRDefault="00897E2E" w:rsidP="005B0E2B">
      <w:pPr>
        <w:rPr>
          <w:b/>
          <w:lang w:val="fr-FR"/>
        </w:rPr>
      </w:pPr>
      <w:bookmarkStart w:id="7" w:name="_Toc216563135"/>
      <w:r w:rsidRPr="00897E2E">
        <w:rPr>
          <w:bCs/>
          <w:lang w:val="fr-FR"/>
        </w:rPr>
        <w:t xml:space="preserve">- </w:t>
      </w:r>
      <w:r w:rsidRPr="005B0E2B">
        <w:rPr>
          <w:b/>
          <w:lang w:val="fr-FR"/>
        </w:rPr>
        <w:t>Période d'étude :</w:t>
      </w:r>
      <w:r w:rsidRPr="00897E2E">
        <w:rPr>
          <w:lang w:val="fr-FR"/>
        </w:rPr>
        <w:t xml:space="preserve"> 01/01/2010 – 01/12/2025</w:t>
      </w:r>
      <w:bookmarkEnd w:id="7"/>
    </w:p>
    <w:p w14:paraId="2B3747C2" w14:textId="77777777" w:rsidR="00897E2E" w:rsidRPr="003058F9" w:rsidRDefault="00897E2E" w:rsidP="00897E2E"/>
    <w:p w14:paraId="617C8919" w14:textId="77777777" w:rsidR="003058F9" w:rsidRPr="003058F9" w:rsidRDefault="003058F9" w:rsidP="00AE77DF">
      <w:pPr>
        <w:pStyle w:val="Title"/>
        <w:rPr>
          <w:lang w:val="fr-FR"/>
        </w:rPr>
      </w:pPr>
      <w:bookmarkStart w:id="8" w:name="_Toc216541068"/>
      <w:bookmarkStart w:id="9" w:name="_Toc216563136"/>
      <w:bookmarkStart w:id="10" w:name="_Toc216563369"/>
      <w:bookmarkEnd w:id="5"/>
      <w:r w:rsidRPr="003058F9">
        <w:rPr>
          <w:lang w:val="fr-FR"/>
        </w:rPr>
        <w:t>Aperçu de l’univers du marché :</w:t>
      </w:r>
      <w:bookmarkEnd w:id="9"/>
      <w:bookmarkEnd w:id="10"/>
    </w:p>
    <w:p w14:paraId="10F98D81" w14:textId="77777777" w:rsidR="003058F9" w:rsidRPr="003058F9" w:rsidRDefault="003058F9" w:rsidP="00AE77DF">
      <w:pPr>
        <w:pStyle w:val="Subtitle"/>
        <w:rPr>
          <w:lang w:val="fr-FR"/>
        </w:rPr>
      </w:pPr>
      <w:bookmarkStart w:id="11" w:name="_Toc216563137"/>
      <w:bookmarkStart w:id="12" w:name="_Toc216563370"/>
      <w:bookmarkEnd w:id="8"/>
      <w:r w:rsidRPr="003058F9">
        <w:rPr>
          <w:lang w:val="fr-FR"/>
        </w:rPr>
        <w:t>Actions sélectionnées, pondération de l'indice, statistiques descriptives :</w:t>
      </w:r>
      <w:bookmarkEnd w:id="11"/>
      <w:bookmarkEnd w:id="12"/>
    </w:p>
    <w:p w14:paraId="3D6742F4" w14:textId="77777777" w:rsidR="003058F9" w:rsidRPr="003058F9" w:rsidRDefault="003058F9" w:rsidP="00FE1B30">
      <w:pPr>
        <w:rPr>
          <w:lang w:val="fr-FR"/>
        </w:rPr>
      </w:pPr>
      <w:r w:rsidRPr="003058F9">
        <w:rPr>
          <w:lang w:val="fr-FR"/>
        </w:rPr>
        <w:t xml:space="preserve">Nous partons du principe que le </w:t>
      </w:r>
      <w:proofErr w:type="spellStart"/>
      <w:r w:rsidRPr="003058F9">
        <w:rPr>
          <w:lang w:val="fr-FR"/>
        </w:rPr>
        <w:t>day</w:t>
      </w:r>
      <w:proofErr w:type="spellEnd"/>
      <w:r w:rsidRPr="003058F9">
        <w:rPr>
          <w:lang w:val="fr-FR"/>
        </w:rPr>
        <w:t xml:space="preserve"> trading sur les actions marocaines peut s'avérer complexe en raison du manque de données, de liquidité et de transparence des marchés, comme pour tout marché émergent. C'est pourquoi nous avons sélectionné les six principales actions marocaines en fonction de leur capitalisation boursière et de leur pondération dans l'indice boursier marocain. De plus, les entreprises à forte capitalisation boursière présentent généralement des rendements plus stables, un risque extrême plus faible et une meilleure intégrité des données que celles à plus faible capitalisation. La pondération par capitalisation boursière est une méthode standard utilisée dans les indices mondiaux ; elle reflète la préférence des investisseurs pour les grandes entreprises liquides, le risque idiosyncratique et garantit la disponibilité des données pour les modèles quantitatifs.</w:t>
      </w:r>
    </w:p>
    <w:p w14:paraId="3D805AAA" w14:textId="77777777" w:rsidR="003058F9" w:rsidRPr="003058F9" w:rsidRDefault="003058F9" w:rsidP="003058F9">
      <w:pPr>
        <w:rPr>
          <w:rFonts w:asciiTheme="majorBidi" w:hAnsiTheme="majorBidi" w:cstheme="majorBidi"/>
          <w:lang w:val="fr-FR"/>
        </w:rPr>
      </w:pPr>
    </w:p>
    <w:p w14:paraId="4BDFA705" w14:textId="0023054D" w:rsidR="00531A8A" w:rsidRPr="003058F9" w:rsidRDefault="003058F9" w:rsidP="003058F9">
      <w:pPr>
        <w:rPr>
          <w:rFonts w:asciiTheme="majorBidi" w:hAnsiTheme="majorBidi" w:cstheme="majorBidi"/>
          <w:lang w:val="fr-FR"/>
        </w:rPr>
      </w:pPr>
      <w:r w:rsidRPr="003058F9">
        <w:rPr>
          <w:rFonts w:asciiTheme="majorBidi" w:hAnsiTheme="majorBidi" w:cstheme="majorBidi"/>
          <w:lang w:val="fr-FR"/>
        </w:rPr>
        <w:lastRenderedPageBreak/>
        <w:t>Vous trouverez ci-dessous un tableau récapitulant la capitalisation boursière des entreprises sélectionnées, leur pondération dans l'univers de l'indice et leur secteur d'activité.</w:t>
      </w:r>
    </w:p>
    <w:tbl>
      <w:tblPr>
        <w:tblStyle w:val="TableGrid"/>
        <w:tblW w:w="8275" w:type="dxa"/>
        <w:tblInd w:w="1074" w:type="dxa"/>
        <w:tblLook w:val="04A0" w:firstRow="1" w:lastRow="0" w:firstColumn="1" w:lastColumn="0" w:noHBand="0" w:noVBand="1"/>
      </w:tblPr>
      <w:tblGrid>
        <w:gridCol w:w="3187"/>
        <w:gridCol w:w="2201"/>
        <w:gridCol w:w="2887"/>
      </w:tblGrid>
      <w:tr w:rsidR="007B2512" w14:paraId="5BD3013C" w14:textId="3B6DA670" w:rsidTr="007B2512">
        <w:tc>
          <w:tcPr>
            <w:tcW w:w="3187" w:type="dxa"/>
          </w:tcPr>
          <w:p w14:paraId="4F577F89" w14:textId="788C086F" w:rsidR="007B2512" w:rsidRDefault="003058F9" w:rsidP="00EA7C8D">
            <w:pPr>
              <w:jc w:val="center"/>
              <w:rPr>
                <w:b/>
                <w:bCs/>
                <w:sz w:val="28"/>
                <w:szCs w:val="28"/>
              </w:rPr>
            </w:pPr>
            <w:r>
              <w:rPr>
                <w:b/>
                <w:bCs/>
                <w:sz w:val="28"/>
                <w:szCs w:val="28"/>
              </w:rPr>
              <w:t>Actions</w:t>
            </w:r>
          </w:p>
        </w:tc>
        <w:tc>
          <w:tcPr>
            <w:tcW w:w="2201" w:type="dxa"/>
          </w:tcPr>
          <w:p w14:paraId="6AC488CD" w14:textId="140F56F2" w:rsidR="007B2512" w:rsidRDefault="003058F9" w:rsidP="00EA7C8D">
            <w:pPr>
              <w:jc w:val="center"/>
              <w:rPr>
                <w:b/>
                <w:bCs/>
                <w:sz w:val="28"/>
                <w:szCs w:val="28"/>
              </w:rPr>
            </w:pPr>
            <w:proofErr w:type="spellStart"/>
            <w:r>
              <w:rPr>
                <w:b/>
                <w:bCs/>
                <w:sz w:val="28"/>
                <w:szCs w:val="28"/>
              </w:rPr>
              <w:t>Capitalisation</w:t>
            </w:r>
            <w:proofErr w:type="spellEnd"/>
            <w:r>
              <w:rPr>
                <w:b/>
                <w:bCs/>
                <w:sz w:val="28"/>
                <w:szCs w:val="28"/>
              </w:rPr>
              <w:t xml:space="preserve"> </w:t>
            </w:r>
            <w:r w:rsidR="007B2512">
              <w:rPr>
                <w:b/>
                <w:bCs/>
                <w:sz w:val="28"/>
                <w:szCs w:val="28"/>
              </w:rPr>
              <w:t>(MAD)</w:t>
            </w:r>
          </w:p>
        </w:tc>
        <w:tc>
          <w:tcPr>
            <w:tcW w:w="2887" w:type="dxa"/>
          </w:tcPr>
          <w:p w14:paraId="10C11F1B" w14:textId="4BB142DB" w:rsidR="007B2512" w:rsidRDefault="003058F9" w:rsidP="00EA7C8D">
            <w:pPr>
              <w:jc w:val="center"/>
              <w:rPr>
                <w:b/>
                <w:bCs/>
                <w:sz w:val="28"/>
                <w:szCs w:val="28"/>
              </w:rPr>
            </w:pPr>
            <w:proofErr w:type="spellStart"/>
            <w:r>
              <w:rPr>
                <w:b/>
                <w:bCs/>
                <w:sz w:val="28"/>
                <w:szCs w:val="28"/>
              </w:rPr>
              <w:t>Secteur</w:t>
            </w:r>
            <w:proofErr w:type="spellEnd"/>
          </w:p>
        </w:tc>
      </w:tr>
      <w:tr w:rsidR="007B2512" w14:paraId="6658C421" w14:textId="511202AA" w:rsidTr="007B2512">
        <w:tc>
          <w:tcPr>
            <w:tcW w:w="3187" w:type="dxa"/>
          </w:tcPr>
          <w:p w14:paraId="48E33E00" w14:textId="4A4F5793" w:rsidR="007B2512" w:rsidRDefault="007B2512" w:rsidP="00EA7C8D">
            <w:pPr>
              <w:jc w:val="center"/>
              <w:rPr>
                <w:b/>
                <w:bCs/>
                <w:sz w:val="28"/>
                <w:szCs w:val="28"/>
              </w:rPr>
            </w:pPr>
            <w:proofErr w:type="spellStart"/>
            <w:r>
              <w:rPr>
                <w:b/>
                <w:bCs/>
                <w:sz w:val="28"/>
                <w:szCs w:val="28"/>
              </w:rPr>
              <w:t>Attijariwafa</w:t>
            </w:r>
            <w:proofErr w:type="spellEnd"/>
            <w:r>
              <w:rPr>
                <w:b/>
                <w:bCs/>
                <w:sz w:val="28"/>
                <w:szCs w:val="28"/>
              </w:rPr>
              <w:t xml:space="preserve"> Bank</w:t>
            </w:r>
          </w:p>
        </w:tc>
        <w:tc>
          <w:tcPr>
            <w:tcW w:w="2201" w:type="dxa"/>
          </w:tcPr>
          <w:p w14:paraId="50CE72B8" w14:textId="5BEE84E9" w:rsidR="007B2512" w:rsidRPr="00EA7C8D" w:rsidRDefault="007B2512" w:rsidP="00EA7C8D">
            <w:pPr>
              <w:jc w:val="center"/>
              <w:rPr>
                <w:sz w:val="28"/>
                <w:szCs w:val="28"/>
              </w:rPr>
            </w:pPr>
            <w:r w:rsidRPr="00EA7C8D">
              <w:rPr>
                <w:sz w:val="28"/>
                <w:szCs w:val="28"/>
              </w:rPr>
              <w:t>155 740 453 352</w:t>
            </w:r>
          </w:p>
        </w:tc>
        <w:tc>
          <w:tcPr>
            <w:tcW w:w="2887" w:type="dxa"/>
          </w:tcPr>
          <w:p w14:paraId="1B13EC31" w14:textId="1968A222" w:rsidR="007B2512" w:rsidRPr="00EA7C8D" w:rsidRDefault="007B2512" w:rsidP="00AB4477">
            <w:pPr>
              <w:jc w:val="center"/>
              <w:rPr>
                <w:sz w:val="28"/>
                <w:szCs w:val="28"/>
              </w:rPr>
            </w:pPr>
            <w:r w:rsidRPr="00EA7C8D">
              <w:rPr>
                <w:sz w:val="28"/>
                <w:szCs w:val="28"/>
              </w:rPr>
              <w:t>Banking</w:t>
            </w:r>
          </w:p>
        </w:tc>
      </w:tr>
      <w:tr w:rsidR="007B2512" w14:paraId="04FC1B0A" w14:textId="1897FCEA" w:rsidTr="007B2512">
        <w:tc>
          <w:tcPr>
            <w:tcW w:w="3187" w:type="dxa"/>
          </w:tcPr>
          <w:p w14:paraId="766905E5" w14:textId="06DFE6ED" w:rsidR="007B2512" w:rsidRDefault="007B2512" w:rsidP="00EA7C8D">
            <w:pPr>
              <w:jc w:val="center"/>
              <w:rPr>
                <w:b/>
                <w:bCs/>
                <w:sz w:val="28"/>
                <w:szCs w:val="28"/>
              </w:rPr>
            </w:pPr>
            <w:proofErr w:type="spellStart"/>
            <w:r>
              <w:rPr>
                <w:b/>
                <w:bCs/>
                <w:sz w:val="28"/>
                <w:szCs w:val="28"/>
              </w:rPr>
              <w:t>Itissalat</w:t>
            </w:r>
            <w:proofErr w:type="spellEnd"/>
            <w:r>
              <w:rPr>
                <w:b/>
                <w:bCs/>
                <w:sz w:val="28"/>
                <w:szCs w:val="28"/>
              </w:rPr>
              <w:t xml:space="preserve"> Al-Maghreb</w:t>
            </w:r>
          </w:p>
        </w:tc>
        <w:tc>
          <w:tcPr>
            <w:tcW w:w="2201" w:type="dxa"/>
          </w:tcPr>
          <w:p w14:paraId="36140F37" w14:textId="098647B7" w:rsidR="007B2512" w:rsidRPr="00EA7C8D" w:rsidRDefault="007B2512" w:rsidP="00EA7C8D">
            <w:pPr>
              <w:jc w:val="center"/>
              <w:rPr>
                <w:sz w:val="28"/>
                <w:szCs w:val="28"/>
              </w:rPr>
            </w:pPr>
            <w:r w:rsidRPr="00EA7C8D">
              <w:rPr>
                <w:sz w:val="28"/>
                <w:szCs w:val="28"/>
              </w:rPr>
              <w:t>98 282 859 012</w:t>
            </w:r>
          </w:p>
        </w:tc>
        <w:tc>
          <w:tcPr>
            <w:tcW w:w="2887" w:type="dxa"/>
          </w:tcPr>
          <w:p w14:paraId="3A986F8C" w14:textId="5CDC6176" w:rsidR="007B2512" w:rsidRPr="007F4429" w:rsidRDefault="007B2512" w:rsidP="00AB4477">
            <w:pPr>
              <w:jc w:val="center"/>
              <w:rPr>
                <w:sz w:val="28"/>
                <w:szCs w:val="28"/>
              </w:rPr>
            </w:pPr>
            <w:r w:rsidRPr="007F4429">
              <w:rPr>
                <w:sz w:val="28"/>
                <w:szCs w:val="28"/>
              </w:rPr>
              <w:t>Telecommunication</w:t>
            </w:r>
          </w:p>
        </w:tc>
      </w:tr>
      <w:tr w:rsidR="007B2512" w14:paraId="5DDB8F79" w14:textId="1A1DC04B" w:rsidTr="007B2512">
        <w:tc>
          <w:tcPr>
            <w:tcW w:w="3187" w:type="dxa"/>
          </w:tcPr>
          <w:p w14:paraId="56A6058E" w14:textId="46AC1E83" w:rsidR="007B2512" w:rsidRDefault="007B2512" w:rsidP="00EA7C8D">
            <w:pPr>
              <w:jc w:val="center"/>
              <w:rPr>
                <w:b/>
                <w:bCs/>
                <w:sz w:val="28"/>
                <w:szCs w:val="28"/>
              </w:rPr>
            </w:pPr>
            <w:proofErr w:type="spellStart"/>
            <w:r>
              <w:rPr>
                <w:b/>
                <w:bCs/>
                <w:sz w:val="28"/>
                <w:szCs w:val="28"/>
              </w:rPr>
              <w:t>Managem</w:t>
            </w:r>
            <w:proofErr w:type="spellEnd"/>
          </w:p>
        </w:tc>
        <w:tc>
          <w:tcPr>
            <w:tcW w:w="2201" w:type="dxa"/>
          </w:tcPr>
          <w:p w14:paraId="3A2FF7E5" w14:textId="56B0131A" w:rsidR="007B2512" w:rsidRPr="00EA7C8D" w:rsidRDefault="007B2512" w:rsidP="00EA7C8D">
            <w:pPr>
              <w:jc w:val="center"/>
              <w:rPr>
                <w:sz w:val="28"/>
                <w:szCs w:val="28"/>
              </w:rPr>
            </w:pPr>
            <w:r w:rsidRPr="00EA7C8D">
              <w:rPr>
                <w:sz w:val="28"/>
                <w:szCs w:val="28"/>
              </w:rPr>
              <w:t>70 120 235 160</w:t>
            </w:r>
          </w:p>
        </w:tc>
        <w:tc>
          <w:tcPr>
            <w:tcW w:w="2887" w:type="dxa"/>
          </w:tcPr>
          <w:p w14:paraId="5D45E7D4" w14:textId="73E7ADB6" w:rsidR="007B2512" w:rsidRPr="007F4429" w:rsidRDefault="007B2512" w:rsidP="00AB4477">
            <w:pPr>
              <w:jc w:val="center"/>
              <w:rPr>
                <w:sz w:val="28"/>
                <w:szCs w:val="28"/>
              </w:rPr>
            </w:pPr>
            <w:r w:rsidRPr="007F4429">
              <w:rPr>
                <w:sz w:val="28"/>
                <w:szCs w:val="28"/>
              </w:rPr>
              <w:t>Mining</w:t>
            </w:r>
          </w:p>
        </w:tc>
      </w:tr>
      <w:tr w:rsidR="007B2512" w14:paraId="46C791FE" w14:textId="073047BB" w:rsidTr="007B2512">
        <w:tc>
          <w:tcPr>
            <w:tcW w:w="3187" w:type="dxa"/>
          </w:tcPr>
          <w:p w14:paraId="7EA702BB" w14:textId="73879285" w:rsidR="007B2512" w:rsidRDefault="007B2512" w:rsidP="00EA7C8D">
            <w:pPr>
              <w:jc w:val="center"/>
              <w:rPr>
                <w:b/>
                <w:bCs/>
                <w:sz w:val="28"/>
                <w:szCs w:val="28"/>
              </w:rPr>
            </w:pPr>
            <w:r>
              <w:rPr>
                <w:b/>
                <w:bCs/>
                <w:sz w:val="28"/>
                <w:szCs w:val="28"/>
              </w:rPr>
              <w:t>BCP</w:t>
            </w:r>
          </w:p>
        </w:tc>
        <w:tc>
          <w:tcPr>
            <w:tcW w:w="2201" w:type="dxa"/>
          </w:tcPr>
          <w:p w14:paraId="6820BA37" w14:textId="0B36A885" w:rsidR="007B2512" w:rsidRPr="00EA7C8D" w:rsidRDefault="007B2512" w:rsidP="00EA7C8D">
            <w:pPr>
              <w:jc w:val="center"/>
              <w:rPr>
                <w:sz w:val="28"/>
                <w:szCs w:val="28"/>
              </w:rPr>
            </w:pPr>
            <w:r w:rsidRPr="00EA7C8D">
              <w:rPr>
                <w:sz w:val="28"/>
                <w:szCs w:val="28"/>
              </w:rPr>
              <w:t>57 537 429 859</w:t>
            </w:r>
          </w:p>
        </w:tc>
        <w:tc>
          <w:tcPr>
            <w:tcW w:w="2887" w:type="dxa"/>
          </w:tcPr>
          <w:p w14:paraId="4A94BA9A" w14:textId="66F97912" w:rsidR="007B2512" w:rsidRPr="007F4429" w:rsidRDefault="007B2512" w:rsidP="00AB4477">
            <w:pPr>
              <w:jc w:val="center"/>
              <w:rPr>
                <w:sz w:val="28"/>
                <w:szCs w:val="28"/>
              </w:rPr>
            </w:pPr>
            <w:r w:rsidRPr="007F4429">
              <w:rPr>
                <w:sz w:val="28"/>
                <w:szCs w:val="28"/>
              </w:rPr>
              <w:t>Banking</w:t>
            </w:r>
          </w:p>
        </w:tc>
      </w:tr>
      <w:tr w:rsidR="007B2512" w14:paraId="41E91135" w14:textId="489C0BB4" w:rsidTr="007B2512">
        <w:tc>
          <w:tcPr>
            <w:tcW w:w="3187" w:type="dxa"/>
          </w:tcPr>
          <w:p w14:paraId="3230D354" w14:textId="4E146B95" w:rsidR="007B2512" w:rsidRDefault="007B2512" w:rsidP="00EA7C8D">
            <w:pPr>
              <w:jc w:val="center"/>
              <w:rPr>
                <w:b/>
                <w:bCs/>
                <w:sz w:val="28"/>
                <w:szCs w:val="28"/>
              </w:rPr>
            </w:pPr>
            <w:r>
              <w:rPr>
                <w:b/>
                <w:bCs/>
                <w:sz w:val="28"/>
                <w:szCs w:val="28"/>
              </w:rPr>
              <w:t>TAQA Morocco</w:t>
            </w:r>
          </w:p>
        </w:tc>
        <w:tc>
          <w:tcPr>
            <w:tcW w:w="2201" w:type="dxa"/>
          </w:tcPr>
          <w:p w14:paraId="1628090C" w14:textId="2B560F22" w:rsidR="007B2512" w:rsidRPr="00EA7C8D" w:rsidRDefault="007B2512" w:rsidP="00EA7C8D">
            <w:pPr>
              <w:jc w:val="center"/>
              <w:rPr>
                <w:sz w:val="28"/>
                <w:szCs w:val="28"/>
              </w:rPr>
            </w:pPr>
            <w:r w:rsidRPr="00EA7C8D">
              <w:rPr>
                <w:sz w:val="28"/>
                <w:szCs w:val="28"/>
              </w:rPr>
              <w:t>54 230 058 058</w:t>
            </w:r>
          </w:p>
        </w:tc>
        <w:tc>
          <w:tcPr>
            <w:tcW w:w="2887" w:type="dxa"/>
          </w:tcPr>
          <w:p w14:paraId="18EFC86F" w14:textId="2053C5C2" w:rsidR="007B2512" w:rsidRPr="007F4429" w:rsidRDefault="007B2512" w:rsidP="00AB4477">
            <w:pPr>
              <w:jc w:val="center"/>
              <w:rPr>
                <w:sz w:val="28"/>
                <w:szCs w:val="28"/>
              </w:rPr>
            </w:pPr>
            <w:r w:rsidRPr="007F4429">
              <w:rPr>
                <w:sz w:val="28"/>
                <w:szCs w:val="28"/>
              </w:rPr>
              <w:t>Energy</w:t>
            </w:r>
          </w:p>
        </w:tc>
      </w:tr>
      <w:tr w:rsidR="007B2512" w14:paraId="567CF172" w14:textId="4B526C53" w:rsidTr="007B2512">
        <w:tc>
          <w:tcPr>
            <w:tcW w:w="3187" w:type="dxa"/>
          </w:tcPr>
          <w:p w14:paraId="5C86EABA" w14:textId="2B547B14" w:rsidR="007B2512" w:rsidRDefault="007B2512" w:rsidP="00EA7C8D">
            <w:pPr>
              <w:jc w:val="center"/>
              <w:rPr>
                <w:b/>
                <w:bCs/>
                <w:sz w:val="28"/>
                <w:szCs w:val="28"/>
              </w:rPr>
            </w:pPr>
            <w:r>
              <w:rPr>
                <w:b/>
                <w:bCs/>
                <w:sz w:val="28"/>
                <w:szCs w:val="28"/>
              </w:rPr>
              <w:t>Bank of Africa</w:t>
            </w:r>
          </w:p>
        </w:tc>
        <w:tc>
          <w:tcPr>
            <w:tcW w:w="2201" w:type="dxa"/>
          </w:tcPr>
          <w:p w14:paraId="3EE7CA65" w14:textId="6B0808A7" w:rsidR="007B2512" w:rsidRPr="00EA7C8D" w:rsidRDefault="007B2512" w:rsidP="00EA7C8D">
            <w:pPr>
              <w:jc w:val="center"/>
              <w:rPr>
                <w:sz w:val="28"/>
                <w:szCs w:val="28"/>
              </w:rPr>
            </w:pPr>
            <w:r w:rsidRPr="00EA7C8D">
              <w:rPr>
                <w:sz w:val="28"/>
                <w:szCs w:val="28"/>
              </w:rPr>
              <w:t>50 697 874 912</w:t>
            </w:r>
          </w:p>
        </w:tc>
        <w:tc>
          <w:tcPr>
            <w:tcW w:w="2887" w:type="dxa"/>
          </w:tcPr>
          <w:p w14:paraId="5D4C62F3" w14:textId="603ED340" w:rsidR="007B2512" w:rsidRPr="007F4429" w:rsidRDefault="007B2512" w:rsidP="00AB4477">
            <w:pPr>
              <w:jc w:val="center"/>
              <w:rPr>
                <w:sz w:val="28"/>
                <w:szCs w:val="28"/>
              </w:rPr>
            </w:pPr>
            <w:r w:rsidRPr="007F4429">
              <w:rPr>
                <w:sz w:val="28"/>
                <w:szCs w:val="28"/>
              </w:rPr>
              <w:t>Banking</w:t>
            </w:r>
          </w:p>
        </w:tc>
      </w:tr>
    </w:tbl>
    <w:p w14:paraId="67461394" w14:textId="77777777" w:rsidR="007F4429" w:rsidRDefault="007F4429" w:rsidP="00EA7C8D">
      <w:pPr>
        <w:rPr>
          <w:b/>
          <w:bCs/>
          <w:sz w:val="28"/>
          <w:szCs w:val="28"/>
        </w:rPr>
      </w:pPr>
    </w:p>
    <w:p w14:paraId="07F7E2A4" w14:textId="77777777" w:rsidR="003058F9" w:rsidRPr="003058F9" w:rsidRDefault="003058F9" w:rsidP="00FE1B30">
      <w:pPr>
        <w:rPr>
          <w:lang w:val="fr-FR"/>
        </w:rPr>
      </w:pPr>
      <w:r w:rsidRPr="003058F9">
        <w:rPr>
          <w:lang w:val="fr-FR"/>
        </w:rPr>
        <w:t>Le portefeuille qui en résultera affichera naturellement une volatilité plus faible par rapport aux petites capitalisations, une corrélation plus élevée au sein du secteur bancaire, une sensibilité aux dynamiques des taux d'intérêt et du cycle de crédit marocains, et une diversification limitée par rapport aux marchés boursiers internationaux dans leur ensemble.</w:t>
      </w:r>
    </w:p>
    <w:p w14:paraId="2CC4D603" w14:textId="4D3F6BAE" w:rsidR="007F4429" w:rsidRPr="003058F9" w:rsidRDefault="003058F9" w:rsidP="00EA7C8D">
      <w:pPr>
        <w:rPr>
          <w:b/>
          <w:bCs/>
          <w:sz w:val="28"/>
          <w:szCs w:val="28"/>
          <w:lang w:val="fr-FR"/>
        </w:rPr>
      </w:pPr>
      <w:r w:rsidRPr="003058F9">
        <w:rPr>
          <w:rFonts w:asciiTheme="majorBidi" w:hAnsiTheme="majorBidi" w:cstheme="majorBidi"/>
          <w:b/>
          <w:bCs/>
          <w:lang w:val="fr-FR"/>
        </w:rPr>
        <w:t xml:space="preserve">N.B. : Un univers initial de sept actions marocaines à forte capitalisation a été identifié sur la base de leur capitalisation boursière. En raison de données historiques manquantes et incohérentes, </w:t>
      </w:r>
      <w:proofErr w:type="spellStart"/>
      <w:r w:rsidRPr="003058F9">
        <w:rPr>
          <w:rFonts w:asciiTheme="majorBidi" w:hAnsiTheme="majorBidi" w:cstheme="majorBidi"/>
          <w:b/>
          <w:bCs/>
          <w:lang w:val="fr-FR"/>
        </w:rPr>
        <w:t>Sodep</w:t>
      </w:r>
      <w:proofErr w:type="spellEnd"/>
      <w:r w:rsidRPr="003058F9">
        <w:rPr>
          <w:rFonts w:asciiTheme="majorBidi" w:hAnsiTheme="majorBidi" w:cstheme="majorBidi"/>
          <w:b/>
          <w:bCs/>
          <w:lang w:val="fr-FR"/>
        </w:rPr>
        <w:t>-Marsa Maroc a été exclue de l'univers d'investissement final. La construction du portefeuille repose donc sur les six actions restantes.</w:t>
      </w:r>
    </w:p>
    <w:p w14:paraId="5E4C266D" w14:textId="77777777" w:rsidR="00864E66" w:rsidRPr="003058F9" w:rsidRDefault="00864E66" w:rsidP="00864E66">
      <w:pPr>
        <w:rPr>
          <w:b/>
          <w:bCs/>
          <w:sz w:val="28"/>
          <w:szCs w:val="28"/>
          <w:lang w:val="fr-FR"/>
        </w:rPr>
      </w:pPr>
    </w:p>
    <w:p w14:paraId="0A6C5035" w14:textId="77777777" w:rsidR="00864E66" w:rsidRPr="003058F9" w:rsidRDefault="00864E66" w:rsidP="00864E66">
      <w:pPr>
        <w:rPr>
          <w:b/>
          <w:bCs/>
          <w:sz w:val="36"/>
          <w:szCs w:val="36"/>
          <w:lang w:val="fr-FR"/>
        </w:rPr>
      </w:pPr>
    </w:p>
    <w:p w14:paraId="7D5E4471" w14:textId="77777777" w:rsidR="00864E66" w:rsidRPr="003058F9" w:rsidRDefault="00864E66" w:rsidP="00864E66">
      <w:pPr>
        <w:rPr>
          <w:b/>
          <w:bCs/>
          <w:sz w:val="36"/>
          <w:szCs w:val="36"/>
          <w:lang w:val="fr-FR"/>
        </w:rPr>
      </w:pPr>
    </w:p>
    <w:p w14:paraId="6BE4455A" w14:textId="1A6E08B7" w:rsidR="007D68E1" w:rsidRPr="00704212" w:rsidRDefault="00A20C85">
      <w:r w:rsidRPr="00A20C85">
        <w:rPr>
          <w:noProof/>
        </w:rPr>
        <w:lastRenderedPageBreak/>
        <w:drawing>
          <wp:inline distT="0" distB="0" distL="0" distR="0" wp14:anchorId="0A5101AA" wp14:editId="6BDA6B53">
            <wp:extent cx="5943600" cy="3536950"/>
            <wp:effectExtent l="0" t="0" r="0" b="6350"/>
            <wp:docPr id="1109812294" name="Picture 1" descr="A graph of stock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12294" name="Picture 1" descr="A graph of stock performance&#10;&#10;AI-generated content may be incorrect."/>
                    <pic:cNvPicPr/>
                  </pic:nvPicPr>
                  <pic:blipFill>
                    <a:blip r:embed="rId10"/>
                    <a:stretch>
                      <a:fillRect/>
                    </a:stretch>
                  </pic:blipFill>
                  <pic:spPr>
                    <a:xfrm>
                      <a:off x="0" y="0"/>
                      <a:ext cx="5943600" cy="3536950"/>
                    </a:xfrm>
                    <a:prstGeom prst="rect">
                      <a:avLst/>
                    </a:prstGeom>
                  </pic:spPr>
                </pic:pic>
              </a:graphicData>
            </a:graphic>
          </wp:inline>
        </w:drawing>
      </w:r>
    </w:p>
    <w:p w14:paraId="16BE2C35" w14:textId="17329857" w:rsidR="007D68E1" w:rsidRPr="003058F9" w:rsidRDefault="000025F5" w:rsidP="00A20C85">
      <w:pPr>
        <w:jc w:val="center"/>
        <w:rPr>
          <w:b/>
          <w:bCs/>
          <w:u w:val="single"/>
          <w:lang w:val="fr-FR"/>
        </w:rPr>
      </w:pPr>
      <w:r w:rsidRPr="003058F9">
        <w:rPr>
          <w:b/>
          <w:bCs/>
          <w:u w:val="single"/>
          <w:lang w:val="fr-FR"/>
        </w:rPr>
        <w:t>Figure</w:t>
      </w:r>
      <w:r w:rsidR="00A20C85" w:rsidRPr="003058F9">
        <w:rPr>
          <w:b/>
          <w:bCs/>
          <w:u w:val="single"/>
          <w:lang w:val="fr-FR"/>
        </w:rPr>
        <w:t xml:space="preserve"> </w:t>
      </w:r>
      <w:proofErr w:type="gramStart"/>
      <w:r w:rsidR="00A20C85" w:rsidRPr="003058F9">
        <w:rPr>
          <w:b/>
          <w:bCs/>
          <w:u w:val="single"/>
          <w:lang w:val="fr-FR"/>
        </w:rPr>
        <w:t>1:</w:t>
      </w:r>
      <w:proofErr w:type="gramEnd"/>
      <w:r w:rsidR="00A20C85" w:rsidRPr="003058F9">
        <w:rPr>
          <w:b/>
          <w:bCs/>
          <w:u w:val="single"/>
          <w:lang w:val="fr-FR"/>
        </w:rPr>
        <w:t xml:space="preserve"> </w:t>
      </w:r>
      <w:r w:rsidR="003058F9" w:rsidRPr="003058F9">
        <w:rPr>
          <w:b/>
          <w:bCs/>
          <w:u w:val="single"/>
          <w:lang w:val="fr-FR"/>
        </w:rPr>
        <w:t xml:space="preserve">Variation du cours </w:t>
      </w:r>
      <w:proofErr w:type="gramStart"/>
      <w:r w:rsidR="003058F9" w:rsidRPr="003058F9">
        <w:rPr>
          <w:b/>
          <w:bCs/>
          <w:u w:val="single"/>
          <w:lang w:val="fr-FR"/>
        </w:rPr>
        <w:t xml:space="preserve">de </w:t>
      </w:r>
      <w:r w:rsidR="00A20C85" w:rsidRPr="003058F9">
        <w:rPr>
          <w:b/>
          <w:bCs/>
          <w:u w:val="single"/>
          <w:lang w:val="fr-FR"/>
        </w:rPr>
        <w:t xml:space="preserve"> 2015</w:t>
      </w:r>
      <w:proofErr w:type="gramEnd"/>
      <w:r w:rsidR="00A20C85" w:rsidRPr="003058F9">
        <w:rPr>
          <w:b/>
          <w:bCs/>
          <w:u w:val="single"/>
          <w:lang w:val="fr-FR"/>
        </w:rPr>
        <w:t xml:space="preserve"> </w:t>
      </w:r>
      <w:r w:rsidR="003058F9" w:rsidRPr="003058F9">
        <w:rPr>
          <w:b/>
          <w:bCs/>
          <w:u w:val="single"/>
          <w:lang w:val="fr-FR"/>
        </w:rPr>
        <w:t>à</w:t>
      </w:r>
      <w:r w:rsidR="00A20C85" w:rsidRPr="003058F9">
        <w:rPr>
          <w:b/>
          <w:bCs/>
          <w:u w:val="single"/>
          <w:lang w:val="fr-FR"/>
        </w:rPr>
        <w:t xml:space="preserve"> 12/2025</w:t>
      </w:r>
    </w:p>
    <w:p w14:paraId="0F85BEE0" w14:textId="04D4E58F" w:rsidR="00A20C85" w:rsidRPr="003058F9" w:rsidRDefault="003058F9" w:rsidP="00FE1B30">
      <w:pPr>
        <w:rPr>
          <w:lang w:val="fr-FR"/>
        </w:rPr>
      </w:pPr>
      <w:r w:rsidRPr="003058F9">
        <w:rPr>
          <w:lang w:val="fr-FR"/>
        </w:rPr>
        <w:t>En visualisant l'évolution du cours des actions, on observe une dynamique de prix hétérogène, chaque action présentant un comportement propre (ce que confirmera la matrice de corrélation dans la section suivante). À l'instar des marchés développés, les actions sélectionnées ont réagi de manière similaire durant la crise de la Covid-19, perdant environ 35 % de leur valeur.</w:t>
      </w:r>
      <w:r w:rsidR="00A20C85" w:rsidRPr="00A20C85">
        <w:rPr>
          <w:noProof/>
        </w:rPr>
        <w:drawing>
          <wp:anchor distT="0" distB="0" distL="114300" distR="114300" simplePos="0" relativeHeight="251660288" behindDoc="0" locked="0" layoutInCell="1" allowOverlap="1" wp14:anchorId="42F8D098" wp14:editId="46735B94">
            <wp:simplePos x="0" y="0"/>
            <wp:positionH relativeFrom="margin">
              <wp:align>center</wp:align>
            </wp:positionH>
            <wp:positionV relativeFrom="margin">
              <wp:posOffset>5048250</wp:posOffset>
            </wp:positionV>
            <wp:extent cx="4525645" cy="3486150"/>
            <wp:effectExtent l="0" t="0" r="8255" b="0"/>
            <wp:wrapSquare wrapText="bothSides"/>
            <wp:docPr id="534966970" name="Picture 1" descr="A group of blue and black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66970" name="Picture 1" descr="A group of blue and black graphs&#10;&#10;AI-generated content may be incorrect."/>
                    <pic:cNvPicPr/>
                  </pic:nvPicPr>
                  <pic:blipFill rotWithShape="1">
                    <a:blip r:embed="rId11">
                      <a:extLst>
                        <a:ext uri="{28A0092B-C50C-407E-A947-70E740481C1C}">
                          <a14:useLocalDpi xmlns:a14="http://schemas.microsoft.com/office/drawing/2010/main" val="0"/>
                        </a:ext>
                      </a:extLst>
                    </a:blip>
                    <a:srcRect b="48843"/>
                    <a:stretch>
                      <a:fillRect/>
                    </a:stretch>
                  </pic:blipFill>
                  <pic:spPr bwMode="auto">
                    <a:xfrm>
                      <a:off x="0" y="0"/>
                      <a:ext cx="4525645" cy="3486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C67EEF" w14:textId="51014F29" w:rsidR="00A20C85" w:rsidRPr="003058F9" w:rsidRDefault="00A20C85" w:rsidP="00A20C85">
      <w:pPr>
        <w:rPr>
          <w:lang w:val="fr-FR"/>
        </w:rPr>
      </w:pPr>
    </w:p>
    <w:p w14:paraId="17A7994A" w14:textId="5232B678" w:rsidR="007D68E1" w:rsidRPr="003058F9" w:rsidRDefault="007D68E1">
      <w:pPr>
        <w:rPr>
          <w:lang w:val="fr-FR"/>
        </w:rPr>
      </w:pPr>
    </w:p>
    <w:p w14:paraId="727D649D" w14:textId="77777777" w:rsidR="007D68E1" w:rsidRPr="003058F9" w:rsidRDefault="007D68E1">
      <w:pPr>
        <w:rPr>
          <w:lang w:val="fr-FR"/>
        </w:rPr>
      </w:pPr>
    </w:p>
    <w:p w14:paraId="75ACB07D" w14:textId="086F606C" w:rsidR="007D68E1" w:rsidRPr="003058F9" w:rsidRDefault="007D68E1">
      <w:pPr>
        <w:rPr>
          <w:lang w:val="fr-FR"/>
        </w:rPr>
      </w:pPr>
    </w:p>
    <w:p w14:paraId="5D721DAD" w14:textId="0C7244CA" w:rsidR="007D68E1" w:rsidRPr="003058F9" w:rsidRDefault="007D68E1">
      <w:pPr>
        <w:rPr>
          <w:lang w:val="fr-FR"/>
        </w:rPr>
      </w:pPr>
    </w:p>
    <w:p w14:paraId="7BB6D831" w14:textId="696BE4D6" w:rsidR="007D68E1" w:rsidRPr="003058F9" w:rsidRDefault="007D68E1">
      <w:pPr>
        <w:rPr>
          <w:lang w:val="fr-FR"/>
        </w:rPr>
      </w:pPr>
    </w:p>
    <w:p w14:paraId="3CB11D52" w14:textId="6B4A48C3" w:rsidR="007D68E1" w:rsidRPr="003058F9" w:rsidRDefault="007D68E1">
      <w:pPr>
        <w:rPr>
          <w:lang w:val="fr-FR"/>
        </w:rPr>
      </w:pPr>
    </w:p>
    <w:p w14:paraId="39B81C42" w14:textId="77777777" w:rsidR="007D68E1" w:rsidRPr="003058F9" w:rsidRDefault="007D68E1">
      <w:pPr>
        <w:rPr>
          <w:lang w:val="fr-FR"/>
        </w:rPr>
      </w:pPr>
    </w:p>
    <w:p w14:paraId="72FC1C83" w14:textId="4DEEA302" w:rsidR="007D68E1" w:rsidRPr="003058F9" w:rsidRDefault="007D68E1">
      <w:pPr>
        <w:rPr>
          <w:lang w:val="fr-FR"/>
        </w:rPr>
      </w:pPr>
    </w:p>
    <w:p w14:paraId="1B4E19F5" w14:textId="5F3C2A1E" w:rsidR="00A20C85" w:rsidRPr="003058F9" w:rsidRDefault="00780CA5" w:rsidP="00A20C85">
      <w:pPr>
        <w:jc w:val="center"/>
        <w:rPr>
          <w:b/>
          <w:bCs/>
          <w:u w:val="single"/>
          <w:lang w:val="fr-FR"/>
        </w:rPr>
      </w:pPr>
      <w:r w:rsidRPr="00A20C85">
        <w:rPr>
          <w:noProof/>
        </w:rPr>
        <w:lastRenderedPageBreak/>
        <w:drawing>
          <wp:anchor distT="0" distB="0" distL="114300" distR="114300" simplePos="0" relativeHeight="251661312" behindDoc="0" locked="0" layoutInCell="1" allowOverlap="1" wp14:anchorId="36855E8E" wp14:editId="3A2FD9B9">
            <wp:simplePos x="0" y="0"/>
            <wp:positionH relativeFrom="margin">
              <wp:posOffset>152400</wp:posOffset>
            </wp:positionH>
            <wp:positionV relativeFrom="margin">
              <wp:align>top</wp:align>
            </wp:positionV>
            <wp:extent cx="5466080" cy="4057650"/>
            <wp:effectExtent l="0" t="0" r="1270" b="0"/>
            <wp:wrapSquare wrapText="bothSides"/>
            <wp:docPr id="1061728406" name="Picture 1" descr="A group of blue and black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28406" name="Picture 1" descr="A group of blue and black graphs&#10;&#10;AI-generated content may be incorrect."/>
                    <pic:cNvPicPr/>
                  </pic:nvPicPr>
                  <pic:blipFill rotWithShape="1">
                    <a:blip r:embed="rId11">
                      <a:extLst>
                        <a:ext uri="{28A0092B-C50C-407E-A947-70E740481C1C}">
                          <a14:useLocalDpi xmlns:a14="http://schemas.microsoft.com/office/drawing/2010/main" val="0"/>
                        </a:ext>
                      </a:extLst>
                    </a:blip>
                    <a:srcRect t="50694"/>
                    <a:stretch>
                      <a:fillRect/>
                    </a:stretch>
                  </pic:blipFill>
                  <pic:spPr bwMode="auto">
                    <a:xfrm>
                      <a:off x="0" y="0"/>
                      <a:ext cx="5466080" cy="4057650"/>
                    </a:xfrm>
                    <a:prstGeom prst="rect">
                      <a:avLst/>
                    </a:prstGeom>
                    <a:ln>
                      <a:noFill/>
                    </a:ln>
                    <a:extLst>
                      <a:ext uri="{53640926-AAD7-44D8-BBD7-CCE9431645EC}">
                        <a14:shadowObscured xmlns:a14="http://schemas.microsoft.com/office/drawing/2010/main"/>
                      </a:ext>
                    </a:extLst>
                  </pic:spPr>
                </pic:pic>
              </a:graphicData>
            </a:graphic>
          </wp:anchor>
        </w:drawing>
      </w:r>
      <w:r w:rsidR="000025F5" w:rsidRPr="003058F9">
        <w:rPr>
          <w:b/>
          <w:bCs/>
          <w:u w:val="single"/>
          <w:lang w:val="fr-FR"/>
        </w:rPr>
        <w:t>Figure</w:t>
      </w:r>
      <w:r w:rsidR="00A20C85" w:rsidRPr="003058F9">
        <w:rPr>
          <w:b/>
          <w:bCs/>
          <w:u w:val="single"/>
          <w:lang w:val="fr-FR"/>
        </w:rPr>
        <w:t xml:space="preserve"> </w:t>
      </w:r>
      <w:proofErr w:type="gramStart"/>
      <w:r w:rsidR="00A20C85" w:rsidRPr="003058F9">
        <w:rPr>
          <w:b/>
          <w:bCs/>
          <w:u w:val="single"/>
          <w:lang w:val="fr-FR"/>
        </w:rPr>
        <w:t>2:</w:t>
      </w:r>
      <w:proofErr w:type="gramEnd"/>
      <w:r w:rsidR="00A20C85" w:rsidRPr="003058F9">
        <w:rPr>
          <w:b/>
          <w:bCs/>
          <w:u w:val="single"/>
          <w:lang w:val="fr-FR"/>
        </w:rPr>
        <w:t xml:space="preserve"> </w:t>
      </w:r>
      <w:r w:rsidR="003058F9" w:rsidRPr="003058F9">
        <w:rPr>
          <w:b/>
          <w:bCs/>
          <w:u w:val="single"/>
          <w:lang w:val="fr-FR"/>
        </w:rPr>
        <w:t xml:space="preserve">Rendements des actions </w:t>
      </w:r>
      <w:proofErr w:type="gramStart"/>
      <w:r w:rsidR="003058F9" w:rsidRPr="003058F9">
        <w:rPr>
          <w:b/>
          <w:bCs/>
          <w:u w:val="single"/>
          <w:lang w:val="fr-FR"/>
        </w:rPr>
        <w:t xml:space="preserve">de </w:t>
      </w:r>
      <w:r w:rsidR="00A20C85" w:rsidRPr="003058F9">
        <w:rPr>
          <w:b/>
          <w:bCs/>
          <w:u w:val="single"/>
          <w:lang w:val="fr-FR"/>
        </w:rPr>
        <w:t xml:space="preserve"> 2015</w:t>
      </w:r>
      <w:proofErr w:type="gramEnd"/>
      <w:r w:rsidR="00A20C85" w:rsidRPr="003058F9">
        <w:rPr>
          <w:b/>
          <w:bCs/>
          <w:u w:val="single"/>
          <w:lang w:val="fr-FR"/>
        </w:rPr>
        <w:t xml:space="preserve"> </w:t>
      </w:r>
      <w:r w:rsidR="003058F9" w:rsidRPr="003058F9">
        <w:rPr>
          <w:b/>
          <w:bCs/>
          <w:u w:val="single"/>
          <w:lang w:val="fr-FR"/>
        </w:rPr>
        <w:t>à</w:t>
      </w:r>
      <w:r w:rsidR="00A20C85" w:rsidRPr="003058F9">
        <w:rPr>
          <w:b/>
          <w:bCs/>
          <w:u w:val="single"/>
          <w:lang w:val="fr-FR"/>
        </w:rPr>
        <w:t xml:space="preserve"> 12/2025</w:t>
      </w:r>
    </w:p>
    <w:p w14:paraId="1C825B86" w14:textId="77777777" w:rsidR="003058F9" w:rsidRPr="003058F9" w:rsidRDefault="003058F9" w:rsidP="008F2D59">
      <w:pPr>
        <w:rPr>
          <w:lang w:val="fr-FR"/>
        </w:rPr>
      </w:pPr>
      <w:r w:rsidRPr="003058F9">
        <w:rPr>
          <w:lang w:val="fr-FR"/>
        </w:rPr>
        <w:t xml:space="preserve">Les rendements moyens sont très proches de zéro pour toutes les actions, ce qui est typique des données journalières sur les marchés émergents. La volatilité oscille entre 1,1 % et 1,7 % par jour, MNG et BOA affichant les valeurs les plus volatiles. Toutes les actions présentent des queues de distribution épaisses </w:t>
      </w:r>
      <w:r w:rsidRPr="003058F9">
        <w:rPr>
          <w:b/>
          <w:bCs/>
          <w:lang w:val="fr-FR"/>
        </w:rPr>
        <w:t>(kurtosis &gt; 4)</w:t>
      </w:r>
      <w:r w:rsidRPr="003058F9">
        <w:rPr>
          <w:lang w:val="fr-FR"/>
        </w:rPr>
        <w:t>, ce qui signifie que la probabilité de rendements extrêmes est significativement plus élevée que dans une distribution normale. L'asymétrie varie selon les actions : certaines présentent un léger biais négatif (ATW, BOA), tandis que d'autres affichent une asymétrie positive (TQA, MNG). MNG se distingue par sa volatilité la plus élevée et ses valeurs aberrantes extrêmes, ce qui accroît le risque mais aussi le potentiel de rendement dans la construction du portefeuille.</w:t>
      </w:r>
    </w:p>
    <w:p w14:paraId="017A6054" w14:textId="6DC0E1D3" w:rsidR="008E106E" w:rsidRPr="003058F9" w:rsidRDefault="003058F9" w:rsidP="008F2D59">
      <w:pPr>
        <w:rPr>
          <w:b/>
          <w:bCs/>
          <w:lang w:val="fr-FR"/>
        </w:rPr>
      </w:pPr>
      <w:r w:rsidRPr="003058F9">
        <w:rPr>
          <w:b/>
          <w:bCs/>
          <w:lang w:val="fr-FR"/>
        </w:rPr>
        <w:t>N.B. : Ce profil quantitatif confirme que la gestion des risques et la diversification sont essentielles et justifie des étapes ultérieures telles que l'optimisation de la frontière efficiente.</w:t>
      </w:r>
    </w:p>
    <w:p w14:paraId="02B40828" w14:textId="77777777" w:rsidR="00780CA5" w:rsidRPr="003058F9" w:rsidRDefault="00780CA5" w:rsidP="008E106E">
      <w:pPr>
        <w:rPr>
          <w:b/>
          <w:bCs/>
          <w:sz w:val="32"/>
          <w:szCs w:val="32"/>
          <w:lang w:val="fr-FR"/>
        </w:rPr>
      </w:pPr>
    </w:p>
    <w:p w14:paraId="22FD07B8" w14:textId="77777777" w:rsidR="00FE1B30" w:rsidRDefault="00FE1B30" w:rsidP="00AE77DF">
      <w:pPr>
        <w:pStyle w:val="Title"/>
        <w:rPr>
          <w:lang w:val="fr-FR"/>
        </w:rPr>
      </w:pPr>
      <w:bookmarkStart w:id="13" w:name="_Toc216541070"/>
    </w:p>
    <w:p w14:paraId="31DD25EB" w14:textId="77777777" w:rsidR="00FE1B30" w:rsidRDefault="00FE1B30" w:rsidP="00AE77DF">
      <w:pPr>
        <w:pStyle w:val="Title"/>
        <w:rPr>
          <w:lang w:val="fr-FR"/>
        </w:rPr>
      </w:pPr>
    </w:p>
    <w:p w14:paraId="24A23C2E" w14:textId="77777777" w:rsidR="00FE1B30" w:rsidRDefault="00FE1B30" w:rsidP="00AE77DF">
      <w:pPr>
        <w:pStyle w:val="Title"/>
        <w:rPr>
          <w:lang w:val="fr-FR"/>
        </w:rPr>
      </w:pPr>
    </w:p>
    <w:p w14:paraId="27E531CF" w14:textId="77777777" w:rsidR="00FE1B30" w:rsidRDefault="00FE1B30" w:rsidP="00AE77DF">
      <w:pPr>
        <w:pStyle w:val="Title"/>
        <w:rPr>
          <w:lang w:val="fr-FR"/>
        </w:rPr>
      </w:pPr>
    </w:p>
    <w:p w14:paraId="11D768BA" w14:textId="77777777" w:rsidR="00FE1B30" w:rsidRDefault="00FE1B30" w:rsidP="00AE77DF">
      <w:pPr>
        <w:pStyle w:val="Title"/>
        <w:rPr>
          <w:lang w:val="fr-FR"/>
        </w:rPr>
      </w:pPr>
    </w:p>
    <w:p w14:paraId="76CC7422" w14:textId="1EB49C28" w:rsidR="003058F9" w:rsidRPr="003058F9" w:rsidRDefault="003058F9" w:rsidP="00AE77DF">
      <w:pPr>
        <w:pStyle w:val="Title"/>
        <w:rPr>
          <w:lang w:val="fr-FR"/>
        </w:rPr>
      </w:pPr>
      <w:bookmarkStart w:id="14" w:name="_Toc216563138"/>
      <w:bookmarkStart w:id="15" w:name="_Toc216563371"/>
      <w:r w:rsidRPr="003058F9">
        <w:rPr>
          <w:lang w:val="fr-FR"/>
        </w:rPr>
        <w:lastRenderedPageBreak/>
        <w:t>Analyse des risques et des corrélations :</w:t>
      </w:r>
      <w:bookmarkEnd w:id="14"/>
      <w:bookmarkEnd w:id="15"/>
    </w:p>
    <w:p w14:paraId="0F990173" w14:textId="77777777" w:rsidR="003058F9" w:rsidRPr="003058F9" w:rsidRDefault="003058F9" w:rsidP="00AE77DF">
      <w:pPr>
        <w:pStyle w:val="Subtitle"/>
        <w:rPr>
          <w:lang w:val="fr-FR"/>
        </w:rPr>
      </w:pPr>
      <w:bookmarkStart w:id="16" w:name="_Toc216563139"/>
      <w:bookmarkStart w:id="17" w:name="_Toc216563372"/>
      <w:bookmarkEnd w:id="13"/>
      <w:r w:rsidRPr="003058F9">
        <w:rPr>
          <w:lang w:val="fr-FR"/>
        </w:rPr>
        <w:t>Carte thermique des rendements quotidiens, de la volatilité et de la corrélation :</w:t>
      </w:r>
      <w:bookmarkEnd w:id="16"/>
      <w:bookmarkEnd w:id="17"/>
    </w:p>
    <w:p w14:paraId="66A9C569" w14:textId="268F6031" w:rsidR="00780CA5" w:rsidRPr="003058F9" w:rsidRDefault="003058F9" w:rsidP="008E106E">
      <w:pPr>
        <w:rPr>
          <w:lang w:val="fr-FR"/>
        </w:rPr>
      </w:pPr>
      <w:r w:rsidRPr="003058F9">
        <w:rPr>
          <w:lang w:val="fr-FR"/>
        </w:rPr>
        <w:t>Nous décidons de calculer les rendements quotidiens de nos 6 actions sélectionnées, leur volatilité quotidienne et la corrélation entre les actions afin de mieux comprendre leur comportement au quotidien.</w:t>
      </w:r>
    </w:p>
    <w:tbl>
      <w:tblPr>
        <w:tblW w:w="10255" w:type="dxa"/>
        <w:tblInd w:w="-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440"/>
        <w:gridCol w:w="1530"/>
        <w:gridCol w:w="1440"/>
        <w:gridCol w:w="1710"/>
        <w:gridCol w:w="1350"/>
        <w:gridCol w:w="1530"/>
      </w:tblGrid>
      <w:tr w:rsidR="001D36BD" w:rsidRPr="001D36BD" w14:paraId="0F0378F4" w14:textId="77777777" w:rsidTr="00AE77DF">
        <w:trPr>
          <w:trHeight w:val="284"/>
        </w:trPr>
        <w:tc>
          <w:tcPr>
            <w:tcW w:w="1255" w:type="dxa"/>
            <w:noWrap/>
            <w:vAlign w:val="bottom"/>
            <w:hideMark/>
          </w:tcPr>
          <w:p w14:paraId="3CD2CA71" w14:textId="77777777" w:rsidR="001D36BD" w:rsidRPr="003058F9" w:rsidRDefault="001D36BD" w:rsidP="001D36BD">
            <w:pPr>
              <w:spacing w:line="240" w:lineRule="auto"/>
              <w:rPr>
                <w:rFonts w:eastAsia="Times New Roman" w:cs="Times New Roman"/>
                <w:kern w:val="0"/>
                <w:lang w:val="fr-FR"/>
                <w14:ligatures w14:val="none"/>
              </w:rPr>
            </w:pPr>
          </w:p>
        </w:tc>
        <w:tc>
          <w:tcPr>
            <w:tcW w:w="1440" w:type="dxa"/>
            <w:noWrap/>
            <w:vAlign w:val="bottom"/>
            <w:hideMark/>
          </w:tcPr>
          <w:p w14:paraId="7DAD36F3" w14:textId="354F5F88" w:rsidR="001D36BD" w:rsidRPr="001D36BD" w:rsidRDefault="003058F9" w:rsidP="003058F9">
            <w:pPr>
              <w:spacing w:line="240" w:lineRule="auto"/>
              <w:jc w:val="cente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 xml:space="preserve">Moyenne du </w:t>
            </w:r>
            <w:proofErr w:type="spellStart"/>
            <w:r>
              <w:rPr>
                <w:rFonts w:ascii="Aptos Narrow" w:eastAsia="Times New Roman" w:hAnsi="Aptos Narrow" w:cs="Times New Roman"/>
                <w:b/>
                <w:bCs/>
                <w:color w:val="000000"/>
                <w:kern w:val="0"/>
                <w:sz w:val="22"/>
                <w:szCs w:val="22"/>
                <w14:ligatures w14:val="none"/>
              </w:rPr>
              <w:t>rendement</w:t>
            </w:r>
            <w:proofErr w:type="spellEnd"/>
            <w:r>
              <w:rPr>
                <w:rFonts w:ascii="Aptos Narrow" w:eastAsia="Times New Roman" w:hAnsi="Aptos Narrow" w:cs="Times New Roman"/>
                <w:b/>
                <w:bCs/>
                <w:color w:val="000000"/>
                <w:kern w:val="0"/>
                <w:sz w:val="22"/>
                <w:szCs w:val="22"/>
                <w14:ligatures w14:val="none"/>
              </w:rPr>
              <w:t xml:space="preserve"> </w:t>
            </w:r>
            <w:proofErr w:type="spellStart"/>
            <w:r>
              <w:rPr>
                <w:rFonts w:ascii="Aptos Narrow" w:eastAsia="Times New Roman" w:hAnsi="Aptos Narrow" w:cs="Times New Roman"/>
                <w:b/>
                <w:bCs/>
                <w:color w:val="000000"/>
                <w:kern w:val="0"/>
                <w:sz w:val="22"/>
                <w:szCs w:val="22"/>
                <w14:ligatures w14:val="none"/>
              </w:rPr>
              <w:t>journalier</w:t>
            </w:r>
            <w:proofErr w:type="spellEnd"/>
          </w:p>
        </w:tc>
        <w:tc>
          <w:tcPr>
            <w:tcW w:w="1530" w:type="dxa"/>
            <w:noWrap/>
            <w:vAlign w:val="bottom"/>
            <w:hideMark/>
          </w:tcPr>
          <w:p w14:paraId="792209AD" w14:textId="1CFDA5F7" w:rsidR="001D36BD" w:rsidRPr="001D36BD" w:rsidRDefault="003058F9" w:rsidP="003058F9">
            <w:pPr>
              <w:spacing w:line="240" w:lineRule="auto"/>
              <w:jc w:val="center"/>
              <w:rPr>
                <w:rFonts w:ascii="Aptos Narrow" w:eastAsia="Times New Roman" w:hAnsi="Aptos Narrow" w:cs="Times New Roman"/>
                <w:b/>
                <w:bCs/>
                <w:color w:val="000000"/>
                <w:kern w:val="0"/>
                <w:sz w:val="22"/>
                <w:szCs w:val="22"/>
                <w14:ligatures w14:val="none"/>
              </w:rPr>
            </w:pPr>
            <w:proofErr w:type="spellStart"/>
            <w:r>
              <w:rPr>
                <w:rFonts w:ascii="Aptos Narrow" w:eastAsia="Times New Roman" w:hAnsi="Aptos Narrow" w:cs="Times New Roman"/>
                <w:b/>
                <w:bCs/>
                <w:color w:val="000000"/>
                <w:kern w:val="0"/>
                <w:sz w:val="22"/>
                <w:szCs w:val="22"/>
                <w14:ligatures w14:val="none"/>
              </w:rPr>
              <w:t>Rendement</w:t>
            </w:r>
            <w:proofErr w:type="spellEnd"/>
            <w:r>
              <w:rPr>
                <w:rFonts w:ascii="Aptos Narrow" w:eastAsia="Times New Roman" w:hAnsi="Aptos Narrow" w:cs="Times New Roman"/>
                <w:b/>
                <w:bCs/>
                <w:color w:val="000000"/>
                <w:kern w:val="0"/>
                <w:sz w:val="22"/>
                <w:szCs w:val="22"/>
                <w14:ligatures w14:val="none"/>
              </w:rPr>
              <w:t xml:space="preserve"> </w:t>
            </w:r>
            <w:proofErr w:type="spellStart"/>
            <w:r>
              <w:rPr>
                <w:rFonts w:ascii="Aptos Narrow" w:eastAsia="Times New Roman" w:hAnsi="Aptos Narrow" w:cs="Times New Roman"/>
                <w:b/>
                <w:bCs/>
                <w:color w:val="000000"/>
                <w:kern w:val="0"/>
                <w:sz w:val="22"/>
                <w:szCs w:val="22"/>
                <w14:ligatures w14:val="none"/>
              </w:rPr>
              <w:t>quotidien</w:t>
            </w:r>
            <w:proofErr w:type="spellEnd"/>
            <w:r>
              <w:rPr>
                <w:rFonts w:ascii="Aptos Narrow" w:eastAsia="Times New Roman" w:hAnsi="Aptos Narrow" w:cs="Times New Roman"/>
                <w:b/>
                <w:bCs/>
                <w:color w:val="000000"/>
                <w:kern w:val="0"/>
                <w:sz w:val="22"/>
                <w:szCs w:val="22"/>
                <w14:ligatures w14:val="none"/>
              </w:rPr>
              <w:t xml:space="preserve"> standard</w:t>
            </w:r>
          </w:p>
        </w:tc>
        <w:tc>
          <w:tcPr>
            <w:tcW w:w="1440" w:type="dxa"/>
            <w:noWrap/>
            <w:vAlign w:val="bottom"/>
            <w:hideMark/>
          </w:tcPr>
          <w:p w14:paraId="51AE65D2" w14:textId="77777777" w:rsidR="003058F9" w:rsidRPr="003058F9" w:rsidRDefault="003058F9" w:rsidP="003058F9">
            <w:pPr>
              <w:spacing w:line="240" w:lineRule="auto"/>
              <w:jc w:val="center"/>
              <w:rPr>
                <w:rFonts w:ascii="Aptos Narrow" w:eastAsia="Times New Roman" w:hAnsi="Aptos Narrow" w:cs="Times New Roman"/>
                <w:b/>
                <w:bCs/>
                <w:color w:val="000000"/>
                <w:kern w:val="0"/>
                <w:sz w:val="22"/>
                <w:szCs w:val="22"/>
                <w14:ligatures w14:val="none"/>
              </w:rPr>
            </w:pPr>
            <w:r w:rsidRPr="003058F9">
              <w:rPr>
                <w:rFonts w:ascii="Aptos Narrow" w:eastAsia="Times New Roman" w:hAnsi="Aptos Narrow" w:cs="Times New Roman"/>
                <w:b/>
                <w:bCs/>
                <w:color w:val="000000"/>
                <w:kern w:val="0"/>
                <w:sz w:val="22"/>
                <w:szCs w:val="22"/>
                <w:lang w:val="fr-FR"/>
                <w14:ligatures w14:val="none"/>
              </w:rPr>
              <w:t>Rendement annualisé</w:t>
            </w:r>
          </w:p>
          <w:p w14:paraId="29DA265D" w14:textId="3386B3D9" w:rsidR="001D36BD" w:rsidRPr="001D36BD" w:rsidRDefault="001D36BD" w:rsidP="003058F9">
            <w:pPr>
              <w:spacing w:line="240" w:lineRule="auto"/>
              <w:jc w:val="center"/>
              <w:rPr>
                <w:rFonts w:ascii="Aptos Narrow" w:eastAsia="Times New Roman" w:hAnsi="Aptos Narrow" w:cs="Times New Roman"/>
                <w:b/>
                <w:bCs/>
                <w:color w:val="000000"/>
                <w:kern w:val="0"/>
                <w:sz w:val="22"/>
                <w:szCs w:val="22"/>
                <w14:ligatures w14:val="none"/>
              </w:rPr>
            </w:pPr>
          </w:p>
        </w:tc>
        <w:tc>
          <w:tcPr>
            <w:tcW w:w="1710" w:type="dxa"/>
            <w:noWrap/>
            <w:vAlign w:val="bottom"/>
            <w:hideMark/>
          </w:tcPr>
          <w:p w14:paraId="04DA2D1A" w14:textId="77777777" w:rsidR="003058F9" w:rsidRPr="003058F9" w:rsidRDefault="003058F9" w:rsidP="003058F9">
            <w:pPr>
              <w:spacing w:line="240" w:lineRule="auto"/>
              <w:jc w:val="center"/>
              <w:rPr>
                <w:rFonts w:ascii="Aptos Narrow" w:eastAsia="Times New Roman" w:hAnsi="Aptos Narrow" w:cs="Times New Roman"/>
                <w:b/>
                <w:bCs/>
                <w:color w:val="000000"/>
                <w:kern w:val="0"/>
                <w:sz w:val="22"/>
                <w:szCs w:val="22"/>
                <w14:ligatures w14:val="none"/>
              </w:rPr>
            </w:pPr>
            <w:r w:rsidRPr="003058F9">
              <w:rPr>
                <w:rFonts w:ascii="Aptos Narrow" w:eastAsia="Times New Roman" w:hAnsi="Aptos Narrow" w:cs="Times New Roman"/>
                <w:b/>
                <w:bCs/>
                <w:color w:val="000000"/>
                <w:kern w:val="0"/>
                <w:sz w:val="22"/>
                <w:szCs w:val="22"/>
                <w:lang w:val="fr-FR"/>
                <w14:ligatures w14:val="none"/>
              </w:rPr>
              <w:t>Volatilité annualisée</w:t>
            </w:r>
          </w:p>
          <w:p w14:paraId="30FE82A5" w14:textId="3CB4F2FA" w:rsidR="001D36BD" w:rsidRPr="001D36BD" w:rsidRDefault="001D36BD" w:rsidP="003058F9">
            <w:pPr>
              <w:spacing w:line="240" w:lineRule="auto"/>
              <w:jc w:val="center"/>
              <w:rPr>
                <w:rFonts w:ascii="Aptos Narrow" w:eastAsia="Times New Roman" w:hAnsi="Aptos Narrow" w:cs="Times New Roman"/>
                <w:b/>
                <w:bCs/>
                <w:color w:val="000000"/>
                <w:kern w:val="0"/>
                <w:sz w:val="22"/>
                <w:szCs w:val="22"/>
                <w14:ligatures w14:val="none"/>
              </w:rPr>
            </w:pPr>
          </w:p>
        </w:tc>
        <w:tc>
          <w:tcPr>
            <w:tcW w:w="1350" w:type="dxa"/>
            <w:noWrap/>
            <w:vAlign w:val="bottom"/>
            <w:hideMark/>
          </w:tcPr>
          <w:p w14:paraId="751CAB7C" w14:textId="77777777" w:rsidR="003058F9" w:rsidRPr="003058F9" w:rsidRDefault="003058F9" w:rsidP="003058F9">
            <w:pPr>
              <w:spacing w:line="240" w:lineRule="auto"/>
              <w:jc w:val="center"/>
              <w:rPr>
                <w:rFonts w:ascii="Aptos Narrow" w:eastAsia="Times New Roman" w:hAnsi="Aptos Narrow" w:cs="Times New Roman"/>
                <w:b/>
                <w:bCs/>
                <w:color w:val="000000"/>
                <w:kern w:val="0"/>
                <w:sz w:val="22"/>
                <w:szCs w:val="22"/>
                <w14:ligatures w14:val="none"/>
              </w:rPr>
            </w:pPr>
            <w:r w:rsidRPr="003058F9">
              <w:rPr>
                <w:rFonts w:ascii="Aptos Narrow" w:eastAsia="Times New Roman" w:hAnsi="Aptos Narrow" w:cs="Times New Roman"/>
                <w:b/>
                <w:bCs/>
                <w:color w:val="000000"/>
                <w:kern w:val="0"/>
                <w:sz w:val="22"/>
                <w:szCs w:val="22"/>
                <w:lang w:val="fr-FR"/>
                <w14:ligatures w14:val="none"/>
              </w:rPr>
              <w:t>Rendement quotidien minimum</w:t>
            </w:r>
          </w:p>
          <w:p w14:paraId="2EE6CB02" w14:textId="22175B77" w:rsidR="001D36BD" w:rsidRPr="001D36BD" w:rsidRDefault="001D36BD" w:rsidP="003058F9">
            <w:pPr>
              <w:spacing w:line="240" w:lineRule="auto"/>
              <w:jc w:val="center"/>
              <w:rPr>
                <w:rFonts w:ascii="Aptos Narrow" w:eastAsia="Times New Roman" w:hAnsi="Aptos Narrow" w:cs="Times New Roman"/>
                <w:b/>
                <w:bCs/>
                <w:color w:val="000000"/>
                <w:kern w:val="0"/>
                <w:sz w:val="22"/>
                <w:szCs w:val="22"/>
                <w14:ligatures w14:val="none"/>
              </w:rPr>
            </w:pPr>
          </w:p>
        </w:tc>
        <w:tc>
          <w:tcPr>
            <w:tcW w:w="1530" w:type="dxa"/>
            <w:noWrap/>
            <w:vAlign w:val="bottom"/>
            <w:hideMark/>
          </w:tcPr>
          <w:p w14:paraId="3C750978" w14:textId="77777777" w:rsidR="003058F9" w:rsidRPr="003058F9" w:rsidRDefault="003058F9" w:rsidP="003058F9">
            <w:pPr>
              <w:spacing w:line="240" w:lineRule="auto"/>
              <w:jc w:val="center"/>
              <w:rPr>
                <w:rFonts w:ascii="Aptos Narrow" w:eastAsia="Times New Roman" w:hAnsi="Aptos Narrow" w:cs="Times New Roman"/>
                <w:b/>
                <w:bCs/>
                <w:color w:val="000000"/>
                <w:kern w:val="0"/>
                <w:sz w:val="22"/>
                <w:szCs w:val="22"/>
                <w14:ligatures w14:val="none"/>
              </w:rPr>
            </w:pPr>
            <w:r w:rsidRPr="003058F9">
              <w:rPr>
                <w:rFonts w:ascii="Aptos Narrow" w:eastAsia="Times New Roman" w:hAnsi="Aptos Narrow" w:cs="Times New Roman"/>
                <w:b/>
                <w:bCs/>
                <w:color w:val="000000"/>
                <w:kern w:val="0"/>
                <w:sz w:val="22"/>
                <w:szCs w:val="22"/>
                <w:lang w:val="fr-FR"/>
                <w14:ligatures w14:val="none"/>
              </w:rPr>
              <w:t>Rendement quotidien maximum</w:t>
            </w:r>
          </w:p>
          <w:p w14:paraId="6706E81C" w14:textId="1DC22794" w:rsidR="001D36BD" w:rsidRPr="001D36BD" w:rsidRDefault="001D36BD" w:rsidP="003058F9">
            <w:pPr>
              <w:spacing w:line="240" w:lineRule="auto"/>
              <w:jc w:val="center"/>
              <w:rPr>
                <w:rFonts w:ascii="Aptos Narrow" w:eastAsia="Times New Roman" w:hAnsi="Aptos Narrow" w:cs="Times New Roman"/>
                <w:b/>
                <w:bCs/>
                <w:color w:val="000000"/>
                <w:kern w:val="0"/>
                <w:sz w:val="22"/>
                <w:szCs w:val="22"/>
                <w14:ligatures w14:val="none"/>
              </w:rPr>
            </w:pPr>
          </w:p>
        </w:tc>
      </w:tr>
      <w:tr w:rsidR="001D36BD" w:rsidRPr="001D36BD" w14:paraId="2AFC6C62" w14:textId="77777777" w:rsidTr="00AE77DF">
        <w:trPr>
          <w:trHeight w:val="284"/>
        </w:trPr>
        <w:tc>
          <w:tcPr>
            <w:tcW w:w="1255" w:type="dxa"/>
            <w:noWrap/>
            <w:vAlign w:val="bottom"/>
            <w:hideMark/>
          </w:tcPr>
          <w:p w14:paraId="1343E902" w14:textId="77777777" w:rsidR="001D36BD" w:rsidRPr="001D36BD" w:rsidRDefault="001D36BD" w:rsidP="001D36BD">
            <w:pPr>
              <w:spacing w:line="240" w:lineRule="auto"/>
              <w:rPr>
                <w:rFonts w:ascii="Aptos Narrow" w:eastAsia="Times New Roman" w:hAnsi="Aptos Narrow" w:cs="Times New Roman"/>
                <w:b/>
                <w:bCs/>
                <w:color w:val="000000"/>
                <w:kern w:val="0"/>
                <w:sz w:val="22"/>
                <w:szCs w:val="22"/>
                <w14:ligatures w14:val="none"/>
              </w:rPr>
            </w:pPr>
            <w:proofErr w:type="spellStart"/>
            <w:r w:rsidRPr="001D36BD">
              <w:rPr>
                <w:rFonts w:ascii="Aptos Narrow" w:eastAsia="Times New Roman" w:hAnsi="Aptos Narrow" w:cs="Times New Roman"/>
                <w:b/>
                <w:bCs/>
                <w:color w:val="000000"/>
                <w:kern w:val="0"/>
                <w:sz w:val="22"/>
                <w:szCs w:val="22"/>
                <w14:ligatures w14:val="none"/>
              </w:rPr>
              <w:t>IAM_price</w:t>
            </w:r>
            <w:proofErr w:type="spellEnd"/>
          </w:p>
        </w:tc>
        <w:tc>
          <w:tcPr>
            <w:tcW w:w="1440" w:type="dxa"/>
            <w:noWrap/>
            <w:vAlign w:val="bottom"/>
            <w:hideMark/>
          </w:tcPr>
          <w:p w14:paraId="2F4EA654"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0.0001</w:t>
            </w:r>
          </w:p>
        </w:tc>
        <w:tc>
          <w:tcPr>
            <w:tcW w:w="1530" w:type="dxa"/>
            <w:noWrap/>
            <w:vAlign w:val="bottom"/>
            <w:hideMark/>
          </w:tcPr>
          <w:p w14:paraId="774FAB9F"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0.0116</w:t>
            </w:r>
          </w:p>
        </w:tc>
        <w:tc>
          <w:tcPr>
            <w:tcW w:w="1440" w:type="dxa"/>
            <w:noWrap/>
            <w:vAlign w:val="bottom"/>
            <w:hideMark/>
          </w:tcPr>
          <w:p w14:paraId="4677DB10"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0.016</w:t>
            </w:r>
          </w:p>
        </w:tc>
        <w:tc>
          <w:tcPr>
            <w:tcW w:w="1710" w:type="dxa"/>
            <w:noWrap/>
            <w:vAlign w:val="bottom"/>
            <w:hideMark/>
          </w:tcPr>
          <w:p w14:paraId="7F1BC8A7"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0.1839</w:t>
            </w:r>
          </w:p>
        </w:tc>
        <w:tc>
          <w:tcPr>
            <w:tcW w:w="1350" w:type="dxa"/>
            <w:noWrap/>
            <w:vAlign w:val="bottom"/>
            <w:hideMark/>
          </w:tcPr>
          <w:p w14:paraId="67EDB8AF"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-0.0999</w:t>
            </w:r>
          </w:p>
        </w:tc>
        <w:tc>
          <w:tcPr>
            <w:tcW w:w="1530" w:type="dxa"/>
            <w:noWrap/>
            <w:vAlign w:val="bottom"/>
            <w:hideMark/>
          </w:tcPr>
          <w:p w14:paraId="25D301E5"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0.0999</w:t>
            </w:r>
          </w:p>
        </w:tc>
      </w:tr>
      <w:tr w:rsidR="001D36BD" w:rsidRPr="001D36BD" w14:paraId="2E83D60F" w14:textId="77777777" w:rsidTr="00AE77DF">
        <w:trPr>
          <w:trHeight w:val="284"/>
        </w:trPr>
        <w:tc>
          <w:tcPr>
            <w:tcW w:w="1255" w:type="dxa"/>
            <w:noWrap/>
            <w:vAlign w:val="bottom"/>
            <w:hideMark/>
          </w:tcPr>
          <w:p w14:paraId="30D6BC4D" w14:textId="77777777" w:rsidR="001D36BD" w:rsidRPr="001D36BD" w:rsidRDefault="001D36BD" w:rsidP="001D36BD">
            <w:pPr>
              <w:spacing w:line="240" w:lineRule="auto"/>
              <w:rPr>
                <w:rFonts w:ascii="Aptos Narrow" w:eastAsia="Times New Roman" w:hAnsi="Aptos Narrow" w:cs="Times New Roman"/>
                <w:b/>
                <w:bCs/>
                <w:color w:val="000000"/>
                <w:kern w:val="0"/>
                <w:sz w:val="22"/>
                <w:szCs w:val="22"/>
                <w14:ligatures w14:val="none"/>
              </w:rPr>
            </w:pPr>
            <w:proofErr w:type="spellStart"/>
            <w:r w:rsidRPr="001D36BD">
              <w:rPr>
                <w:rFonts w:ascii="Aptos Narrow" w:eastAsia="Times New Roman" w:hAnsi="Aptos Narrow" w:cs="Times New Roman"/>
                <w:b/>
                <w:bCs/>
                <w:color w:val="000000"/>
                <w:kern w:val="0"/>
                <w:sz w:val="22"/>
                <w:szCs w:val="22"/>
                <w14:ligatures w14:val="none"/>
              </w:rPr>
              <w:t>ATW_price</w:t>
            </w:r>
            <w:proofErr w:type="spellEnd"/>
          </w:p>
        </w:tc>
        <w:tc>
          <w:tcPr>
            <w:tcW w:w="1440" w:type="dxa"/>
            <w:noWrap/>
            <w:vAlign w:val="bottom"/>
            <w:hideMark/>
          </w:tcPr>
          <w:p w14:paraId="3902A180"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0.0003</w:t>
            </w:r>
          </w:p>
        </w:tc>
        <w:tc>
          <w:tcPr>
            <w:tcW w:w="1530" w:type="dxa"/>
            <w:noWrap/>
            <w:vAlign w:val="bottom"/>
            <w:hideMark/>
          </w:tcPr>
          <w:p w14:paraId="34FA88F0"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0.0114</w:t>
            </w:r>
          </w:p>
        </w:tc>
        <w:tc>
          <w:tcPr>
            <w:tcW w:w="1440" w:type="dxa"/>
            <w:noWrap/>
            <w:vAlign w:val="bottom"/>
            <w:hideMark/>
          </w:tcPr>
          <w:p w14:paraId="0A642613"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0.085</w:t>
            </w:r>
          </w:p>
        </w:tc>
        <w:tc>
          <w:tcPr>
            <w:tcW w:w="1710" w:type="dxa"/>
            <w:noWrap/>
            <w:vAlign w:val="bottom"/>
            <w:hideMark/>
          </w:tcPr>
          <w:p w14:paraId="3F1553EF"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0.181</w:t>
            </w:r>
          </w:p>
        </w:tc>
        <w:tc>
          <w:tcPr>
            <w:tcW w:w="1350" w:type="dxa"/>
            <w:noWrap/>
            <w:vAlign w:val="bottom"/>
            <w:hideMark/>
          </w:tcPr>
          <w:p w14:paraId="3041D809"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-0.0999</w:t>
            </w:r>
          </w:p>
        </w:tc>
        <w:tc>
          <w:tcPr>
            <w:tcW w:w="1530" w:type="dxa"/>
            <w:noWrap/>
            <w:vAlign w:val="bottom"/>
            <w:hideMark/>
          </w:tcPr>
          <w:p w14:paraId="69098D6F"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0.0623</w:t>
            </w:r>
          </w:p>
        </w:tc>
      </w:tr>
      <w:tr w:rsidR="001D36BD" w:rsidRPr="001D36BD" w14:paraId="28A33516" w14:textId="77777777" w:rsidTr="00AE77DF">
        <w:trPr>
          <w:trHeight w:val="284"/>
        </w:trPr>
        <w:tc>
          <w:tcPr>
            <w:tcW w:w="1255" w:type="dxa"/>
            <w:noWrap/>
            <w:vAlign w:val="bottom"/>
            <w:hideMark/>
          </w:tcPr>
          <w:p w14:paraId="12B7C529" w14:textId="77777777" w:rsidR="001D36BD" w:rsidRPr="001D36BD" w:rsidRDefault="001D36BD" w:rsidP="001D36BD">
            <w:pPr>
              <w:spacing w:line="240" w:lineRule="auto"/>
              <w:rPr>
                <w:rFonts w:ascii="Aptos Narrow" w:eastAsia="Times New Roman" w:hAnsi="Aptos Narrow" w:cs="Times New Roman"/>
                <w:b/>
                <w:bCs/>
                <w:color w:val="000000"/>
                <w:kern w:val="0"/>
                <w:sz w:val="22"/>
                <w:szCs w:val="22"/>
                <w14:ligatures w14:val="none"/>
              </w:rPr>
            </w:pPr>
            <w:proofErr w:type="spellStart"/>
            <w:r w:rsidRPr="001D36BD">
              <w:rPr>
                <w:rFonts w:ascii="Aptos Narrow" w:eastAsia="Times New Roman" w:hAnsi="Aptos Narrow" w:cs="Times New Roman"/>
                <w:b/>
                <w:bCs/>
                <w:color w:val="000000"/>
                <w:kern w:val="0"/>
                <w:sz w:val="22"/>
                <w:szCs w:val="22"/>
                <w14:ligatures w14:val="none"/>
              </w:rPr>
              <w:t>BCP_price</w:t>
            </w:r>
            <w:proofErr w:type="spellEnd"/>
          </w:p>
        </w:tc>
        <w:tc>
          <w:tcPr>
            <w:tcW w:w="1440" w:type="dxa"/>
            <w:noWrap/>
            <w:vAlign w:val="bottom"/>
            <w:hideMark/>
          </w:tcPr>
          <w:p w14:paraId="2F1362DA"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0.0002</w:t>
            </w:r>
          </w:p>
        </w:tc>
        <w:tc>
          <w:tcPr>
            <w:tcW w:w="1530" w:type="dxa"/>
            <w:noWrap/>
            <w:vAlign w:val="bottom"/>
            <w:hideMark/>
          </w:tcPr>
          <w:p w14:paraId="15C41E70"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0.012</w:t>
            </w:r>
          </w:p>
        </w:tc>
        <w:tc>
          <w:tcPr>
            <w:tcW w:w="1440" w:type="dxa"/>
            <w:noWrap/>
            <w:vAlign w:val="bottom"/>
            <w:hideMark/>
          </w:tcPr>
          <w:p w14:paraId="1FD06EFA"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0.044</w:t>
            </w:r>
          </w:p>
        </w:tc>
        <w:tc>
          <w:tcPr>
            <w:tcW w:w="1710" w:type="dxa"/>
            <w:noWrap/>
            <w:vAlign w:val="bottom"/>
            <w:hideMark/>
          </w:tcPr>
          <w:p w14:paraId="1A3E40D1"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0.1906</w:t>
            </w:r>
          </w:p>
        </w:tc>
        <w:tc>
          <w:tcPr>
            <w:tcW w:w="1350" w:type="dxa"/>
            <w:noWrap/>
            <w:vAlign w:val="bottom"/>
            <w:hideMark/>
          </w:tcPr>
          <w:p w14:paraId="61495D27"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-0.0998</w:t>
            </w:r>
          </w:p>
        </w:tc>
        <w:tc>
          <w:tcPr>
            <w:tcW w:w="1530" w:type="dxa"/>
            <w:noWrap/>
            <w:vAlign w:val="bottom"/>
            <w:hideMark/>
          </w:tcPr>
          <w:p w14:paraId="56878918"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0.0744</w:t>
            </w:r>
          </w:p>
        </w:tc>
      </w:tr>
      <w:tr w:rsidR="001D36BD" w:rsidRPr="001D36BD" w14:paraId="314EBE08" w14:textId="77777777" w:rsidTr="00AE77DF">
        <w:trPr>
          <w:trHeight w:val="284"/>
        </w:trPr>
        <w:tc>
          <w:tcPr>
            <w:tcW w:w="1255" w:type="dxa"/>
            <w:noWrap/>
            <w:vAlign w:val="bottom"/>
            <w:hideMark/>
          </w:tcPr>
          <w:p w14:paraId="18385EE4" w14:textId="77777777" w:rsidR="001D36BD" w:rsidRPr="001D36BD" w:rsidRDefault="001D36BD" w:rsidP="001D36BD">
            <w:pPr>
              <w:spacing w:line="240" w:lineRule="auto"/>
              <w:rPr>
                <w:rFonts w:ascii="Aptos Narrow" w:eastAsia="Times New Roman" w:hAnsi="Aptos Narrow" w:cs="Times New Roman"/>
                <w:b/>
                <w:bCs/>
                <w:color w:val="000000"/>
                <w:kern w:val="0"/>
                <w:sz w:val="22"/>
                <w:szCs w:val="22"/>
                <w14:ligatures w14:val="none"/>
              </w:rPr>
            </w:pPr>
            <w:proofErr w:type="spellStart"/>
            <w:r w:rsidRPr="001D36BD">
              <w:rPr>
                <w:rFonts w:ascii="Aptos Narrow" w:eastAsia="Times New Roman" w:hAnsi="Aptos Narrow" w:cs="Times New Roman"/>
                <w:b/>
                <w:bCs/>
                <w:color w:val="000000"/>
                <w:kern w:val="0"/>
                <w:sz w:val="22"/>
                <w:szCs w:val="22"/>
                <w14:ligatures w14:val="none"/>
              </w:rPr>
              <w:t>TQA_price</w:t>
            </w:r>
            <w:proofErr w:type="spellEnd"/>
          </w:p>
        </w:tc>
        <w:tc>
          <w:tcPr>
            <w:tcW w:w="1440" w:type="dxa"/>
            <w:noWrap/>
            <w:vAlign w:val="bottom"/>
            <w:hideMark/>
          </w:tcPr>
          <w:p w14:paraId="459D18C2" w14:textId="2EBB2F64"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0.0004</w:t>
            </w:r>
          </w:p>
        </w:tc>
        <w:tc>
          <w:tcPr>
            <w:tcW w:w="1530" w:type="dxa"/>
            <w:noWrap/>
            <w:vAlign w:val="bottom"/>
            <w:hideMark/>
          </w:tcPr>
          <w:p w14:paraId="36CBB2B4" w14:textId="00EAF6ED"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0.012</w:t>
            </w:r>
          </w:p>
        </w:tc>
        <w:tc>
          <w:tcPr>
            <w:tcW w:w="1440" w:type="dxa"/>
            <w:noWrap/>
            <w:vAlign w:val="bottom"/>
            <w:hideMark/>
          </w:tcPr>
          <w:p w14:paraId="3F937044" w14:textId="536CB143"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0.0973</w:t>
            </w:r>
          </w:p>
        </w:tc>
        <w:tc>
          <w:tcPr>
            <w:tcW w:w="1710" w:type="dxa"/>
            <w:noWrap/>
            <w:vAlign w:val="bottom"/>
            <w:hideMark/>
          </w:tcPr>
          <w:p w14:paraId="1646C87B"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0.1904</w:t>
            </w:r>
          </w:p>
        </w:tc>
        <w:tc>
          <w:tcPr>
            <w:tcW w:w="1350" w:type="dxa"/>
            <w:noWrap/>
            <w:vAlign w:val="bottom"/>
            <w:hideMark/>
          </w:tcPr>
          <w:p w14:paraId="3485E01D"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-0.0864</w:t>
            </w:r>
          </w:p>
        </w:tc>
        <w:tc>
          <w:tcPr>
            <w:tcW w:w="1530" w:type="dxa"/>
            <w:noWrap/>
            <w:vAlign w:val="bottom"/>
            <w:hideMark/>
          </w:tcPr>
          <w:p w14:paraId="0EF392AD"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0.0889</w:t>
            </w:r>
          </w:p>
        </w:tc>
      </w:tr>
      <w:tr w:rsidR="001D36BD" w:rsidRPr="001D36BD" w14:paraId="221DAB79" w14:textId="77777777" w:rsidTr="00AE77DF">
        <w:trPr>
          <w:trHeight w:val="284"/>
        </w:trPr>
        <w:tc>
          <w:tcPr>
            <w:tcW w:w="1255" w:type="dxa"/>
            <w:noWrap/>
            <w:vAlign w:val="bottom"/>
            <w:hideMark/>
          </w:tcPr>
          <w:p w14:paraId="34DD01D0" w14:textId="77777777" w:rsidR="001D36BD" w:rsidRPr="001D36BD" w:rsidRDefault="001D36BD" w:rsidP="001D36BD">
            <w:pPr>
              <w:spacing w:line="240" w:lineRule="auto"/>
              <w:rPr>
                <w:rFonts w:ascii="Aptos Narrow" w:eastAsia="Times New Roman" w:hAnsi="Aptos Narrow" w:cs="Times New Roman"/>
                <w:b/>
                <w:bCs/>
                <w:color w:val="000000"/>
                <w:kern w:val="0"/>
                <w:sz w:val="22"/>
                <w:szCs w:val="22"/>
                <w14:ligatures w14:val="none"/>
              </w:rPr>
            </w:pPr>
            <w:proofErr w:type="spellStart"/>
            <w:r w:rsidRPr="001D36BD">
              <w:rPr>
                <w:rFonts w:ascii="Aptos Narrow" w:eastAsia="Times New Roman" w:hAnsi="Aptos Narrow" w:cs="Times New Roman"/>
                <w:b/>
                <w:bCs/>
                <w:color w:val="000000"/>
                <w:kern w:val="0"/>
                <w:sz w:val="22"/>
                <w:szCs w:val="22"/>
                <w14:ligatures w14:val="none"/>
              </w:rPr>
              <w:t>BOA_price</w:t>
            </w:r>
            <w:proofErr w:type="spellEnd"/>
          </w:p>
        </w:tc>
        <w:tc>
          <w:tcPr>
            <w:tcW w:w="1440" w:type="dxa"/>
            <w:noWrap/>
            <w:vAlign w:val="bottom"/>
            <w:hideMark/>
          </w:tcPr>
          <w:p w14:paraId="1D9B584A"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0.0001</w:t>
            </w:r>
          </w:p>
        </w:tc>
        <w:tc>
          <w:tcPr>
            <w:tcW w:w="1530" w:type="dxa"/>
            <w:noWrap/>
            <w:vAlign w:val="bottom"/>
            <w:hideMark/>
          </w:tcPr>
          <w:p w14:paraId="6B96CC8C"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0.0142</w:t>
            </w:r>
          </w:p>
        </w:tc>
        <w:tc>
          <w:tcPr>
            <w:tcW w:w="1440" w:type="dxa"/>
            <w:noWrap/>
            <w:vAlign w:val="bottom"/>
            <w:hideMark/>
          </w:tcPr>
          <w:p w14:paraId="13320382" w14:textId="07D216E9"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0.0286</w:t>
            </w:r>
          </w:p>
        </w:tc>
        <w:tc>
          <w:tcPr>
            <w:tcW w:w="1710" w:type="dxa"/>
            <w:noWrap/>
            <w:vAlign w:val="bottom"/>
            <w:hideMark/>
          </w:tcPr>
          <w:p w14:paraId="00BD5464"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0.2252</w:t>
            </w:r>
          </w:p>
        </w:tc>
        <w:tc>
          <w:tcPr>
            <w:tcW w:w="1350" w:type="dxa"/>
            <w:noWrap/>
            <w:vAlign w:val="bottom"/>
            <w:hideMark/>
          </w:tcPr>
          <w:p w14:paraId="7A5B42B6"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-0.0991</w:t>
            </w:r>
          </w:p>
        </w:tc>
        <w:tc>
          <w:tcPr>
            <w:tcW w:w="1530" w:type="dxa"/>
            <w:noWrap/>
            <w:vAlign w:val="bottom"/>
            <w:hideMark/>
          </w:tcPr>
          <w:p w14:paraId="1A1B3DC7"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0.0997</w:t>
            </w:r>
          </w:p>
        </w:tc>
      </w:tr>
      <w:tr w:rsidR="001D36BD" w:rsidRPr="001D36BD" w14:paraId="383E3AFF" w14:textId="77777777" w:rsidTr="00AE77DF">
        <w:trPr>
          <w:trHeight w:val="284"/>
        </w:trPr>
        <w:tc>
          <w:tcPr>
            <w:tcW w:w="1255" w:type="dxa"/>
            <w:noWrap/>
            <w:vAlign w:val="bottom"/>
            <w:hideMark/>
          </w:tcPr>
          <w:p w14:paraId="674812ED" w14:textId="77777777" w:rsidR="001D36BD" w:rsidRPr="001D36BD" w:rsidRDefault="001D36BD" w:rsidP="001D36BD">
            <w:pPr>
              <w:spacing w:line="240" w:lineRule="auto"/>
              <w:rPr>
                <w:rFonts w:ascii="Aptos Narrow" w:eastAsia="Times New Roman" w:hAnsi="Aptos Narrow" w:cs="Times New Roman"/>
                <w:b/>
                <w:bCs/>
                <w:color w:val="000000"/>
                <w:kern w:val="0"/>
                <w:sz w:val="22"/>
                <w:szCs w:val="22"/>
                <w14:ligatures w14:val="none"/>
              </w:rPr>
            </w:pPr>
            <w:proofErr w:type="spellStart"/>
            <w:r w:rsidRPr="001D36BD">
              <w:rPr>
                <w:rFonts w:ascii="Aptos Narrow" w:eastAsia="Times New Roman" w:hAnsi="Aptos Narrow" w:cs="Times New Roman"/>
                <w:b/>
                <w:bCs/>
                <w:color w:val="000000"/>
                <w:kern w:val="0"/>
                <w:sz w:val="22"/>
                <w:szCs w:val="22"/>
                <w14:ligatures w14:val="none"/>
              </w:rPr>
              <w:t>MNG_price</w:t>
            </w:r>
            <w:proofErr w:type="spellEnd"/>
          </w:p>
        </w:tc>
        <w:tc>
          <w:tcPr>
            <w:tcW w:w="1440" w:type="dxa"/>
            <w:noWrap/>
            <w:vAlign w:val="bottom"/>
            <w:hideMark/>
          </w:tcPr>
          <w:p w14:paraId="530B035C"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0.0002</w:t>
            </w:r>
          </w:p>
        </w:tc>
        <w:tc>
          <w:tcPr>
            <w:tcW w:w="1530" w:type="dxa"/>
            <w:noWrap/>
            <w:vAlign w:val="bottom"/>
            <w:hideMark/>
          </w:tcPr>
          <w:p w14:paraId="688CC486"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0.0169</w:t>
            </w:r>
          </w:p>
        </w:tc>
        <w:tc>
          <w:tcPr>
            <w:tcW w:w="1440" w:type="dxa"/>
            <w:noWrap/>
            <w:vAlign w:val="bottom"/>
            <w:hideMark/>
          </w:tcPr>
          <w:p w14:paraId="7B5C3C4A" w14:textId="6F0FB5EC"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0.0386</w:t>
            </w:r>
          </w:p>
        </w:tc>
        <w:tc>
          <w:tcPr>
            <w:tcW w:w="1710" w:type="dxa"/>
            <w:noWrap/>
            <w:vAlign w:val="bottom"/>
            <w:hideMark/>
          </w:tcPr>
          <w:p w14:paraId="1C81ED81"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0.2683</w:t>
            </w:r>
          </w:p>
        </w:tc>
        <w:tc>
          <w:tcPr>
            <w:tcW w:w="1350" w:type="dxa"/>
            <w:noWrap/>
            <w:vAlign w:val="bottom"/>
            <w:hideMark/>
          </w:tcPr>
          <w:p w14:paraId="3F8122D7"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-0.0996</w:t>
            </w:r>
          </w:p>
        </w:tc>
        <w:tc>
          <w:tcPr>
            <w:tcW w:w="1530" w:type="dxa"/>
            <w:noWrap/>
            <w:vAlign w:val="bottom"/>
            <w:hideMark/>
          </w:tcPr>
          <w:p w14:paraId="582255B1" w14:textId="77777777" w:rsidR="001D36BD" w:rsidRPr="001D36BD" w:rsidRDefault="001D36BD" w:rsidP="001D36BD">
            <w:pPr>
              <w:spacing w:line="240" w:lineRule="auto"/>
              <w:jc w:val="right"/>
              <w:rPr>
                <w:rFonts w:ascii="Aptos Narrow" w:eastAsia="Times New Roman" w:hAnsi="Aptos Narrow" w:cs="Times New Roman"/>
                <w:color w:val="000000"/>
                <w:kern w:val="0"/>
                <w:sz w:val="22"/>
                <w:szCs w:val="22"/>
                <w14:ligatures w14:val="none"/>
              </w:rPr>
            </w:pPr>
            <w:r w:rsidRPr="001D36BD">
              <w:rPr>
                <w:rFonts w:ascii="Aptos Narrow" w:eastAsia="Times New Roman" w:hAnsi="Aptos Narrow" w:cs="Times New Roman"/>
                <w:color w:val="000000"/>
                <w:kern w:val="0"/>
                <w:sz w:val="22"/>
                <w:szCs w:val="22"/>
                <w14:ligatures w14:val="none"/>
              </w:rPr>
              <w:t>0.2109</w:t>
            </w:r>
          </w:p>
        </w:tc>
      </w:tr>
    </w:tbl>
    <w:p w14:paraId="5778B94D" w14:textId="4935071E" w:rsidR="000025F5" w:rsidRPr="003058F9" w:rsidRDefault="001D36BD" w:rsidP="003058F9">
      <w:pPr>
        <w:jc w:val="center"/>
        <w:rPr>
          <w:b/>
          <w:bCs/>
          <w:u w:val="single"/>
          <w:lang w:val="fr-FR"/>
        </w:rPr>
      </w:pPr>
      <w:r w:rsidRPr="003058F9">
        <w:rPr>
          <w:b/>
          <w:bCs/>
          <w:u w:val="single"/>
          <w:lang w:val="fr-FR"/>
        </w:rPr>
        <w:t xml:space="preserve">Table </w:t>
      </w:r>
      <w:proofErr w:type="gramStart"/>
      <w:r w:rsidRPr="003058F9">
        <w:rPr>
          <w:b/>
          <w:bCs/>
          <w:u w:val="single"/>
          <w:lang w:val="fr-FR"/>
        </w:rPr>
        <w:t>1:</w:t>
      </w:r>
      <w:proofErr w:type="gramEnd"/>
      <w:r w:rsidRPr="003058F9">
        <w:rPr>
          <w:b/>
          <w:bCs/>
          <w:u w:val="single"/>
          <w:lang w:val="fr-FR"/>
        </w:rPr>
        <w:t xml:space="preserve"> </w:t>
      </w:r>
      <w:r w:rsidR="003058F9" w:rsidRPr="003058F9">
        <w:rPr>
          <w:rFonts w:asciiTheme="minorHAnsi" w:hAnsiTheme="minorHAnsi"/>
          <w:b/>
          <w:bCs/>
          <w:u w:val="single"/>
          <w:lang w:val="fr-FR"/>
        </w:rPr>
        <w:t>Résumé quotidien des rendements et de la volatilité des actions marocaines sélectionnées, de 2015 à décembre 2025</w:t>
      </w:r>
    </w:p>
    <w:p w14:paraId="57FEFCFA" w14:textId="1CD7350A" w:rsidR="000025F5" w:rsidRPr="003058F9" w:rsidRDefault="00FE1B30" w:rsidP="000025F5">
      <w:pPr>
        <w:rPr>
          <w:lang w:val="fr-FR"/>
        </w:rPr>
      </w:pPr>
      <w:r w:rsidRPr="003058F9">
        <w:rPr>
          <w:noProof/>
        </w:rPr>
        <w:drawing>
          <wp:anchor distT="0" distB="0" distL="114300" distR="114300" simplePos="0" relativeHeight="251662336" behindDoc="0" locked="0" layoutInCell="1" allowOverlap="1" wp14:anchorId="5617D5E9" wp14:editId="70459A16">
            <wp:simplePos x="0" y="0"/>
            <wp:positionH relativeFrom="margin">
              <wp:align>right</wp:align>
            </wp:positionH>
            <wp:positionV relativeFrom="margin">
              <wp:posOffset>4484189</wp:posOffset>
            </wp:positionV>
            <wp:extent cx="5943600" cy="2949575"/>
            <wp:effectExtent l="0" t="0" r="0" b="3175"/>
            <wp:wrapSquare wrapText="bothSides"/>
            <wp:docPr id="2084529879" name="Picture 1" descr="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29879" name="Picture 1" descr="A graph showing a number of different colore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14:sizeRelH relativeFrom="margin">
              <wp14:pctWidth>0</wp14:pctWidth>
            </wp14:sizeRelH>
            <wp14:sizeRelV relativeFrom="margin">
              <wp14:pctHeight>0</wp14:pctHeight>
            </wp14:sizeRelV>
          </wp:anchor>
        </w:drawing>
      </w:r>
      <w:r w:rsidR="003058F9" w:rsidRPr="003058F9">
        <w:rPr>
          <w:noProof/>
          <w:lang w:val="fr-FR"/>
        </w:rPr>
        <w:t xml:space="preserve">Afin de caractériser le profil de risque des actions sélectionnées, nous calculons les rendements quotidiens et en déduisons des statistiques de base telles que la moyenne, l'écart type et la volatilité annualisée (Tableau 1). Les actions marocaines à forte capitalisation présentent des variations quotidiennes moyennes relativement modérées, mais avec des observations extrêmes occasionnelles, ce qui est cohérent avec le comportement des marchés boursiers </w:t>
      </w:r>
      <w:r w:rsidR="003058F9" w:rsidRPr="003058F9">
        <w:rPr>
          <w:noProof/>
          <w:lang w:val="fr-FR"/>
        </w:rPr>
        <w:t>émergents.</w:t>
      </w:r>
    </w:p>
    <w:p w14:paraId="7CBB22F7" w14:textId="23CA2416" w:rsidR="000025F5" w:rsidRPr="001D36BD" w:rsidRDefault="000025F5" w:rsidP="000025F5">
      <w:pPr>
        <w:jc w:val="center"/>
      </w:pPr>
      <w:r>
        <w:rPr>
          <w:b/>
          <w:bCs/>
          <w:u w:val="single"/>
        </w:rPr>
        <w:t>Figure</w:t>
      </w:r>
      <w:r w:rsidRPr="001D36BD">
        <w:rPr>
          <w:b/>
          <w:bCs/>
          <w:u w:val="single"/>
        </w:rPr>
        <w:t xml:space="preserve"> </w:t>
      </w:r>
      <w:r>
        <w:rPr>
          <w:b/>
          <w:bCs/>
          <w:u w:val="single"/>
        </w:rPr>
        <w:t>3</w:t>
      </w:r>
      <w:r w:rsidRPr="001D36BD">
        <w:rPr>
          <w:b/>
          <w:bCs/>
          <w:u w:val="single"/>
        </w:rPr>
        <w:t xml:space="preserve">: </w:t>
      </w:r>
      <w:r>
        <w:rPr>
          <w:b/>
          <w:bCs/>
          <w:u w:val="single"/>
        </w:rPr>
        <w:t>Daily return and volatility summary for the selected Moroccan equities</w:t>
      </w:r>
      <w:r w:rsidRPr="001D36BD">
        <w:rPr>
          <w:b/>
          <w:bCs/>
          <w:u w:val="single"/>
        </w:rPr>
        <w:t xml:space="preserve"> 2015 to 12/2025</w:t>
      </w:r>
    </w:p>
    <w:p w14:paraId="7FC98FCD" w14:textId="1B55FE8D" w:rsidR="00B7084D" w:rsidRPr="00B7084D" w:rsidRDefault="00B7084D" w:rsidP="00B7084D">
      <w:pPr>
        <w:spacing w:after="160"/>
        <w:rPr>
          <w:lang w:val="fr-FR"/>
        </w:rPr>
      </w:pPr>
      <w:r w:rsidRPr="00B7084D">
        <w:rPr>
          <w:lang w:val="fr-FR"/>
        </w:rPr>
        <w:t xml:space="preserve">La figure 3 illustre la volatilité glissante sur 30 jours des rendements quotidiens. La volatilité n'est manifestement pas constante dans le temps : les périodes de tensions sur les marchés </w:t>
      </w:r>
      <w:r w:rsidRPr="00B7084D">
        <w:rPr>
          <w:lang w:val="fr-FR"/>
        </w:rPr>
        <w:lastRenderedPageBreak/>
        <w:t xml:space="preserve">s'accompagnent de pics de volatilité importants, suivis d'un retour à la moyenne vers des niveaux plus stables. Ce regroupement de la volatilité </w:t>
      </w:r>
      <w:proofErr w:type="gramStart"/>
      <w:r w:rsidRPr="00B7084D">
        <w:rPr>
          <w:lang w:val="fr-FR"/>
        </w:rPr>
        <w:t>a</w:t>
      </w:r>
      <w:proofErr w:type="gramEnd"/>
      <w:r w:rsidRPr="00B7084D">
        <w:rPr>
          <w:lang w:val="fr-FR"/>
        </w:rPr>
        <w:t xml:space="preserve"> des conséquences directes sur la construction de portefeuille et la gestion des risques, car un même portefeuille peut présenter des niveaux de risque très différents selon les contextes de marché.</w:t>
      </w:r>
    </w:p>
    <w:p w14:paraId="770297A2" w14:textId="2CB09655" w:rsidR="000025F5" w:rsidRPr="00B7084D" w:rsidRDefault="00FE1B30" w:rsidP="000025F5">
      <w:pPr>
        <w:rPr>
          <w:lang w:val="fr-FR"/>
        </w:rPr>
      </w:pPr>
      <w:r w:rsidRPr="000025F5">
        <w:rPr>
          <w:noProof/>
        </w:rPr>
        <w:drawing>
          <wp:anchor distT="0" distB="0" distL="114300" distR="114300" simplePos="0" relativeHeight="251663360" behindDoc="0" locked="0" layoutInCell="1" allowOverlap="1" wp14:anchorId="4B1E07D8" wp14:editId="09F5E57C">
            <wp:simplePos x="0" y="0"/>
            <wp:positionH relativeFrom="margin">
              <wp:posOffset>933450</wp:posOffset>
            </wp:positionH>
            <wp:positionV relativeFrom="margin">
              <wp:posOffset>946150</wp:posOffset>
            </wp:positionV>
            <wp:extent cx="4072255" cy="3178175"/>
            <wp:effectExtent l="0" t="0" r="4445" b="3175"/>
            <wp:wrapSquare wrapText="bothSides"/>
            <wp:docPr id="15227744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7444" name="Picture 1" descr="A screenshot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072255" cy="3178175"/>
                    </a:xfrm>
                    <a:prstGeom prst="rect">
                      <a:avLst/>
                    </a:prstGeom>
                  </pic:spPr>
                </pic:pic>
              </a:graphicData>
            </a:graphic>
            <wp14:sizeRelH relativeFrom="margin">
              <wp14:pctWidth>0</wp14:pctWidth>
            </wp14:sizeRelH>
            <wp14:sizeRelV relativeFrom="margin">
              <wp14:pctHeight>0</wp14:pctHeight>
            </wp14:sizeRelV>
          </wp:anchor>
        </w:drawing>
      </w:r>
    </w:p>
    <w:p w14:paraId="17D7D589" w14:textId="09340BAD" w:rsidR="007D68E1" w:rsidRPr="00B7084D" w:rsidRDefault="007D68E1">
      <w:pPr>
        <w:rPr>
          <w:lang w:val="fr-FR"/>
        </w:rPr>
      </w:pPr>
    </w:p>
    <w:p w14:paraId="7F43954E" w14:textId="77777777" w:rsidR="00A20C85" w:rsidRPr="00B7084D" w:rsidRDefault="00A20C85">
      <w:pPr>
        <w:rPr>
          <w:lang w:val="fr-FR"/>
        </w:rPr>
      </w:pPr>
    </w:p>
    <w:p w14:paraId="605A11CA" w14:textId="736ADE9D" w:rsidR="007D68E1" w:rsidRPr="00B7084D" w:rsidRDefault="007D68E1">
      <w:pPr>
        <w:rPr>
          <w:lang w:val="fr-FR"/>
        </w:rPr>
      </w:pPr>
    </w:p>
    <w:p w14:paraId="387DABC3" w14:textId="7C540373" w:rsidR="007D68E1" w:rsidRPr="00B7084D" w:rsidRDefault="007D68E1">
      <w:pPr>
        <w:rPr>
          <w:lang w:val="fr-FR"/>
        </w:rPr>
      </w:pPr>
    </w:p>
    <w:p w14:paraId="362EA078" w14:textId="77777777" w:rsidR="000025F5" w:rsidRPr="00B7084D" w:rsidRDefault="000025F5">
      <w:pPr>
        <w:rPr>
          <w:lang w:val="fr-FR"/>
        </w:rPr>
      </w:pPr>
    </w:p>
    <w:p w14:paraId="3185FFB9" w14:textId="77777777" w:rsidR="000025F5" w:rsidRPr="00B7084D" w:rsidRDefault="000025F5">
      <w:pPr>
        <w:rPr>
          <w:lang w:val="fr-FR"/>
        </w:rPr>
      </w:pPr>
    </w:p>
    <w:p w14:paraId="0B4AA7BF" w14:textId="77777777" w:rsidR="000025F5" w:rsidRPr="00B7084D" w:rsidRDefault="000025F5">
      <w:pPr>
        <w:rPr>
          <w:lang w:val="fr-FR"/>
        </w:rPr>
      </w:pPr>
    </w:p>
    <w:p w14:paraId="30F9C54D" w14:textId="77777777" w:rsidR="000025F5" w:rsidRPr="00B7084D" w:rsidRDefault="000025F5">
      <w:pPr>
        <w:rPr>
          <w:lang w:val="fr-FR"/>
        </w:rPr>
      </w:pPr>
    </w:p>
    <w:p w14:paraId="655277BC" w14:textId="77777777" w:rsidR="000025F5" w:rsidRPr="00B7084D" w:rsidRDefault="000025F5">
      <w:pPr>
        <w:rPr>
          <w:lang w:val="fr-FR"/>
        </w:rPr>
      </w:pPr>
    </w:p>
    <w:p w14:paraId="4C600061" w14:textId="77777777" w:rsidR="000025F5" w:rsidRPr="00B7084D" w:rsidRDefault="000025F5">
      <w:pPr>
        <w:rPr>
          <w:lang w:val="fr-FR"/>
        </w:rPr>
      </w:pPr>
    </w:p>
    <w:p w14:paraId="70AE8707" w14:textId="77777777" w:rsidR="00FE1B30" w:rsidRDefault="00FE1B30" w:rsidP="000025F5">
      <w:pPr>
        <w:jc w:val="center"/>
        <w:rPr>
          <w:b/>
          <w:bCs/>
          <w:u w:val="single"/>
          <w:lang w:val="fr-FR"/>
        </w:rPr>
      </w:pPr>
    </w:p>
    <w:p w14:paraId="0D801196" w14:textId="77777777" w:rsidR="00FE1B30" w:rsidRDefault="00FE1B30" w:rsidP="000025F5">
      <w:pPr>
        <w:jc w:val="center"/>
        <w:rPr>
          <w:b/>
          <w:bCs/>
          <w:u w:val="single"/>
          <w:lang w:val="fr-FR"/>
        </w:rPr>
      </w:pPr>
    </w:p>
    <w:p w14:paraId="5A73A2FA" w14:textId="77777777" w:rsidR="00FE1B30" w:rsidRDefault="00FE1B30" w:rsidP="000025F5">
      <w:pPr>
        <w:jc w:val="center"/>
        <w:rPr>
          <w:b/>
          <w:bCs/>
          <w:u w:val="single"/>
          <w:lang w:val="fr-FR"/>
        </w:rPr>
      </w:pPr>
    </w:p>
    <w:p w14:paraId="37FEAC8E" w14:textId="77777777" w:rsidR="00FE1B30" w:rsidRDefault="00FE1B30" w:rsidP="000025F5">
      <w:pPr>
        <w:jc w:val="center"/>
        <w:rPr>
          <w:b/>
          <w:bCs/>
          <w:u w:val="single"/>
          <w:lang w:val="fr-FR"/>
        </w:rPr>
      </w:pPr>
    </w:p>
    <w:p w14:paraId="57295278" w14:textId="77777777" w:rsidR="00FE1B30" w:rsidRDefault="00FE1B30" w:rsidP="000025F5">
      <w:pPr>
        <w:jc w:val="center"/>
        <w:rPr>
          <w:b/>
          <w:bCs/>
          <w:u w:val="single"/>
          <w:lang w:val="fr-FR"/>
        </w:rPr>
      </w:pPr>
    </w:p>
    <w:p w14:paraId="5F8FDFD8" w14:textId="674D9850" w:rsidR="000025F5" w:rsidRPr="00B7084D" w:rsidRDefault="000025F5" w:rsidP="00FE1B30">
      <w:pPr>
        <w:jc w:val="center"/>
        <w:rPr>
          <w:b/>
          <w:bCs/>
          <w:u w:val="single"/>
          <w:lang w:val="fr-FR"/>
        </w:rPr>
      </w:pPr>
      <w:r w:rsidRPr="00B7084D">
        <w:rPr>
          <w:b/>
          <w:bCs/>
          <w:u w:val="single"/>
          <w:lang w:val="fr-FR"/>
        </w:rPr>
        <w:t xml:space="preserve">Figure </w:t>
      </w:r>
      <w:proofErr w:type="gramStart"/>
      <w:r w:rsidRPr="00B7084D">
        <w:rPr>
          <w:b/>
          <w:bCs/>
          <w:u w:val="single"/>
          <w:lang w:val="fr-FR"/>
        </w:rPr>
        <w:t>4:</w:t>
      </w:r>
      <w:proofErr w:type="gramEnd"/>
      <w:r w:rsidRPr="00B7084D">
        <w:rPr>
          <w:b/>
          <w:bCs/>
          <w:u w:val="single"/>
          <w:lang w:val="fr-FR"/>
        </w:rPr>
        <w:t xml:space="preserve"> </w:t>
      </w:r>
      <w:r w:rsidR="00B7084D" w:rsidRPr="00B7084D">
        <w:rPr>
          <w:b/>
          <w:bCs/>
          <w:u w:val="single"/>
          <w:lang w:val="fr-FR"/>
        </w:rPr>
        <w:t>Matrice de la c</w:t>
      </w:r>
      <w:r w:rsidR="00B7084D">
        <w:rPr>
          <w:b/>
          <w:bCs/>
          <w:u w:val="single"/>
          <w:lang w:val="fr-FR"/>
        </w:rPr>
        <w:t>orrélation du rendement journalier</w:t>
      </w:r>
    </w:p>
    <w:p w14:paraId="6F3F3190" w14:textId="77777777" w:rsidR="00FE1B30" w:rsidRDefault="00FE1B30" w:rsidP="00AD545E">
      <w:pPr>
        <w:pStyle w:val="Title"/>
        <w:rPr>
          <w:rFonts w:asciiTheme="minorHAnsi" w:eastAsiaTheme="minorHAnsi" w:hAnsiTheme="minorHAnsi" w:cstheme="minorBidi"/>
          <w:b w:val="0"/>
          <w:spacing w:val="0"/>
          <w:kern w:val="2"/>
          <w:sz w:val="24"/>
          <w:szCs w:val="24"/>
          <w:lang w:val="fr-FR"/>
        </w:rPr>
      </w:pPr>
      <w:bookmarkStart w:id="18" w:name="_Toc216541071"/>
    </w:p>
    <w:p w14:paraId="42F1F1D9" w14:textId="536C470D" w:rsidR="00B7084D" w:rsidRDefault="00B7084D" w:rsidP="005B0E2B">
      <w:pPr>
        <w:rPr>
          <w:b/>
          <w:lang w:val="fr-FR"/>
        </w:rPr>
      </w:pPr>
      <w:bookmarkStart w:id="19" w:name="_Toc216563140"/>
      <w:r w:rsidRPr="00B7084D">
        <w:rPr>
          <w:lang w:val="fr-FR"/>
        </w:rPr>
        <w:t xml:space="preserve">La matrice de corrélation des rendements quotidiens est présentée dans la figure 4. Globalement, les corrélations entre les six actions sont positives, reflétant une exposition à des facteurs macroéconomiques et de </w:t>
      </w:r>
      <w:proofErr w:type="gramStart"/>
      <w:r w:rsidRPr="00B7084D">
        <w:rPr>
          <w:lang w:val="fr-FR"/>
        </w:rPr>
        <w:t>marché communs</w:t>
      </w:r>
      <w:proofErr w:type="gramEnd"/>
      <w:r w:rsidRPr="00B7084D">
        <w:rPr>
          <w:lang w:val="fr-FR"/>
        </w:rPr>
        <w:t>. Cependant, l'intensité de la corrélation varie selon les paires d'actions, ce qui suggère que des avantages en matière de diversification subsistent au sein de ce petit univers, notamment en combinant des actions de différents secteurs.</w:t>
      </w:r>
      <w:bookmarkEnd w:id="19"/>
    </w:p>
    <w:p w14:paraId="626B4D81" w14:textId="77777777" w:rsidR="00FE1B30" w:rsidRDefault="00FE1B30" w:rsidP="00F66B96">
      <w:pPr>
        <w:pStyle w:val="Title"/>
        <w:rPr>
          <w:lang w:val="fr-FR"/>
        </w:rPr>
      </w:pPr>
      <w:bookmarkStart w:id="20" w:name="_Toc216541072"/>
      <w:bookmarkEnd w:id="18"/>
    </w:p>
    <w:p w14:paraId="17E1E9E6" w14:textId="732B6269" w:rsidR="00B7084D" w:rsidRDefault="00B7084D" w:rsidP="00F66B96">
      <w:pPr>
        <w:pStyle w:val="Title"/>
        <w:rPr>
          <w:lang w:val="fr-FR"/>
        </w:rPr>
      </w:pPr>
      <w:bookmarkStart w:id="21" w:name="_Toc216563141"/>
      <w:bookmarkStart w:id="22" w:name="_Toc216563373"/>
      <w:r w:rsidRPr="00B7084D">
        <w:rPr>
          <w:lang w:val="fr-FR"/>
        </w:rPr>
        <w:t>Comparaison des performances (MASI20) :</w:t>
      </w:r>
      <w:bookmarkEnd w:id="21"/>
      <w:bookmarkEnd w:id="22"/>
    </w:p>
    <w:p w14:paraId="4ED0BAD7" w14:textId="0B738D40" w:rsidR="00B7084D" w:rsidRPr="00B7084D" w:rsidRDefault="00B7084D" w:rsidP="00F66B96">
      <w:pPr>
        <w:pStyle w:val="Subtitle"/>
      </w:pPr>
      <w:bookmarkStart w:id="23" w:name="_Toc216563142"/>
      <w:bookmarkStart w:id="24" w:name="_Toc216563374"/>
      <w:bookmarkEnd w:id="20"/>
      <w:r w:rsidRPr="00B7084D">
        <w:t>Aperçu du benchmark MASI</w:t>
      </w:r>
      <w:r w:rsidRPr="00B7084D">
        <w:t>20:</w:t>
      </w:r>
      <w:bookmarkEnd w:id="23"/>
      <w:bookmarkEnd w:id="24"/>
    </w:p>
    <w:p w14:paraId="2F600D47" w14:textId="58B1AE46" w:rsidR="00B7084D" w:rsidRPr="00B7084D" w:rsidRDefault="00B7084D" w:rsidP="00B7084D">
      <w:pPr>
        <w:rPr>
          <w:rFonts w:cstheme="majorBidi"/>
          <w:lang w:val="fr-FR"/>
        </w:rPr>
      </w:pPr>
      <w:r w:rsidRPr="00B7084D">
        <w:rPr>
          <w:rFonts w:cstheme="majorBidi"/>
          <w:lang w:val="fr-FR"/>
        </w:rPr>
        <w:t xml:space="preserve">L'indice MASI20 sert de référence pour cette étude, car il représente la performance des actions les plus importantes et les plus </w:t>
      </w:r>
      <w:r w:rsidRPr="00B7084D">
        <w:rPr>
          <w:rFonts w:cstheme="majorBidi"/>
          <w:lang w:val="fr-FR"/>
        </w:rPr>
        <w:t>liquides cotés</w:t>
      </w:r>
      <w:r w:rsidRPr="00B7084D">
        <w:rPr>
          <w:rFonts w:cstheme="majorBidi"/>
          <w:lang w:val="fr-FR"/>
        </w:rPr>
        <w:t xml:space="preserve"> à la Bourse de Casablanca. Pondéré par la capitalisation boursière, le MASI20 reflète le consensus du marché et constitue un point de référence pertinent pour l'évaluation de la performance du portefeuille sur le long terme.</w:t>
      </w:r>
    </w:p>
    <w:p w14:paraId="24C574A2" w14:textId="62EFB68A" w:rsidR="002A2BFF" w:rsidRPr="00B7084D" w:rsidRDefault="00FE1B30" w:rsidP="00B7084D">
      <w:pPr>
        <w:rPr>
          <w:rFonts w:cstheme="majorBidi"/>
          <w:lang w:val="fr-FR"/>
        </w:rPr>
      </w:pPr>
      <w:r w:rsidRPr="002A2BFF">
        <w:rPr>
          <w:rFonts w:cstheme="majorBidi"/>
          <w:noProof/>
        </w:rPr>
        <w:lastRenderedPageBreak/>
        <w:drawing>
          <wp:anchor distT="0" distB="0" distL="114300" distR="114300" simplePos="0" relativeHeight="251664384" behindDoc="0" locked="0" layoutInCell="1" allowOverlap="1" wp14:anchorId="5CBCBAE6" wp14:editId="033C36F9">
            <wp:simplePos x="0" y="0"/>
            <wp:positionH relativeFrom="margin">
              <wp:posOffset>88900</wp:posOffset>
            </wp:positionH>
            <wp:positionV relativeFrom="margin">
              <wp:posOffset>698500</wp:posOffset>
            </wp:positionV>
            <wp:extent cx="5588000" cy="3535045"/>
            <wp:effectExtent l="0" t="0" r="0" b="8255"/>
            <wp:wrapSquare wrapText="bothSides"/>
            <wp:docPr id="1482754691"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54691" name="Picture 1" descr="A graph showing a line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588000" cy="3535045"/>
                    </a:xfrm>
                    <a:prstGeom prst="rect">
                      <a:avLst/>
                    </a:prstGeom>
                  </pic:spPr>
                </pic:pic>
              </a:graphicData>
            </a:graphic>
            <wp14:sizeRelH relativeFrom="margin">
              <wp14:pctWidth>0</wp14:pctWidth>
            </wp14:sizeRelH>
            <wp14:sizeRelV relativeFrom="margin">
              <wp14:pctHeight>0</wp14:pctHeight>
            </wp14:sizeRelV>
          </wp:anchor>
        </w:drawing>
      </w:r>
      <w:r w:rsidR="00B7084D" w:rsidRPr="00B7084D">
        <w:rPr>
          <w:rFonts w:cstheme="majorBidi"/>
          <w:lang w:val="fr-FR"/>
        </w:rPr>
        <w:t>Par souci de cohérence, les rendements quotidiens du MASI20 sont calculés sur la même période que l'univers d'actions sélectionné, permettant ainsi une comparaison directe et objective de la dynamique risque-rendement.</w:t>
      </w:r>
    </w:p>
    <w:p w14:paraId="45496EDD" w14:textId="1867D8AA" w:rsidR="002A2BFF" w:rsidRPr="00B7084D" w:rsidRDefault="002A2BFF" w:rsidP="002A2BFF">
      <w:pPr>
        <w:jc w:val="center"/>
        <w:rPr>
          <w:b/>
          <w:bCs/>
          <w:u w:val="single"/>
          <w:lang w:val="fr-FR"/>
        </w:rPr>
      </w:pPr>
      <w:r w:rsidRPr="00B7084D">
        <w:rPr>
          <w:b/>
          <w:bCs/>
          <w:u w:val="single"/>
          <w:lang w:val="fr-FR"/>
        </w:rPr>
        <w:t xml:space="preserve">Figure </w:t>
      </w:r>
      <w:proofErr w:type="gramStart"/>
      <w:r w:rsidRPr="00B7084D">
        <w:rPr>
          <w:b/>
          <w:bCs/>
          <w:u w:val="single"/>
          <w:lang w:val="fr-FR"/>
        </w:rPr>
        <w:t>5:</w:t>
      </w:r>
      <w:proofErr w:type="gramEnd"/>
      <w:r w:rsidRPr="00B7084D">
        <w:rPr>
          <w:b/>
          <w:bCs/>
          <w:u w:val="single"/>
          <w:lang w:val="fr-FR"/>
        </w:rPr>
        <w:t xml:space="preserve"> </w:t>
      </w:r>
      <w:r w:rsidR="00B7084D" w:rsidRPr="00B7084D">
        <w:rPr>
          <w:b/>
          <w:bCs/>
          <w:u w:val="single"/>
          <w:lang w:val="fr-FR"/>
        </w:rPr>
        <w:t>Rendement du MASI20 p</w:t>
      </w:r>
      <w:r w:rsidR="00B7084D">
        <w:rPr>
          <w:b/>
          <w:bCs/>
          <w:u w:val="single"/>
          <w:lang w:val="fr-FR"/>
        </w:rPr>
        <w:t>our une gestion passive de 2015 à 2025</w:t>
      </w:r>
    </w:p>
    <w:p w14:paraId="310BFE56" w14:textId="77777777" w:rsidR="00FE1B30" w:rsidRDefault="00FE1B30" w:rsidP="00F66B96">
      <w:pPr>
        <w:pStyle w:val="Subtitle"/>
        <w:rPr>
          <w:lang w:val="fr-FR"/>
        </w:rPr>
      </w:pPr>
    </w:p>
    <w:p w14:paraId="14D4F8F3" w14:textId="3815A29C" w:rsidR="00B7084D" w:rsidRPr="00B7084D" w:rsidRDefault="00B7084D" w:rsidP="00F66B96">
      <w:pPr>
        <w:pStyle w:val="Subtitle"/>
        <w:rPr>
          <w:lang w:val="fr-FR"/>
        </w:rPr>
      </w:pPr>
      <w:bookmarkStart w:id="25" w:name="_Toc216563143"/>
      <w:bookmarkStart w:id="26" w:name="_Toc216563375"/>
      <w:r w:rsidRPr="00B7084D">
        <w:rPr>
          <w:lang w:val="fr-FR"/>
        </w:rPr>
        <w:t>Construction d'un portefeuille à pondération égale :</w:t>
      </w:r>
      <w:bookmarkEnd w:id="25"/>
      <w:bookmarkEnd w:id="26"/>
    </w:p>
    <w:p w14:paraId="6ADDD1BA" w14:textId="7CD90E6D" w:rsidR="00B7084D" w:rsidRPr="00B7084D" w:rsidRDefault="00B7084D" w:rsidP="00B7084D">
      <w:pPr>
        <w:rPr>
          <w:lang w:val="fr-FR"/>
        </w:rPr>
      </w:pPr>
      <w:r w:rsidRPr="00B7084D">
        <w:rPr>
          <w:lang w:val="fr-FR"/>
        </w:rPr>
        <w:t>Avant toute technique d'optimisation, un portefeuille équipondéré simple est construit à partir des six actions sélectionnées, chaque actif se voyant attribuer une pondération identique de 1/6. Ce portefeuille sert de référence neutre, exempt de biais d'estimation et d'hypothèses de modélisation, et nous permet d'isoler la valeur ajoutée par les techniques d'optimisation ultérieurement.</w:t>
      </w:r>
    </w:p>
    <w:p w14:paraId="5AC3C577" w14:textId="4A583FC8" w:rsidR="00B7084D" w:rsidRPr="00B7084D" w:rsidRDefault="00B7084D" w:rsidP="00B7084D">
      <w:pPr>
        <w:rPr>
          <w:lang w:val="fr-FR"/>
        </w:rPr>
      </w:pPr>
    </w:p>
    <w:p w14:paraId="653E27D3" w14:textId="237B5640" w:rsidR="00423957" w:rsidRPr="00B7084D" w:rsidRDefault="00B7084D" w:rsidP="00B7084D">
      <w:pPr>
        <w:rPr>
          <w:lang w:val="fr-FR"/>
        </w:rPr>
      </w:pPr>
      <w:r w:rsidRPr="00B7084D">
        <w:rPr>
          <w:lang w:val="fr-FR"/>
        </w:rPr>
        <w:t>Les portefeuilles équipondérés ont tendance à privilégier implicitement les actifs plus petits et plus volatils par rapport aux indices pondérés par la capitalisation, ce qui peut engendrer des caractéristiques de risque et de performance différentes.</w:t>
      </w:r>
    </w:p>
    <w:p w14:paraId="4C6BFC78" w14:textId="3C99683E" w:rsidR="002A2BFF" w:rsidRPr="00B7084D" w:rsidRDefault="002A2BFF" w:rsidP="002A2BFF">
      <w:pPr>
        <w:rPr>
          <w:rFonts w:cstheme="majorBidi"/>
          <w:lang w:val="fr-FR"/>
        </w:rPr>
      </w:pPr>
    </w:p>
    <w:p w14:paraId="334A4908" w14:textId="4C672699" w:rsidR="002A2BFF" w:rsidRPr="00B7084D" w:rsidRDefault="002A2BFF" w:rsidP="00D10989">
      <w:pPr>
        <w:rPr>
          <w:b/>
          <w:bCs/>
          <w:sz w:val="32"/>
          <w:szCs w:val="32"/>
          <w:lang w:val="fr-FR"/>
        </w:rPr>
      </w:pPr>
    </w:p>
    <w:p w14:paraId="0DDF88CF" w14:textId="77777777" w:rsidR="00423957" w:rsidRPr="00B7084D" w:rsidRDefault="00423957" w:rsidP="00423957">
      <w:pPr>
        <w:rPr>
          <w:b/>
          <w:bCs/>
          <w:u w:val="single"/>
          <w:lang w:val="fr-FR"/>
        </w:rPr>
      </w:pPr>
    </w:p>
    <w:p w14:paraId="27BED2E4" w14:textId="4B0C938D" w:rsidR="00B475A5" w:rsidRPr="00B7084D" w:rsidRDefault="00B475A5" w:rsidP="00423957">
      <w:pPr>
        <w:jc w:val="center"/>
        <w:rPr>
          <w:b/>
          <w:bCs/>
          <w:u w:val="single"/>
          <w:lang w:val="fr-FR"/>
        </w:rPr>
      </w:pPr>
    </w:p>
    <w:p w14:paraId="376E01CA" w14:textId="77777777" w:rsidR="00B475A5" w:rsidRPr="00B7084D" w:rsidRDefault="00B475A5" w:rsidP="00423957">
      <w:pPr>
        <w:jc w:val="center"/>
        <w:rPr>
          <w:b/>
          <w:bCs/>
          <w:u w:val="single"/>
          <w:lang w:val="fr-FR"/>
        </w:rPr>
      </w:pPr>
    </w:p>
    <w:p w14:paraId="590B642F" w14:textId="77777777" w:rsidR="00B475A5" w:rsidRPr="00B7084D" w:rsidRDefault="00B475A5" w:rsidP="00423957">
      <w:pPr>
        <w:jc w:val="center"/>
        <w:rPr>
          <w:b/>
          <w:bCs/>
          <w:u w:val="single"/>
          <w:lang w:val="fr-FR"/>
        </w:rPr>
      </w:pPr>
    </w:p>
    <w:p w14:paraId="5482D51E" w14:textId="59AB3FD8" w:rsidR="00B475A5" w:rsidRPr="00B7084D" w:rsidRDefault="00FE1B30" w:rsidP="00423957">
      <w:pPr>
        <w:jc w:val="center"/>
        <w:rPr>
          <w:b/>
          <w:bCs/>
          <w:u w:val="single"/>
          <w:lang w:val="fr-FR"/>
        </w:rPr>
      </w:pPr>
      <w:r w:rsidRPr="00612D2F">
        <w:rPr>
          <w:noProof/>
        </w:rPr>
        <w:lastRenderedPageBreak/>
        <w:drawing>
          <wp:anchor distT="0" distB="0" distL="114300" distR="114300" simplePos="0" relativeHeight="251665408" behindDoc="0" locked="0" layoutInCell="1" allowOverlap="1" wp14:anchorId="5C791E1C" wp14:editId="08882375">
            <wp:simplePos x="0" y="0"/>
            <wp:positionH relativeFrom="margin">
              <wp:align>center</wp:align>
            </wp:positionH>
            <wp:positionV relativeFrom="margin">
              <wp:posOffset>-181610</wp:posOffset>
            </wp:positionV>
            <wp:extent cx="4851400" cy="2996565"/>
            <wp:effectExtent l="0" t="0" r="6350" b="0"/>
            <wp:wrapSquare wrapText="bothSides"/>
            <wp:docPr id="1430716158" name="Picture 1" descr="A graph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16158" name="Picture 1" descr="A graph of blue and orange lin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51400" cy="2996565"/>
                    </a:xfrm>
                    <a:prstGeom prst="rect">
                      <a:avLst/>
                    </a:prstGeom>
                  </pic:spPr>
                </pic:pic>
              </a:graphicData>
            </a:graphic>
            <wp14:sizeRelH relativeFrom="margin">
              <wp14:pctWidth>0</wp14:pctWidth>
            </wp14:sizeRelH>
            <wp14:sizeRelV relativeFrom="margin">
              <wp14:pctHeight>0</wp14:pctHeight>
            </wp14:sizeRelV>
          </wp:anchor>
        </w:drawing>
      </w:r>
    </w:p>
    <w:p w14:paraId="629FA0E3" w14:textId="2B286C98" w:rsidR="00B475A5" w:rsidRPr="00B7084D" w:rsidRDefault="00B475A5" w:rsidP="00423957">
      <w:pPr>
        <w:jc w:val="center"/>
        <w:rPr>
          <w:b/>
          <w:bCs/>
          <w:u w:val="single"/>
          <w:lang w:val="fr-FR"/>
        </w:rPr>
      </w:pPr>
    </w:p>
    <w:p w14:paraId="1C78BA9E" w14:textId="77777777" w:rsidR="00B475A5" w:rsidRPr="00B7084D" w:rsidRDefault="00B475A5" w:rsidP="00423957">
      <w:pPr>
        <w:jc w:val="center"/>
        <w:rPr>
          <w:b/>
          <w:bCs/>
          <w:u w:val="single"/>
          <w:lang w:val="fr-FR"/>
        </w:rPr>
      </w:pPr>
    </w:p>
    <w:p w14:paraId="704433D0" w14:textId="77777777" w:rsidR="00B475A5" w:rsidRPr="00B7084D" w:rsidRDefault="00B475A5" w:rsidP="00B7084D">
      <w:pPr>
        <w:rPr>
          <w:b/>
          <w:bCs/>
          <w:u w:val="single"/>
          <w:lang w:val="fr-FR"/>
        </w:rPr>
      </w:pPr>
    </w:p>
    <w:p w14:paraId="13C6869A" w14:textId="4F4F722F" w:rsidR="00423957" w:rsidRPr="00B7084D" w:rsidRDefault="00423957" w:rsidP="00423957">
      <w:pPr>
        <w:jc w:val="center"/>
        <w:rPr>
          <w:b/>
          <w:bCs/>
          <w:u w:val="single"/>
          <w:lang w:val="fr-FR"/>
        </w:rPr>
      </w:pPr>
      <w:r w:rsidRPr="00B7084D">
        <w:rPr>
          <w:b/>
          <w:bCs/>
          <w:u w:val="single"/>
          <w:lang w:val="fr-FR"/>
        </w:rPr>
        <w:t xml:space="preserve">Figure </w:t>
      </w:r>
      <w:proofErr w:type="gramStart"/>
      <w:r w:rsidRPr="00B7084D">
        <w:rPr>
          <w:b/>
          <w:bCs/>
          <w:u w:val="single"/>
          <w:lang w:val="fr-FR"/>
        </w:rPr>
        <w:t>6:</w:t>
      </w:r>
      <w:proofErr w:type="gramEnd"/>
      <w:r w:rsidRPr="00B7084D">
        <w:rPr>
          <w:b/>
          <w:bCs/>
          <w:u w:val="single"/>
          <w:lang w:val="fr-FR"/>
        </w:rPr>
        <w:t xml:space="preserve"> </w:t>
      </w:r>
      <w:r w:rsidR="00B7084D" w:rsidRPr="00B7084D">
        <w:rPr>
          <w:b/>
          <w:bCs/>
          <w:u w:val="single"/>
          <w:lang w:val="fr-FR"/>
        </w:rPr>
        <w:t>Rendement de stratégie “</w:t>
      </w:r>
      <w:proofErr w:type="spellStart"/>
      <w:r w:rsidR="00B7084D" w:rsidRPr="00B7084D">
        <w:rPr>
          <w:b/>
          <w:bCs/>
          <w:u w:val="single"/>
          <w:lang w:val="fr-FR"/>
        </w:rPr>
        <w:t>Buy</w:t>
      </w:r>
      <w:proofErr w:type="spellEnd"/>
      <w:r w:rsidR="00B7084D" w:rsidRPr="00B7084D">
        <w:rPr>
          <w:b/>
          <w:bCs/>
          <w:u w:val="single"/>
          <w:lang w:val="fr-FR"/>
        </w:rPr>
        <w:t xml:space="preserve"> &amp; Hold” (</w:t>
      </w:r>
      <w:proofErr w:type="spellStart"/>
      <w:r w:rsidR="00B7084D" w:rsidRPr="00B7084D">
        <w:rPr>
          <w:b/>
          <w:bCs/>
          <w:u w:val="single"/>
          <w:lang w:val="fr-FR"/>
        </w:rPr>
        <w:t>Portfeuille</w:t>
      </w:r>
      <w:proofErr w:type="spellEnd"/>
      <w:r w:rsidR="00B7084D" w:rsidRPr="00B7084D">
        <w:rPr>
          <w:b/>
          <w:bCs/>
          <w:u w:val="single"/>
          <w:lang w:val="fr-FR"/>
        </w:rPr>
        <w:t xml:space="preserve"> équipondérés vs MASI20)</w:t>
      </w:r>
    </w:p>
    <w:p w14:paraId="709CF4BB" w14:textId="77777777" w:rsidR="00B7084D" w:rsidRPr="00B7084D" w:rsidRDefault="00B7084D" w:rsidP="005B0E2B">
      <w:pPr>
        <w:rPr>
          <w:lang w:val="fr-FR"/>
        </w:rPr>
      </w:pPr>
      <w:bookmarkStart w:id="27" w:name="_Toc216541074"/>
      <w:bookmarkStart w:id="28" w:name="_Toc216563144"/>
      <w:r w:rsidRPr="00B7084D">
        <w:rPr>
          <w:lang w:val="fr-FR"/>
        </w:rPr>
        <w:t>La figure 6 compare les rendements cumulés du portefeuille à pondération égale à ceux de l'indice de référence MASI20. Sur la période étudiée, le portefeuille à pondération égale présente des périodes de surperformance et de sous-performance par rapport à l'indice, reflétant des différences d'exposition sectorielle et des effets de rééquilibrage.</w:t>
      </w:r>
      <w:bookmarkEnd w:id="28"/>
    </w:p>
    <w:p w14:paraId="5065A650" w14:textId="77777777" w:rsidR="00B7084D" w:rsidRPr="00B7084D" w:rsidRDefault="00B7084D" w:rsidP="00B7084D">
      <w:pPr>
        <w:pStyle w:val="Title"/>
        <w:rPr>
          <w:rFonts w:asciiTheme="minorHAnsi" w:eastAsiaTheme="minorHAnsi" w:hAnsiTheme="minorHAnsi" w:cstheme="minorBidi"/>
          <w:b w:val="0"/>
          <w:spacing w:val="0"/>
          <w:kern w:val="2"/>
          <w:sz w:val="24"/>
          <w:szCs w:val="24"/>
          <w:lang w:val="fr-FR"/>
        </w:rPr>
      </w:pPr>
    </w:p>
    <w:p w14:paraId="600AC3B9" w14:textId="77777777" w:rsidR="00B7084D" w:rsidRDefault="00B7084D" w:rsidP="005B0E2B">
      <w:pPr>
        <w:rPr>
          <w:b/>
          <w:lang w:val="fr-FR"/>
        </w:rPr>
      </w:pPr>
      <w:bookmarkStart w:id="29" w:name="_Toc216563145"/>
      <w:r w:rsidRPr="00B7084D">
        <w:rPr>
          <w:lang w:val="fr-FR"/>
        </w:rPr>
        <w:t>À partir de cette analyse initiale, la section suivante présente le cadre d'optimisation de portefeuille utilisé pour améliorer systématiquement le compromis risque-rendement au-delà des simples règles d'allocation.</w:t>
      </w:r>
      <w:bookmarkEnd w:id="29"/>
    </w:p>
    <w:p w14:paraId="55C32322" w14:textId="77777777" w:rsidR="00B7084D" w:rsidRDefault="00B7084D" w:rsidP="00B7084D">
      <w:pPr>
        <w:pStyle w:val="Title"/>
        <w:rPr>
          <w:rFonts w:asciiTheme="minorHAnsi" w:eastAsiaTheme="minorHAnsi" w:hAnsiTheme="minorHAnsi" w:cstheme="minorBidi"/>
          <w:b w:val="0"/>
          <w:spacing w:val="0"/>
          <w:kern w:val="2"/>
          <w:sz w:val="24"/>
          <w:szCs w:val="24"/>
          <w:lang w:val="fr-FR"/>
        </w:rPr>
      </w:pPr>
    </w:p>
    <w:p w14:paraId="0AB01060" w14:textId="77777777" w:rsidR="00B7084D" w:rsidRDefault="00B7084D" w:rsidP="00F66B96">
      <w:pPr>
        <w:pStyle w:val="Title"/>
        <w:rPr>
          <w:lang w:val="fr-FR"/>
        </w:rPr>
      </w:pPr>
      <w:bookmarkStart w:id="30" w:name="_Toc216541075"/>
      <w:bookmarkStart w:id="31" w:name="_Toc216563146"/>
      <w:bookmarkStart w:id="32" w:name="_Toc216563376"/>
      <w:bookmarkEnd w:id="27"/>
      <w:r w:rsidRPr="00B7084D">
        <w:rPr>
          <w:lang w:val="fr-FR"/>
        </w:rPr>
        <w:t>Stratégie de portefeuille optimisée :</w:t>
      </w:r>
      <w:bookmarkEnd w:id="31"/>
      <w:bookmarkEnd w:id="32"/>
    </w:p>
    <w:p w14:paraId="0F4C3C76" w14:textId="77777777" w:rsidR="00B7084D" w:rsidRDefault="00B7084D" w:rsidP="00F66B96">
      <w:pPr>
        <w:pStyle w:val="Subtitle"/>
        <w:rPr>
          <w:lang w:val="fr-FR"/>
        </w:rPr>
      </w:pPr>
      <w:bookmarkStart w:id="33" w:name="_Toc216563147"/>
      <w:bookmarkStart w:id="34" w:name="_Toc216563377"/>
      <w:bookmarkEnd w:id="30"/>
      <w:r w:rsidRPr="00B7084D">
        <w:rPr>
          <w:lang w:val="fr-FR"/>
        </w:rPr>
        <w:t>Portefeuille à pondération égale (scénario de référence) :</w:t>
      </w:r>
      <w:bookmarkEnd w:id="33"/>
      <w:bookmarkEnd w:id="34"/>
    </w:p>
    <w:p w14:paraId="4830F9BF" w14:textId="77777777" w:rsidR="00B7084D" w:rsidRDefault="00B475A5" w:rsidP="00B7084D">
      <w:pPr>
        <w:rPr>
          <w:lang w:val="fr-FR"/>
        </w:rPr>
      </w:pPr>
      <w:r w:rsidRPr="00B475A5">
        <w:rPr>
          <w:b/>
          <w:bCs/>
          <w:noProof/>
          <w:sz w:val="28"/>
          <w:szCs w:val="28"/>
        </w:rPr>
        <w:drawing>
          <wp:anchor distT="0" distB="0" distL="114300" distR="114300" simplePos="0" relativeHeight="251666432" behindDoc="0" locked="0" layoutInCell="1" allowOverlap="1" wp14:anchorId="7C339AF7" wp14:editId="4E82EB12">
            <wp:simplePos x="0" y="0"/>
            <wp:positionH relativeFrom="margin">
              <wp:posOffset>3708400</wp:posOffset>
            </wp:positionH>
            <wp:positionV relativeFrom="margin">
              <wp:posOffset>5629910</wp:posOffset>
            </wp:positionV>
            <wp:extent cx="2522855" cy="2383790"/>
            <wp:effectExtent l="0" t="0" r="0" b="0"/>
            <wp:wrapSquare wrapText="bothSides"/>
            <wp:docPr id="1560353996" name="Picture 1" descr="A pie chart with numbers and text with Crus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53996" name="Picture 1" descr="A pie chart with numbers and text with Crust in the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22855" cy="2383790"/>
                    </a:xfrm>
                    <a:prstGeom prst="rect">
                      <a:avLst/>
                    </a:prstGeom>
                  </pic:spPr>
                </pic:pic>
              </a:graphicData>
            </a:graphic>
            <wp14:sizeRelH relativeFrom="margin">
              <wp14:pctWidth>0</wp14:pctWidth>
            </wp14:sizeRelH>
            <wp14:sizeRelV relativeFrom="margin">
              <wp14:pctHeight>0</wp14:pctHeight>
            </wp14:sizeRelV>
          </wp:anchor>
        </w:drawing>
      </w:r>
      <w:r w:rsidRPr="00B7084D">
        <w:rPr>
          <w:lang w:val="fr-FR"/>
        </w:rPr>
        <w:t xml:space="preserve"> </w:t>
      </w:r>
      <w:r w:rsidR="00B7084D" w:rsidRPr="00B7084D">
        <w:rPr>
          <w:lang w:val="fr-FR"/>
        </w:rPr>
        <w:t>Le portefeuille à pondération égale répartit le capital uniformément entre les six actions, servant ainsi de référence simple et transparente. Bien que cette approche permette d'éviter le risque d'estimation, elle ne tient pas compte des différences de volatilité, de corrélation ou de rendement attendu entre les actifs.</w:t>
      </w:r>
    </w:p>
    <w:p w14:paraId="0BEA6412" w14:textId="3EDAD371" w:rsidR="00B475A5" w:rsidRPr="00B7084D" w:rsidRDefault="00B7084D" w:rsidP="00B7084D">
      <w:pPr>
        <w:rPr>
          <w:lang w:val="fr-FR"/>
        </w:rPr>
      </w:pPr>
      <w:r w:rsidRPr="00B7084D">
        <w:rPr>
          <w:lang w:val="fr-FR"/>
        </w:rPr>
        <w:t xml:space="preserve">Ce portefeuille est principalement utilisé comme point de référence pour évaluer la valeur ajoutée par des méthodes d'allocation plus </w:t>
      </w:r>
      <w:r w:rsidRPr="00B7084D">
        <w:rPr>
          <w:lang w:val="fr-FR"/>
        </w:rPr>
        <w:t>sophistiquées.</w:t>
      </w:r>
    </w:p>
    <w:p w14:paraId="78371568" w14:textId="77777777" w:rsidR="00FE1B30" w:rsidRDefault="00FE1B30" w:rsidP="00F66B96">
      <w:pPr>
        <w:pStyle w:val="Subtitle"/>
        <w:rPr>
          <w:lang w:val="fr-FR"/>
        </w:rPr>
      </w:pPr>
    </w:p>
    <w:p w14:paraId="6CD1E383" w14:textId="77777777" w:rsidR="00FE1B30" w:rsidRDefault="00FE1B30" w:rsidP="00F66B96">
      <w:pPr>
        <w:pStyle w:val="Subtitle"/>
        <w:rPr>
          <w:lang w:val="fr-FR"/>
        </w:rPr>
      </w:pPr>
    </w:p>
    <w:p w14:paraId="10AFB119" w14:textId="77777777" w:rsidR="00FE1B30" w:rsidRDefault="00FE1B30" w:rsidP="00F66B96">
      <w:pPr>
        <w:pStyle w:val="Subtitle"/>
        <w:rPr>
          <w:lang w:val="fr-FR"/>
        </w:rPr>
      </w:pPr>
    </w:p>
    <w:p w14:paraId="42A0605A" w14:textId="77777777" w:rsidR="00FE1B30" w:rsidRDefault="00FE1B30" w:rsidP="00F66B96">
      <w:pPr>
        <w:pStyle w:val="Subtitle"/>
        <w:rPr>
          <w:lang w:val="fr-FR"/>
        </w:rPr>
      </w:pPr>
    </w:p>
    <w:p w14:paraId="3081B721" w14:textId="77777777" w:rsidR="00FE1B30" w:rsidRDefault="00FE1B30" w:rsidP="00F66B96">
      <w:pPr>
        <w:pStyle w:val="Subtitle"/>
        <w:rPr>
          <w:lang w:val="fr-FR"/>
        </w:rPr>
      </w:pPr>
    </w:p>
    <w:p w14:paraId="129827CF" w14:textId="1D9D242E" w:rsidR="00B7084D" w:rsidRPr="00B7084D" w:rsidRDefault="00B7084D" w:rsidP="00F66B96">
      <w:pPr>
        <w:pStyle w:val="Subtitle"/>
        <w:rPr>
          <w:lang w:val="fr-FR"/>
        </w:rPr>
      </w:pPr>
      <w:bookmarkStart w:id="35" w:name="_Toc216563148"/>
      <w:bookmarkStart w:id="36" w:name="_Toc216563378"/>
      <w:r w:rsidRPr="00B7084D">
        <w:rPr>
          <w:lang w:val="fr-FR"/>
        </w:rPr>
        <w:t xml:space="preserve">Allocation </w:t>
      </w:r>
      <w:r w:rsidRPr="00FE1B30">
        <w:rPr>
          <w:lang w:val="fr-FR"/>
        </w:rPr>
        <w:t>individuelle</w:t>
      </w:r>
      <w:r w:rsidRPr="00B7084D">
        <w:rPr>
          <w:lang w:val="fr-FR"/>
        </w:rPr>
        <w:t xml:space="preserve"> basée sur Sharpe :</w:t>
      </w:r>
      <w:bookmarkEnd w:id="35"/>
      <w:bookmarkEnd w:id="36"/>
    </w:p>
    <w:p w14:paraId="0CA2A5E6" w14:textId="7477B0BA" w:rsidR="00B7084D" w:rsidRPr="00B7084D" w:rsidRDefault="00B7084D" w:rsidP="00B7084D">
      <w:pPr>
        <w:rPr>
          <w:rFonts w:asciiTheme="minorHAnsi" w:eastAsiaTheme="majorEastAsia" w:hAnsiTheme="minorHAnsi" w:cstheme="majorBidi"/>
          <w:bCs/>
          <w:color w:val="000000" w:themeColor="text1"/>
          <w:spacing w:val="15"/>
          <w:lang w:val="fr-FR"/>
        </w:rPr>
      </w:pPr>
      <w:r w:rsidRPr="00B7084D">
        <w:rPr>
          <w:rFonts w:asciiTheme="minorHAnsi" w:eastAsiaTheme="majorEastAsia" w:hAnsiTheme="minorHAnsi" w:cstheme="majorBidi"/>
          <w:bCs/>
          <w:color w:val="000000" w:themeColor="text1"/>
          <w:spacing w:val="15"/>
          <w:lang w:val="fr-FR"/>
        </w:rPr>
        <w:t>Dans cette approche, chaque action est évaluée indépendamment selon son ratio de Sharpe historique. Le capital est ensuite alloué proportionnellement à la performance relative ajustée au risque de chaque actif.</w:t>
      </w:r>
    </w:p>
    <w:p w14:paraId="5C3E28CC" w14:textId="63112003" w:rsidR="00B475A5" w:rsidRPr="00B7084D" w:rsidRDefault="00FE1B30" w:rsidP="00B7084D">
      <w:pPr>
        <w:rPr>
          <w:rFonts w:asciiTheme="minorHAnsi" w:hAnsiTheme="minorHAnsi"/>
          <w:bCs/>
          <w:sz w:val="22"/>
          <w:szCs w:val="22"/>
          <w:lang w:val="fr-FR"/>
        </w:rPr>
      </w:pPr>
      <w:bookmarkStart w:id="37" w:name="_Toc216541076"/>
      <w:r w:rsidRPr="00B475A5">
        <w:rPr>
          <w:noProof/>
        </w:rPr>
        <w:drawing>
          <wp:anchor distT="0" distB="0" distL="114300" distR="114300" simplePos="0" relativeHeight="251667456" behindDoc="0" locked="0" layoutInCell="1" allowOverlap="1" wp14:anchorId="0556BBD5" wp14:editId="230610BF">
            <wp:simplePos x="0" y="0"/>
            <wp:positionH relativeFrom="margin">
              <wp:align>right</wp:align>
            </wp:positionH>
            <wp:positionV relativeFrom="margin">
              <wp:posOffset>-111125</wp:posOffset>
            </wp:positionV>
            <wp:extent cx="2616835" cy="2590800"/>
            <wp:effectExtent l="0" t="0" r="0" b="0"/>
            <wp:wrapSquare wrapText="bothSides"/>
            <wp:docPr id="323842818"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42818" name="Picture 1" descr="A pie chart with different colored circl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16835" cy="2590800"/>
                    </a:xfrm>
                    <a:prstGeom prst="rect">
                      <a:avLst/>
                    </a:prstGeom>
                  </pic:spPr>
                </pic:pic>
              </a:graphicData>
            </a:graphic>
            <wp14:sizeRelH relativeFrom="margin">
              <wp14:pctWidth>0</wp14:pctWidth>
            </wp14:sizeRelH>
            <wp14:sizeRelV relativeFrom="margin">
              <wp14:pctHeight>0</wp14:pctHeight>
            </wp14:sizeRelV>
          </wp:anchor>
        </w:drawing>
      </w:r>
      <w:bookmarkEnd w:id="37"/>
      <w:r w:rsidR="00B7084D" w:rsidRPr="00B7084D">
        <w:rPr>
          <w:rFonts w:asciiTheme="minorHAnsi" w:eastAsiaTheme="majorEastAsia" w:hAnsiTheme="minorHAnsi" w:cstheme="majorBidi"/>
          <w:bCs/>
          <w:color w:val="000000" w:themeColor="text1"/>
          <w:spacing w:val="15"/>
          <w:lang w:val="fr-FR"/>
        </w:rPr>
        <w:t>Cette méthode privilégie les actions ayant généré des rendements supérieurs ajustés au risque, mais elle ne tient pas explicitement compte des corrélations entre les différentes classes d'actifs. De ce fait, elle peut entraîner une concentration des investissements sur des actifs présentant des facteurs de risque similaires.</w:t>
      </w:r>
    </w:p>
    <w:p w14:paraId="180BCF56" w14:textId="77777777" w:rsidR="00FE1B30" w:rsidRDefault="00FE1B30" w:rsidP="00F66B96">
      <w:pPr>
        <w:pStyle w:val="Subtitle"/>
        <w:rPr>
          <w:lang w:val="fr-FR"/>
        </w:rPr>
      </w:pPr>
      <w:bookmarkStart w:id="38" w:name="_Toc216541077"/>
    </w:p>
    <w:p w14:paraId="57EA310B" w14:textId="7C90B8EA" w:rsidR="00B22B60" w:rsidRPr="00B22B60" w:rsidRDefault="00B475A5" w:rsidP="00F66B96">
      <w:pPr>
        <w:pStyle w:val="Subtitle"/>
        <w:rPr>
          <w:lang w:val="fr-FR"/>
        </w:rPr>
      </w:pPr>
      <w:bookmarkStart w:id="39" w:name="_Toc216563149"/>
      <w:bookmarkStart w:id="40" w:name="_Toc216563379"/>
      <w:r w:rsidRPr="00B475A5">
        <w:rPr>
          <w:noProof/>
        </w:rPr>
        <w:drawing>
          <wp:anchor distT="0" distB="0" distL="114300" distR="114300" simplePos="0" relativeHeight="251668480" behindDoc="0" locked="0" layoutInCell="1" allowOverlap="1" wp14:anchorId="0D10C42D" wp14:editId="0789A5AD">
            <wp:simplePos x="0" y="0"/>
            <wp:positionH relativeFrom="margin">
              <wp:posOffset>3820795</wp:posOffset>
            </wp:positionH>
            <wp:positionV relativeFrom="margin">
              <wp:posOffset>2960370</wp:posOffset>
            </wp:positionV>
            <wp:extent cx="2575560" cy="2571750"/>
            <wp:effectExtent l="0" t="0" r="0" b="0"/>
            <wp:wrapSquare wrapText="bothSides"/>
            <wp:docPr id="1168793516" name="Picture 1" descr="A pie chart with numbers and a red circle with Crus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93516" name="Picture 1" descr="A pie chart with numbers and a red circle with Crust in the backgroun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75560" cy="2571750"/>
                    </a:xfrm>
                    <a:prstGeom prst="rect">
                      <a:avLst/>
                    </a:prstGeom>
                  </pic:spPr>
                </pic:pic>
              </a:graphicData>
            </a:graphic>
            <wp14:sizeRelH relativeFrom="margin">
              <wp14:pctWidth>0</wp14:pctWidth>
            </wp14:sizeRelH>
            <wp14:sizeRelV relativeFrom="margin">
              <wp14:pctHeight>0</wp14:pctHeight>
            </wp14:sizeRelV>
          </wp:anchor>
        </w:drawing>
      </w:r>
      <w:bookmarkEnd w:id="38"/>
      <w:r w:rsidR="00B22B60" w:rsidRPr="00B22B60">
        <w:rPr>
          <w:lang w:val="fr-FR"/>
        </w:rPr>
        <w:t>P</w:t>
      </w:r>
      <w:r w:rsidR="00B22B60" w:rsidRPr="00B22B60">
        <w:rPr>
          <w:lang w:val="fr-FR"/>
        </w:rPr>
        <w:t xml:space="preserve">ortefeuille </w:t>
      </w:r>
      <w:r w:rsidR="00B22B60" w:rsidRPr="00FE1B30">
        <w:rPr>
          <w:lang w:val="fr-FR"/>
        </w:rPr>
        <w:t>Sharpe</w:t>
      </w:r>
      <w:r w:rsidR="00B22B60" w:rsidRPr="00B22B60">
        <w:rPr>
          <w:lang w:val="fr-FR"/>
        </w:rPr>
        <w:t xml:space="preserve"> maximal (positions longues uniquement) :</w:t>
      </w:r>
      <w:bookmarkEnd w:id="39"/>
      <w:bookmarkEnd w:id="40"/>
    </w:p>
    <w:p w14:paraId="4ED9540C" w14:textId="77777777" w:rsidR="00C323F2" w:rsidRPr="00C323F2" w:rsidRDefault="00C323F2" w:rsidP="00C323F2">
      <w:pPr>
        <w:rPr>
          <w:rFonts w:asciiTheme="minorHAnsi" w:eastAsiaTheme="majorEastAsia" w:hAnsiTheme="minorHAnsi" w:cstheme="majorBidi"/>
          <w:bCs/>
          <w:color w:val="000000" w:themeColor="text1"/>
          <w:spacing w:val="15"/>
          <w:lang w:val="fr-FR"/>
        </w:rPr>
      </w:pPr>
      <w:r w:rsidRPr="00C323F2">
        <w:rPr>
          <w:rFonts w:asciiTheme="minorHAnsi" w:eastAsiaTheme="majorEastAsia" w:hAnsiTheme="minorHAnsi" w:cstheme="majorBidi"/>
          <w:bCs/>
          <w:color w:val="000000" w:themeColor="text1"/>
          <w:spacing w:val="15"/>
          <w:lang w:val="fr-FR"/>
        </w:rPr>
        <w:t>Le portefeuille Sharpe maximal vise à maximiser le rendement ajusté au risque du portefeuille, sous réserve de la présence exclusive de titres longs. Cette stratégie équilibre le rendement attendu, le risque du portefeuille et les effets de diversification.</w:t>
      </w:r>
    </w:p>
    <w:p w14:paraId="3D047BAB" w14:textId="2380DA66" w:rsidR="00B475A5" w:rsidRPr="00C323F2" w:rsidRDefault="00C323F2" w:rsidP="00C323F2">
      <w:pPr>
        <w:rPr>
          <w:rFonts w:asciiTheme="minorHAnsi" w:hAnsiTheme="minorHAnsi"/>
          <w:bCs/>
          <w:sz w:val="22"/>
          <w:szCs w:val="22"/>
          <w:lang w:val="fr-FR"/>
        </w:rPr>
      </w:pPr>
      <w:r w:rsidRPr="00C323F2">
        <w:rPr>
          <w:rFonts w:asciiTheme="minorHAnsi" w:eastAsiaTheme="majorEastAsia" w:hAnsiTheme="minorHAnsi" w:cstheme="majorBidi"/>
          <w:bCs/>
          <w:color w:val="000000" w:themeColor="text1"/>
          <w:spacing w:val="15"/>
          <w:lang w:val="fr-FR"/>
        </w:rPr>
        <w:t>Comparée au portefeuille à variance minimale, cette approche présente généralement une volatilité plus élevée, mais offre un potentiel de rendement supérieur, la rendant plus adaptée aux investisseurs axés sur la croissance.</w:t>
      </w:r>
    </w:p>
    <w:p w14:paraId="561C3719" w14:textId="1FD7DFE0" w:rsidR="00B475A5" w:rsidRPr="00C323F2" w:rsidRDefault="00C323F2" w:rsidP="00F66B96">
      <w:pPr>
        <w:pStyle w:val="Subtitle"/>
        <w:rPr>
          <w:lang w:val="fr-FR"/>
        </w:rPr>
      </w:pPr>
      <w:bookmarkStart w:id="41" w:name="_Toc216541078"/>
      <w:bookmarkStart w:id="42" w:name="_Toc216563150"/>
      <w:bookmarkStart w:id="43" w:name="_Toc216563380"/>
      <w:r w:rsidRPr="00C323F2">
        <w:rPr>
          <w:lang w:val="fr-FR"/>
        </w:rPr>
        <w:t xml:space="preserve">Stratégie de </w:t>
      </w:r>
      <w:proofErr w:type="spellStart"/>
      <w:r w:rsidRPr="00F66B96">
        <w:t>portefeuille</w:t>
      </w:r>
      <w:proofErr w:type="spellEnd"/>
      <w:r w:rsidRPr="00C323F2">
        <w:rPr>
          <w:lang w:val="fr-FR"/>
        </w:rPr>
        <w:t xml:space="preserve"> </w:t>
      </w:r>
      <w:bookmarkEnd w:id="41"/>
      <w:r w:rsidRPr="00C323F2">
        <w:rPr>
          <w:lang w:val="fr-FR"/>
        </w:rPr>
        <w:t>hybride :</w:t>
      </w:r>
      <w:bookmarkEnd w:id="42"/>
      <w:bookmarkEnd w:id="43"/>
    </w:p>
    <w:p w14:paraId="347EB2E8" w14:textId="2538B6C9" w:rsidR="004172A9" w:rsidRPr="00C323F2" w:rsidRDefault="00B475A5" w:rsidP="00FE1B30">
      <w:pPr>
        <w:rPr>
          <w:lang w:val="fr-FR"/>
        </w:rPr>
      </w:pPr>
      <w:r w:rsidRPr="00B475A5">
        <w:rPr>
          <w:noProof/>
        </w:rPr>
        <w:drawing>
          <wp:anchor distT="0" distB="0" distL="114300" distR="114300" simplePos="0" relativeHeight="251669504" behindDoc="0" locked="0" layoutInCell="1" allowOverlap="1" wp14:anchorId="51C35974" wp14:editId="0F500A96">
            <wp:simplePos x="0" y="0"/>
            <wp:positionH relativeFrom="page">
              <wp:posOffset>4691652</wp:posOffset>
            </wp:positionH>
            <wp:positionV relativeFrom="margin">
              <wp:posOffset>5768975</wp:posOffset>
            </wp:positionV>
            <wp:extent cx="2792730" cy="2781935"/>
            <wp:effectExtent l="0" t="0" r="7620" b="0"/>
            <wp:wrapSquare wrapText="bothSides"/>
            <wp:docPr id="785168514"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68514" name="Picture 1" descr="A pie chart with different colored circl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92730" cy="2781935"/>
                    </a:xfrm>
                    <a:prstGeom prst="rect">
                      <a:avLst/>
                    </a:prstGeom>
                  </pic:spPr>
                </pic:pic>
              </a:graphicData>
            </a:graphic>
            <wp14:sizeRelH relativeFrom="margin">
              <wp14:pctWidth>0</wp14:pctWidth>
            </wp14:sizeRelH>
            <wp14:sizeRelV relativeFrom="margin">
              <wp14:pctHeight>0</wp14:pctHeight>
            </wp14:sizeRelV>
          </wp:anchor>
        </w:drawing>
      </w:r>
      <w:r w:rsidR="00C323F2" w:rsidRPr="00C323F2">
        <w:rPr>
          <w:lang w:val="fr-FR"/>
        </w:rPr>
        <w:t xml:space="preserve">Le portefeuille hybride combine des éléments de parité des risques et d'optimisation de Sharpe. Le risque est d'abord réparti équitablement entre les actifs, puis des considérations de rendement sont intégrées afin d'améliorer la performance </w:t>
      </w:r>
      <w:proofErr w:type="spellStart"/>
      <w:proofErr w:type="gramStart"/>
      <w:r w:rsidR="00C323F2" w:rsidRPr="00C323F2">
        <w:rPr>
          <w:lang w:val="fr-FR"/>
        </w:rPr>
        <w:t>globale.Cette</w:t>
      </w:r>
      <w:proofErr w:type="spellEnd"/>
      <w:proofErr w:type="gramEnd"/>
      <w:r w:rsidR="00C323F2" w:rsidRPr="00C323F2">
        <w:rPr>
          <w:lang w:val="fr-FR"/>
        </w:rPr>
        <w:t xml:space="preserve"> approche vise à trouver un </w:t>
      </w:r>
      <w:r w:rsidR="00C323F2" w:rsidRPr="00C323F2">
        <w:rPr>
          <w:lang w:val="fr-FR"/>
        </w:rPr>
        <w:lastRenderedPageBreak/>
        <w:t>équilibre entre stabilité et génération de rendement, pour un portefeuille à la fois diversifié et performant.</w:t>
      </w:r>
    </w:p>
    <w:p w14:paraId="016D8D45" w14:textId="0BC916A3" w:rsidR="004172A9" w:rsidRPr="009F6C6A" w:rsidRDefault="00696AC0" w:rsidP="00F66B96">
      <w:pPr>
        <w:pStyle w:val="Title"/>
        <w:rPr>
          <w:lang w:val="fr-FR"/>
        </w:rPr>
      </w:pPr>
      <w:bookmarkStart w:id="44" w:name="_Toc216541079"/>
      <w:bookmarkStart w:id="45" w:name="_Toc216563151"/>
      <w:bookmarkStart w:id="46" w:name="_Toc216563381"/>
      <w:r w:rsidRPr="004172A9">
        <w:rPr>
          <w:noProof/>
        </w:rPr>
        <w:drawing>
          <wp:anchor distT="0" distB="0" distL="114300" distR="114300" simplePos="0" relativeHeight="251672576" behindDoc="0" locked="0" layoutInCell="1" allowOverlap="1" wp14:anchorId="40B110A4" wp14:editId="7FA4E5F4">
            <wp:simplePos x="0" y="0"/>
            <wp:positionH relativeFrom="margin">
              <wp:posOffset>-44450</wp:posOffset>
            </wp:positionH>
            <wp:positionV relativeFrom="margin">
              <wp:posOffset>698954</wp:posOffset>
            </wp:positionV>
            <wp:extent cx="5943600" cy="3725545"/>
            <wp:effectExtent l="0" t="0" r="0" b="8255"/>
            <wp:wrapSquare wrapText="bothSides"/>
            <wp:docPr id="291249554"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9554" name="Picture 1" descr="A diagram of a grap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725545"/>
                    </a:xfrm>
                    <a:prstGeom prst="rect">
                      <a:avLst/>
                    </a:prstGeom>
                  </pic:spPr>
                </pic:pic>
              </a:graphicData>
            </a:graphic>
          </wp:anchor>
        </w:drawing>
      </w:r>
      <w:r w:rsidR="004172A9" w:rsidRPr="009F6C6A">
        <w:rPr>
          <w:lang w:val="fr-FR"/>
        </w:rPr>
        <w:t xml:space="preserve">Efficient Frontier &amp; Monte Carlo </w:t>
      </w:r>
      <w:proofErr w:type="spellStart"/>
      <w:proofErr w:type="gramStart"/>
      <w:r w:rsidR="004172A9" w:rsidRPr="009F6C6A">
        <w:rPr>
          <w:lang w:val="fr-FR"/>
        </w:rPr>
        <w:t>Optimization</w:t>
      </w:r>
      <w:proofErr w:type="spellEnd"/>
      <w:r w:rsidR="004172A9" w:rsidRPr="009F6C6A">
        <w:rPr>
          <w:lang w:val="fr-FR"/>
        </w:rPr>
        <w:t>:</w:t>
      </w:r>
      <w:bookmarkEnd w:id="44"/>
      <w:bookmarkEnd w:id="45"/>
      <w:bookmarkEnd w:id="46"/>
      <w:proofErr w:type="gramEnd"/>
    </w:p>
    <w:p w14:paraId="3039B5BB" w14:textId="3C801E37" w:rsidR="004172A9" w:rsidRPr="006C7B9E" w:rsidRDefault="004172A9" w:rsidP="004172A9">
      <w:pPr>
        <w:jc w:val="center"/>
        <w:rPr>
          <w:b/>
          <w:bCs/>
          <w:u w:val="single"/>
          <w:lang w:val="fr-FR"/>
        </w:rPr>
      </w:pPr>
      <w:r w:rsidRPr="006C7B9E">
        <w:rPr>
          <w:b/>
          <w:bCs/>
          <w:u w:val="single"/>
          <w:lang w:val="fr-FR"/>
        </w:rPr>
        <w:t xml:space="preserve">Figure </w:t>
      </w:r>
      <w:proofErr w:type="gramStart"/>
      <w:r w:rsidRPr="006C7B9E">
        <w:rPr>
          <w:b/>
          <w:bCs/>
          <w:u w:val="single"/>
          <w:lang w:val="fr-FR"/>
        </w:rPr>
        <w:t>8:</w:t>
      </w:r>
      <w:proofErr w:type="gramEnd"/>
      <w:r w:rsidRPr="006C7B9E">
        <w:rPr>
          <w:b/>
          <w:bCs/>
          <w:u w:val="single"/>
          <w:lang w:val="fr-FR"/>
        </w:rPr>
        <w:t xml:space="preserve"> </w:t>
      </w:r>
      <w:r w:rsidR="006C7B9E" w:rsidRPr="006C7B9E">
        <w:rPr>
          <w:b/>
          <w:bCs/>
          <w:u w:val="single"/>
          <w:lang w:val="fr-FR"/>
        </w:rPr>
        <w:t xml:space="preserve">Frontière efficace des </w:t>
      </w:r>
      <w:proofErr w:type="spellStart"/>
      <w:r w:rsidR="006C7B9E" w:rsidRPr="006C7B9E">
        <w:rPr>
          <w:b/>
          <w:bCs/>
          <w:u w:val="single"/>
          <w:lang w:val="fr-FR"/>
        </w:rPr>
        <w:t>portfeuilles</w:t>
      </w:r>
      <w:proofErr w:type="spellEnd"/>
    </w:p>
    <w:p w14:paraId="4B2CB242" w14:textId="2A27805E" w:rsidR="006C7B9E" w:rsidRPr="006C7B9E" w:rsidRDefault="006C7B9E" w:rsidP="001750D1">
      <w:pPr>
        <w:rPr>
          <w:lang w:val="fr-FR"/>
        </w:rPr>
      </w:pPr>
      <w:bookmarkStart w:id="47" w:name="_Toc216541080"/>
      <w:bookmarkStart w:id="48" w:name="_Toc216563152"/>
      <w:r w:rsidRPr="006C7B9E">
        <w:rPr>
          <w:lang w:val="fr-FR"/>
        </w:rPr>
        <w:t>Pour dépasser les règles d'allocation simplistes, une simulation de Monte Carlo est appliquée afin de générer un grand nombre de portefeuilles long-</w:t>
      </w:r>
      <w:proofErr w:type="spellStart"/>
      <w:r w:rsidRPr="006C7B9E">
        <w:rPr>
          <w:lang w:val="fr-FR"/>
        </w:rPr>
        <w:t>only</w:t>
      </w:r>
      <w:proofErr w:type="spellEnd"/>
      <w:r w:rsidRPr="006C7B9E">
        <w:rPr>
          <w:lang w:val="fr-FR"/>
        </w:rPr>
        <w:t xml:space="preserve"> aléatoires à partir des six actions sélectionnées. Chaque portefeuille simulé diffère par la pondération de ses actifs, tout en respectant les contraintes d'investissement intégral et d'interdiction de vente à découvert.</w:t>
      </w:r>
      <w:bookmarkEnd w:id="48"/>
    </w:p>
    <w:p w14:paraId="0CBF63A0" w14:textId="77777777" w:rsidR="006C7B9E" w:rsidRPr="006C7B9E" w:rsidRDefault="006C7B9E" w:rsidP="001750D1">
      <w:pPr>
        <w:rPr>
          <w:lang w:val="fr-FR"/>
        </w:rPr>
      </w:pPr>
    </w:p>
    <w:p w14:paraId="255D95D8" w14:textId="77777777" w:rsidR="006C7B9E" w:rsidRPr="006C7B9E" w:rsidRDefault="006C7B9E" w:rsidP="001750D1">
      <w:pPr>
        <w:rPr>
          <w:lang w:val="fr-FR"/>
        </w:rPr>
      </w:pPr>
      <w:bookmarkStart w:id="49" w:name="_Toc216563153"/>
      <w:r w:rsidRPr="006C7B9E">
        <w:rPr>
          <w:lang w:val="fr-FR"/>
        </w:rPr>
        <w:t>Pour chaque portefeuille, le rendement espéré et la volatilité sont calculés, ce qui génère un nuage de combinaisons risque-rendement possibles. L'enveloppe supérieure de ce nuage constitue la frontière efficiente, représentant les portefeuilles offrant le rendement espéré le plus élevé pour un niveau de risque donné.</w:t>
      </w:r>
      <w:bookmarkEnd w:id="49"/>
    </w:p>
    <w:p w14:paraId="124A3319" w14:textId="77777777" w:rsidR="006C7B9E" w:rsidRPr="006C7B9E" w:rsidRDefault="006C7B9E" w:rsidP="001750D1">
      <w:pPr>
        <w:rPr>
          <w:lang w:val="fr-FR"/>
        </w:rPr>
      </w:pPr>
    </w:p>
    <w:p w14:paraId="4396FF54" w14:textId="77777777" w:rsidR="006C7B9E" w:rsidRPr="006C7B9E" w:rsidRDefault="006C7B9E" w:rsidP="001750D1">
      <w:pPr>
        <w:rPr>
          <w:lang w:val="fr-FR"/>
        </w:rPr>
      </w:pPr>
      <w:bookmarkStart w:id="50" w:name="_Toc216563154"/>
      <w:r w:rsidRPr="006C7B9E">
        <w:rPr>
          <w:lang w:val="fr-FR"/>
        </w:rPr>
        <w:t>Ce cadre permet d'identifier des portefeuilles optimaux, tels que le portefeuille à variance minimale et le portefeuille au ratio de Sharpe maximal, qui servent de points de référence pour les stratégies optimisées analysées dans la section suivante.</w:t>
      </w:r>
      <w:bookmarkEnd w:id="50"/>
    </w:p>
    <w:p w14:paraId="12CE0AAB" w14:textId="77777777" w:rsidR="006C7B9E" w:rsidRPr="006C7B9E" w:rsidRDefault="006C7B9E" w:rsidP="001750D1">
      <w:pPr>
        <w:rPr>
          <w:lang w:val="fr-FR"/>
        </w:rPr>
      </w:pPr>
    </w:p>
    <w:p w14:paraId="1B6D0055" w14:textId="77777777" w:rsidR="006C7B9E" w:rsidRDefault="006C7B9E" w:rsidP="001750D1">
      <w:pPr>
        <w:rPr>
          <w:b/>
          <w:lang w:val="fr-FR"/>
        </w:rPr>
      </w:pPr>
      <w:bookmarkStart w:id="51" w:name="_Toc216563155"/>
      <w:r w:rsidRPr="006C7B9E">
        <w:rPr>
          <w:lang w:val="fr-FR"/>
        </w:rPr>
        <w:t>La section suivante évalue la performance hors échantillon de ces portefeuilles, en se concentrant sur les rendements cumulés, les pertes maximales et les principaux indicateurs de performance ajustés au risque.</w:t>
      </w:r>
      <w:bookmarkEnd w:id="51"/>
    </w:p>
    <w:p w14:paraId="24399826" w14:textId="438BBD0D" w:rsidR="006C7B9E" w:rsidRPr="006C7B9E" w:rsidRDefault="006C7B9E" w:rsidP="00F66B96">
      <w:pPr>
        <w:pStyle w:val="Title"/>
        <w:rPr>
          <w:lang w:val="fr-FR"/>
        </w:rPr>
      </w:pPr>
      <w:bookmarkStart w:id="52" w:name="_Toc216563156"/>
      <w:bookmarkStart w:id="53" w:name="_Toc216563382"/>
      <w:bookmarkEnd w:id="47"/>
      <w:r w:rsidRPr="006C7B9E">
        <w:rPr>
          <w:lang w:val="fr-FR"/>
        </w:rPr>
        <w:lastRenderedPageBreak/>
        <w:t>Analyse de la performance des portefeuilles optimisés :</w:t>
      </w:r>
      <w:bookmarkEnd w:id="52"/>
      <w:bookmarkEnd w:id="53"/>
    </w:p>
    <w:p w14:paraId="49729B44" w14:textId="02074F4A" w:rsidR="0032785A" w:rsidRDefault="0032785A" w:rsidP="0032785A">
      <w:r w:rsidRPr="0032785A">
        <w:t>This section evaluates the historical performance of the four portfolio strategies introduced previously: Individual Sharpe (A), Risk Parity (B), Maximum Sharpe (C), and Hybrid (D). Performance is assessed using cumulative returns, drawdown behavior, and standard risk-adjusted metrics</w:t>
      </w:r>
    </w:p>
    <w:p w14:paraId="5772C5D2" w14:textId="77777777" w:rsidR="00696AC0" w:rsidRDefault="00696AC0" w:rsidP="00F66B96">
      <w:pPr>
        <w:pStyle w:val="Subtitle"/>
        <w:rPr>
          <w:lang w:val="fr-FR"/>
        </w:rPr>
      </w:pPr>
      <w:bookmarkStart w:id="54" w:name="_Toc216541081"/>
      <w:bookmarkStart w:id="55" w:name="_Toc216563157"/>
      <w:bookmarkStart w:id="56" w:name="_Toc216563383"/>
    </w:p>
    <w:p w14:paraId="34D4EB30" w14:textId="110DBF5B" w:rsidR="0032785A" w:rsidRPr="006C7B9E" w:rsidRDefault="00696AC0" w:rsidP="00F66B96">
      <w:pPr>
        <w:pStyle w:val="Subtitle"/>
        <w:rPr>
          <w:lang w:val="fr-FR"/>
        </w:rPr>
      </w:pPr>
      <w:r>
        <w:rPr>
          <w:noProof/>
        </w:rPr>
        <w:drawing>
          <wp:anchor distT="0" distB="0" distL="114300" distR="114300" simplePos="0" relativeHeight="251670528" behindDoc="0" locked="0" layoutInCell="1" allowOverlap="1" wp14:anchorId="386B3A86" wp14:editId="47BE3545">
            <wp:simplePos x="0" y="0"/>
            <wp:positionH relativeFrom="margin">
              <wp:align>right</wp:align>
            </wp:positionH>
            <wp:positionV relativeFrom="margin">
              <wp:posOffset>1600200</wp:posOffset>
            </wp:positionV>
            <wp:extent cx="5671185" cy="3509010"/>
            <wp:effectExtent l="0" t="0" r="5715" b="0"/>
            <wp:wrapSquare wrapText="bothSides"/>
            <wp:docPr id="449188517"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88517" name="Picture 1" descr="A graph showing different colored lin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671185" cy="3509010"/>
                    </a:xfrm>
                    <a:prstGeom prst="rect">
                      <a:avLst/>
                    </a:prstGeom>
                  </pic:spPr>
                </pic:pic>
              </a:graphicData>
            </a:graphic>
            <wp14:sizeRelH relativeFrom="margin">
              <wp14:pctWidth>0</wp14:pctWidth>
            </wp14:sizeRelH>
            <wp14:sizeRelV relativeFrom="margin">
              <wp14:pctHeight>0</wp14:pctHeight>
            </wp14:sizeRelV>
          </wp:anchor>
        </w:drawing>
      </w:r>
      <w:r w:rsidR="006C7B9E" w:rsidRPr="006C7B9E">
        <w:rPr>
          <w:lang w:val="fr-FR"/>
        </w:rPr>
        <w:t xml:space="preserve">Analyses du </w:t>
      </w:r>
      <w:r w:rsidR="006C7B9E" w:rsidRPr="00F66B96">
        <w:rPr>
          <w:lang w:val="fr-FR"/>
        </w:rPr>
        <w:t>rendement</w:t>
      </w:r>
      <w:r w:rsidR="006C7B9E" w:rsidRPr="006C7B9E">
        <w:rPr>
          <w:lang w:val="fr-FR"/>
        </w:rPr>
        <w:t xml:space="preserve"> des </w:t>
      </w:r>
      <w:proofErr w:type="spellStart"/>
      <w:proofErr w:type="gramStart"/>
      <w:r w:rsidR="006C7B9E">
        <w:rPr>
          <w:lang w:val="fr-FR"/>
        </w:rPr>
        <w:t>portfeuilles</w:t>
      </w:r>
      <w:proofErr w:type="spellEnd"/>
      <w:r w:rsidR="0032785A" w:rsidRPr="006C7B9E">
        <w:rPr>
          <w:lang w:val="fr-FR"/>
        </w:rPr>
        <w:t>:</w:t>
      </w:r>
      <w:bookmarkEnd w:id="54"/>
      <w:bookmarkEnd w:id="55"/>
      <w:bookmarkEnd w:id="56"/>
      <w:proofErr w:type="gramEnd"/>
    </w:p>
    <w:p w14:paraId="557ABFFD" w14:textId="542D4A71" w:rsidR="0032785A" w:rsidRPr="006C7B9E" w:rsidRDefault="0032785A" w:rsidP="0032785A">
      <w:pPr>
        <w:jc w:val="center"/>
        <w:rPr>
          <w:b/>
          <w:bCs/>
          <w:u w:val="single"/>
          <w:lang w:val="fr-FR"/>
        </w:rPr>
      </w:pPr>
      <w:r w:rsidRPr="006C7B9E">
        <w:rPr>
          <w:b/>
          <w:bCs/>
          <w:u w:val="single"/>
          <w:lang w:val="fr-FR"/>
        </w:rPr>
        <w:t xml:space="preserve">Figure </w:t>
      </w:r>
      <w:proofErr w:type="gramStart"/>
      <w:r w:rsidR="004172A9" w:rsidRPr="006C7B9E">
        <w:rPr>
          <w:b/>
          <w:bCs/>
          <w:u w:val="single"/>
          <w:lang w:val="fr-FR"/>
        </w:rPr>
        <w:t>8</w:t>
      </w:r>
      <w:r w:rsidRPr="006C7B9E">
        <w:rPr>
          <w:b/>
          <w:bCs/>
          <w:u w:val="single"/>
          <w:lang w:val="fr-FR"/>
        </w:rPr>
        <w:t>:</w:t>
      </w:r>
      <w:proofErr w:type="gramEnd"/>
      <w:r w:rsidRPr="006C7B9E">
        <w:rPr>
          <w:b/>
          <w:bCs/>
          <w:u w:val="single"/>
          <w:lang w:val="fr-FR"/>
        </w:rPr>
        <w:t xml:space="preserve"> </w:t>
      </w:r>
      <w:r w:rsidR="006C7B9E" w:rsidRPr="006C7B9E">
        <w:rPr>
          <w:b/>
          <w:bCs/>
          <w:u w:val="single"/>
          <w:lang w:val="fr-FR"/>
        </w:rPr>
        <w:t xml:space="preserve">Rendement des </w:t>
      </w:r>
      <w:proofErr w:type="spellStart"/>
      <w:r w:rsidR="006C7B9E" w:rsidRPr="006C7B9E">
        <w:rPr>
          <w:b/>
          <w:bCs/>
          <w:u w:val="single"/>
          <w:lang w:val="fr-FR"/>
        </w:rPr>
        <w:t>portfeuilles</w:t>
      </w:r>
      <w:proofErr w:type="spellEnd"/>
      <w:r w:rsidR="006C7B9E" w:rsidRPr="006C7B9E">
        <w:rPr>
          <w:b/>
          <w:bCs/>
          <w:u w:val="single"/>
          <w:lang w:val="fr-FR"/>
        </w:rPr>
        <w:t xml:space="preserve"> </w:t>
      </w:r>
      <w:r w:rsidRPr="006C7B9E">
        <w:rPr>
          <w:b/>
          <w:bCs/>
          <w:u w:val="single"/>
          <w:lang w:val="fr-FR"/>
        </w:rPr>
        <w:t xml:space="preserve"> </w:t>
      </w:r>
    </w:p>
    <w:p w14:paraId="1CD48DD8" w14:textId="0436E000" w:rsidR="006C7B9E" w:rsidRPr="006C7B9E" w:rsidRDefault="006C7B9E" w:rsidP="006C7B9E">
      <w:pPr>
        <w:pStyle w:val="ListParagraph"/>
        <w:numPr>
          <w:ilvl w:val="0"/>
          <w:numId w:val="22"/>
        </w:numPr>
        <w:rPr>
          <w:lang w:val="fr-FR"/>
        </w:rPr>
      </w:pPr>
      <w:bookmarkStart w:id="57" w:name="_Toc216541082"/>
      <w:r w:rsidRPr="006C7B9E">
        <w:rPr>
          <w:b/>
          <w:bCs/>
          <w:lang w:val="fr-FR"/>
        </w:rPr>
        <w:t>Le portefeuille Sharpe maximal (C)</w:t>
      </w:r>
      <w:r w:rsidRPr="006C7B9E">
        <w:rPr>
          <w:lang w:val="fr-FR"/>
        </w:rPr>
        <w:t xml:space="preserve"> affiche clairement la meilleure performance à long terme, clôturant la période avec la valeur de portefeuille la plus élevée. Ce résultat reflète son objectif principal : maximiser les rendements ajustés au risque, malgré une volatilité accrue.</w:t>
      </w:r>
    </w:p>
    <w:p w14:paraId="291E9E7D" w14:textId="77777777" w:rsidR="006C7B9E" w:rsidRDefault="006C7B9E" w:rsidP="006C7B9E">
      <w:pPr>
        <w:pStyle w:val="ListParagraph"/>
        <w:numPr>
          <w:ilvl w:val="0"/>
          <w:numId w:val="22"/>
        </w:numPr>
        <w:rPr>
          <w:lang w:val="fr-FR"/>
        </w:rPr>
      </w:pPr>
      <w:r w:rsidRPr="006C7B9E">
        <w:rPr>
          <w:b/>
          <w:bCs/>
          <w:lang w:val="fr-FR"/>
        </w:rPr>
        <w:t>Le portefeuille hybride (D)</w:t>
      </w:r>
      <w:r w:rsidRPr="006C7B9E">
        <w:rPr>
          <w:lang w:val="fr-FR"/>
        </w:rPr>
        <w:t xml:space="preserve"> suit de près, offrant une trajectoire équilibrée qui capte une part importante du potentiel de hausse tout en évitant une concentration excessive. Ceci confirme l'intérêt de combiner une allocation basée sur le risque et l'optimisation des rendements.</w:t>
      </w:r>
    </w:p>
    <w:p w14:paraId="01802E4E" w14:textId="5D4557E8" w:rsidR="006C7B9E" w:rsidRPr="001750D1" w:rsidRDefault="006C7B9E" w:rsidP="001750D1">
      <w:pPr>
        <w:pStyle w:val="ListParagraph"/>
        <w:numPr>
          <w:ilvl w:val="0"/>
          <w:numId w:val="22"/>
        </w:numPr>
        <w:rPr>
          <w:lang w:val="fr-FR"/>
        </w:rPr>
      </w:pPr>
      <w:r w:rsidRPr="001750D1">
        <w:rPr>
          <w:b/>
          <w:bCs/>
          <w:lang w:val="fr-FR"/>
        </w:rPr>
        <w:t>Le portefeuille Sharpe individuel (A)</w:t>
      </w:r>
      <w:r w:rsidRPr="001750D1">
        <w:rPr>
          <w:lang w:val="fr-FR"/>
        </w:rPr>
        <w:t xml:space="preserve"> offre une croissance solide et stable, surpassant l'approche de parité des risques tout en conservant une courbe de performance plus régulière que la stratégie Sharpe maximal pure.</w:t>
      </w:r>
    </w:p>
    <w:p w14:paraId="4A40DD2A" w14:textId="19B58713" w:rsidR="006C7B9E" w:rsidRPr="001750D1" w:rsidRDefault="006C7B9E" w:rsidP="001750D1">
      <w:pPr>
        <w:pStyle w:val="ListParagraph"/>
        <w:numPr>
          <w:ilvl w:val="0"/>
          <w:numId w:val="22"/>
        </w:numPr>
        <w:rPr>
          <w:lang w:val="fr-FR"/>
        </w:rPr>
      </w:pPr>
      <w:bookmarkStart w:id="58" w:name="_Toc216563158"/>
      <w:r w:rsidRPr="001750D1">
        <w:rPr>
          <w:bCs/>
          <w:lang w:val="fr-FR"/>
        </w:rPr>
        <w:t>Le portefeuille de parité des risques (B)</w:t>
      </w:r>
      <w:r w:rsidRPr="001750D1">
        <w:rPr>
          <w:lang w:val="fr-FR"/>
        </w:rPr>
        <w:t xml:space="preserve"> présente le profil de croissance le plus prudent. Bien qu'il soit moins performant en termes de rendement cumulé, sa trajectoire reste </w:t>
      </w:r>
      <w:r w:rsidRPr="001750D1">
        <w:rPr>
          <w:lang w:val="fr-FR"/>
        </w:rPr>
        <w:lastRenderedPageBreak/>
        <w:t>comparativement plus stable lors de certaines phases de marché, conformément à son objectif d'équilibrage de la volatilité.</w:t>
      </w:r>
      <w:bookmarkEnd w:id="58"/>
    </w:p>
    <w:p w14:paraId="7D16AC2D" w14:textId="230E6447" w:rsidR="00B92007" w:rsidRPr="00D161DB" w:rsidRDefault="00696AC0" w:rsidP="00F66B96">
      <w:pPr>
        <w:pStyle w:val="Subtitle"/>
        <w:rPr>
          <w:lang w:val="fr-FR"/>
        </w:rPr>
      </w:pPr>
      <w:bookmarkStart w:id="59" w:name="_Toc216563159"/>
      <w:bookmarkStart w:id="60" w:name="_Toc216563384"/>
      <w:r>
        <w:rPr>
          <w:noProof/>
        </w:rPr>
        <w:drawing>
          <wp:anchor distT="0" distB="0" distL="114300" distR="114300" simplePos="0" relativeHeight="251671552" behindDoc="0" locked="0" layoutInCell="1" allowOverlap="1" wp14:anchorId="150E0EBA" wp14:editId="18DEE0CA">
            <wp:simplePos x="0" y="0"/>
            <wp:positionH relativeFrom="margin">
              <wp:align>right</wp:align>
            </wp:positionH>
            <wp:positionV relativeFrom="margin">
              <wp:posOffset>784406</wp:posOffset>
            </wp:positionV>
            <wp:extent cx="5943600" cy="3620770"/>
            <wp:effectExtent l="0" t="0" r="0" b="0"/>
            <wp:wrapSquare wrapText="bothSides"/>
            <wp:docPr id="24803767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37672" name="Picture 1" descr="A graph of different colored lin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620770"/>
                    </a:xfrm>
                    <a:prstGeom prst="rect">
                      <a:avLst/>
                    </a:prstGeom>
                  </pic:spPr>
                </pic:pic>
              </a:graphicData>
            </a:graphic>
          </wp:anchor>
        </w:drawing>
      </w:r>
      <w:r w:rsidR="00D161DB" w:rsidRPr="00D161DB">
        <w:rPr>
          <w:lang w:val="fr-FR"/>
        </w:rPr>
        <w:t xml:space="preserve">Analyse du </w:t>
      </w:r>
      <w:proofErr w:type="spellStart"/>
      <w:proofErr w:type="gramStart"/>
      <w:r w:rsidR="00D161DB" w:rsidRPr="00B202BD">
        <w:rPr>
          <w:lang w:val="fr-FR"/>
        </w:rPr>
        <w:t>Drawdown</w:t>
      </w:r>
      <w:proofErr w:type="spellEnd"/>
      <w:r w:rsidR="00B92007" w:rsidRPr="00D161DB">
        <w:rPr>
          <w:lang w:val="fr-FR"/>
        </w:rPr>
        <w:t>:</w:t>
      </w:r>
      <w:bookmarkEnd w:id="57"/>
      <w:bookmarkEnd w:id="59"/>
      <w:bookmarkEnd w:id="60"/>
      <w:proofErr w:type="gramEnd"/>
    </w:p>
    <w:p w14:paraId="40A5331B" w14:textId="3B3CB592" w:rsidR="00B92007" w:rsidRPr="00D161DB" w:rsidRDefault="00B92007" w:rsidP="00B92007">
      <w:pPr>
        <w:jc w:val="center"/>
        <w:rPr>
          <w:b/>
          <w:bCs/>
          <w:u w:val="single"/>
          <w:lang w:val="fr-FR"/>
        </w:rPr>
      </w:pPr>
      <w:r w:rsidRPr="00D161DB">
        <w:rPr>
          <w:b/>
          <w:bCs/>
          <w:u w:val="single"/>
          <w:lang w:val="fr-FR"/>
        </w:rPr>
        <w:t xml:space="preserve">Figure </w:t>
      </w:r>
      <w:proofErr w:type="gramStart"/>
      <w:r w:rsidR="004172A9" w:rsidRPr="00D161DB">
        <w:rPr>
          <w:b/>
          <w:bCs/>
          <w:u w:val="single"/>
          <w:lang w:val="fr-FR"/>
        </w:rPr>
        <w:t>9</w:t>
      </w:r>
      <w:r w:rsidRPr="00D161DB">
        <w:rPr>
          <w:b/>
          <w:bCs/>
          <w:u w:val="single"/>
          <w:lang w:val="fr-FR"/>
        </w:rPr>
        <w:t>:</w:t>
      </w:r>
      <w:proofErr w:type="gramEnd"/>
      <w:r w:rsidRPr="00D161DB">
        <w:rPr>
          <w:b/>
          <w:bCs/>
          <w:u w:val="single"/>
          <w:lang w:val="fr-FR"/>
        </w:rPr>
        <w:t xml:space="preserve"> </w:t>
      </w:r>
      <w:proofErr w:type="spellStart"/>
      <w:r w:rsidR="00D161DB" w:rsidRPr="00D161DB">
        <w:rPr>
          <w:b/>
          <w:bCs/>
          <w:u w:val="single"/>
          <w:lang w:val="fr-FR"/>
        </w:rPr>
        <w:t>Dr</w:t>
      </w:r>
      <w:r w:rsidR="00D161DB">
        <w:rPr>
          <w:b/>
          <w:bCs/>
          <w:u w:val="single"/>
          <w:lang w:val="fr-FR"/>
        </w:rPr>
        <w:t>awdown</w:t>
      </w:r>
      <w:proofErr w:type="spellEnd"/>
      <w:r w:rsidR="00D161DB">
        <w:rPr>
          <w:b/>
          <w:bCs/>
          <w:u w:val="single"/>
          <w:lang w:val="fr-FR"/>
        </w:rPr>
        <w:t xml:space="preserve"> des </w:t>
      </w:r>
      <w:proofErr w:type="spellStart"/>
      <w:r w:rsidR="00D161DB">
        <w:rPr>
          <w:b/>
          <w:bCs/>
          <w:u w:val="single"/>
          <w:lang w:val="fr-FR"/>
        </w:rPr>
        <w:t>portfeuilles</w:t>
      </w:r>
      <w:proofErr w:type="spellEnd"/>
    </w:p>
    <w:p w14:paraId="56F30FF1" w14:textId="22E13A7C" w:rsidR="00B202BD" w:rsidRDefault="00B202BD" w:rsidP="00D161DB">
      <w:pPr>
        <w:rPr>
          <w:lang w:val="fr-FR"/>
        </w:rPr>
      </w:pPr>
    </w:p>
    <w:p w14:paraId="0D52B7CC" w14:textId="0DBCD0FC" w:rsidR="00D161DB" w:rsidRPr="00D161DB" w:rsidRDefault="00D161DB" w:rsidP="00D161DB">
      <w:pPr>
        <w:rPr>
          <w:lang w:val="fr-FR"/>
        </w:rPr>
      </w:pPr>
      <w:r w:rsidRPr="00D161DB">
        <w:rPr>
          <w:lang w:val="fr-FR"/>
        </w:rPr>
        <w:t xml:space="preserve">Toutes les stratégies subissent des baisses importantes lors des périodes de tensions sur les marchés, notamment pendant la </w:t>
      </w:r>
      <w:r w:rsidRPr="00D161DB">
        <w:rPr>
          <w:b/>
          <w:bCs/>
          <w:lang w:val="fr-FR"/>
        </w:rPr>
        <w:t>crise de la COVID-19 en 2020</w:t>
      </w:r>
      <w:r w:rsidRPr="00D161DB">
        <w:rPr>
          <w:lang w:val="fr-FR"/>
        </w:rPr>
        <w:t>, qui représente la perturbation de marché la plus importante et la plus brutale de l'échantillon. Cet épisode met en évidence le niveau élevé de risque systémique inhérent au marché actions marocain.</w:t>
      </w:r>
    </w:p>
    <w:p w14:paraId="3E256787" w14:textId="77777777" w:rsidR="009F6C6A" w:rsidRDefault="009F6C6A" w:rsidP="00D161DB">
      <w:pPr>
        <w:rPr>
          <w:lang w:val="fr-FR"/>
        </w:rPr>
      </w:pPr>
    </w:p>
    <w:p w14:paraId="78DE24DE" w14:textId="2DF8D58E" w:rsidR="00D161DB" w:rsidRDefault="00D161DB" w:rsidP="00D161DB">
      <w:pPr>
        <w:rPr>
          <w:lang w:val="fr-FR"/>
        </w:rPr>
      </w:pPr>
      <w:r w:rsidRPr="00D161DB">
        <w:rPr>
          <w:lang w:val="fr-FR"/>
        </w:rPr>
        <w:t xml:space="preserve">Le </w:t>
      </w:r>
      <w:r w:rsidRPr="00D161DB">
        <w:rPr>
          <w:b/>
          <w:bCs/>
          <w:lang w:val="fr-FR"/>
        </w:rPr>
        <w:t xml:space="preserve">portefeuille Risk </w:t>
      </w:r>
      <w:proofErr w:type="spellStart"/>
      <w:r w:rsidRPr="00D161DB">
        <w:rPr>
          <w:b/>
          <w:bCs/>
          <w:lang w:val="fr-FR"/>
        </w:rPr>
        <w:t>Parity</w:t>
      </w:r>
      <w:proofErr w:type="spellEnd"/>
      <w:r w:rsidRPr="00D161DB">
        <w:rPr>
          <w:b/>
          <w:bCs/>
          <w:lang w:val="fr-FR"/>
        </w:rPr>
        <w:t xml:space="preserve"> (B)</w:t>
      </w:r>
      <w:r w:rsidRPr="00D161DB">
        <w:rPr>
          <w:lang w:val="fr-FR"/>
        </w:rPr>
        <w:t xml:space="preserve"> enregistre les baisses les plus importantes, dépassant -34 %, ce qui indique qu'une allocation basée uniquement sur la volatilité n'offre pas une protection suffisante lors d'événements de marché extrêmes et fortement corrélés.</w:t>
      </w:r>
    </w:p>
    <w:p w14:paraId="0E0697C3" w14:textId="77777777" w:rsidR="009F6C6A" w:rsidRDefault="009F6C6A" w:rsidP="00F608E0">
      <w:pPr>
        <w:rPr>
          <w:lang w:val="fr-FR"/>
        </w:rPr>
      </w:pPr>
    </w:p>
    <w:p w14:paraId="2D6E7547" w14:textId="507E0805" w:rsidR="00F608E0" w:rsidRPr="00F608E0" w:rsidRDefault="00F608E0" w:rsidP="00F608E0">
      <w:pPr>
        <w:rPr>
          <w:lang w:val="fr-FR"/>
        </w:rPr>
      </w:pPr>
      <w:r w:rsidRPr="00F608E0">
        <w:rPr>
          <w:lang w:val="fr-FR"/>
        </w:rPr>
        <w:t>Le portefeuille Sharpe maximal (C) enregistre la plus faible perte maximale parmi les quatre portefeuilles, ce qui suggère qu'une dynamique de rendement plus forte a permis une reprise plus rapide malgré une volatilité accrue.</w:t>
      </w:r>
    </w:p>
    <w:p w14:paraId="58CD2129" w14:textId="77777777" w:rsidR="009F6C6A" w:rsidRDefault="009F6C6A" w:rsidP="00F608E0">
      <w:pPr>
        <w:rPr>
          <w:lang w:val="fr-FR"/>
        </w:rPr>
      </w:pPr>
    </w:p>
    <w:p w14:paraId="7DDB0260" w14:textId="3C016FB3" w:rsidR="009F6C6A" w:rsidRPr="009F6C6A" w:rsidRDefault="00F608E0" w:rsidP="009F6C6A">
      <w:pPr>
        <w:rPr>
          <w:lang w:val="fr-FR"/>
        </w:rPr>
      </w:pPr>
      <w:r w:rsidRPr="00F608E0">
        <w:rPr>
          <w:lang w:val="fr-FR"/>
        </w:rPr>
        <w:t>Les portefeuilles Sharpe individuel (A) et hybride (D) présentent un comportement de perte intermédiaire, offrant un équilibre entre l'exposition au risque de baisse et le potentiel de reprise.</w:t>
      </w:r>
    </w:p>
    <w:p w14:paraId="0346040D" w14:textId="77777777" w:rsidR="009F6C6A" w:rsidRDefault="009F6C6A" w:rsidP="00F608E0">
      <w:pPr>
        <w:rPr>
          <w:b/>
          <w:bCs/>
          <w:lang w:val="fr-FR"/>
        </w:rPr>
      </w:pPr>
    </w:p>
    <w:p w14:paraId="03CF9000" w14:textId="16273277" w:rsidR="009F6C6A" w:rsidRDefault="00F608E0" w:rsidP="009F6C6A">
      <w:pPr>
        <w:rPr>
          <w:lang w:val="fr-FR"/>
        </w:rPr>
      </w:pPr>
      <w:r w:rsidRPr="00F608E0">
        <w:rPr>
          <w:b/>
          <w:bCs/>
          <w:lang w:val="fr-FR"/>
        </w:rPr>
        <w:lastRenderedPageBreak/>
        <w:t>N.B :</w:t>
      </w:r>
      <w:r>
        <w:rPr>
          <w:lang w:val="fr-FR"/>
        </w:rPr>
        <w:t xml:space="preserve"> </w:t>
      </w:r>
      <w:r w:rsidRPr="00F608E0">
        <w:rPr>
          <w:lang w:val="fr-FR"/>
        </w:rPr>
        <w:t>L'ampleur des pertes observées est largement attribuable aux conditions de marché exceptionnelles durant la crise de la COVID-19, combinées à la gestion passive du portefeuille. Aucun contrôle dynamique des risques, filtre de perte ou mécanisme de réduction des risques basé sur le régime de marché n'a été mis en œuvre, ce qui amplifie naturellement l'exposition au risque de baisse lors de chocs de marché importants.</w:t>
      </w:r>
    </w:p>
    <w:p w14:paraId="213C2EA0" w14:textId="77777777" w:rsidR="009F6C6A" w:rsidRPr="009F6C6A" w:rsidRDefault="009F6C6A" w:rsidP="009F6C6A">
      <w:pPr>
        <w:rPr>
          <w:lang w:val="fr-FR"/>
        </w:rPr>
      </w:pPr>
    </w:p>
    <w:p w14:paraId="02519FB4" w14:textId="691FCB85" w:rsidR="00250C3B" w:rsidRDefault="00F608E0" w:rsidP="00F608E0">
      <w:pPr>
        <w:rPr>
          <w:b/>
          <w:bCs/>
          <w:sz w:val="28"/>
          <w:szCs w:val="28"/>
          <w:lang w:val="fr-FR"/>
        </w:rPr>
      </w:pPr>
      <w:r>
        <w:rPr>
          <w:b/>
          <w:bCs/>
          <w:sz w:val="28"/>
          <w:szCs w:val="28"/>
          <w:lang w:val="fr-FR"/>
        </w:rPr>
        <w:t xml:space="preserve">Indicateurs de performance ajustés au </w:t>
      </w:r>
      <w:proofErr w:type="gramStart"/>
      <w:r>
        <w:rPr>
          <w:b/>
          <w:bCs/>
          <w:sz w:val="28"/>
          <w:szCs w:val="28"/>
          <w:lang w:val="fr-FR"/>
        </w:rPr>
        <w:t>risque</w:t>
      </w:r>
      <w:r w:rsidR="00250C3B" w:rsidRPr="00F608E0">
        <w:rPr>
          <w:b/>
          <w:bCs/>
          <w:sz w:val="28"/>
          <w:szCs w:val="28"/>
          <w:lang w:val="fr-FR"/>
        </w:rPr>
        <w:t>:</w:t>
      </w:r>
      <w:proofErr w:type="gramEnd"/>
    </w:p>
    <w:p w14:paraId="43660514" w14:textId="77777777" w:rsidR="009F6C6A" w:rsidRPr="00F608E0" w:rsidRDefault="009F6C6A" w:rsidP="00F608E0">
      <w:pPr>
        <w:rPr>
          <w:b/>
          <w:bCs/>
          <w:sz w:val="28"/>
          <w:szCs w:val="28"/>
          <w:lang w:val="fr-FR"/>
        </w:rPr>
      </w:pPr>
    </w:p>
    <w:tbl>
      <w:tblPr>
        <w:tblStyle w:val="GridTable2-Accent2"/>
        <w:tblW w:w="9967" w:type="dxa"/>
        <w:tblLook w:val="04A0" w:firstRow="1" w:lastRow="0" w:firstColumn="1" w:lastColumn="0" w:noHBand="0" w:noVBand="1"/>
      </w:tblPr>
      <w:tblGrid>
        <w:gridCol w:w="3392"/>
        <w:gridCol w:w="1201"/>
        <w:gridCol w:w="1540"/>
        <w:gridCol w:w="1274"/>
        <w:gridCol w:w="2560"/>
      </w:tblGrid>
      <w:tr w:rsidR="00250C3B" w:rsidRPr="00250C3B" w14:paraId="12E8E861" w14:textId="77777777" w:rsidTr="00250C3B">
        <w:trPr>
          <w:cnfStyle w:val="100000000000" w:firstRow="1" w:lastRow="0" w:firstColumn="0" w:lastColumn="0" w:oddVBand="0" w:evenVBand="0" w:oddHBand="0"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0" w:type="auto"/>
            <w:hideMark/>
          </w:tcPr>
          <w:p w14:paraId="14C206C1" w14:textId="77777777" w:rsidR="00250C3B" w:rsidRPr="00250C3B" w:rsidRDefault="00250C3B" w:rsidP="00250C3B">
            <w:pPr>
              <w:spacing w:after="160" w:line="278" w:lineRule="auto"/>
              <w:rPr>
                <w:sz w:val="28"/>
                <w:szCs w:val="28"/>
              </w:rPr>
            </w:pPr>
            <w:r w:rsidRPr="00250C3B">
              <w:rPr>
                <w:sz w:val="28"/>
                <w:szCs w:val="28"/>
              </w:rPr>
              <w:t>Portfolio</w:t>
            </w:r>
          </w:p>
        </w:tc>
        <w:tc>
          <w:tcPr>
            <w:tcW w:w="0" w:type="auto"/>
            <w:hideMark/>
          </w:tcPr>
          <w:p w14:paraId="7289CC16" w14:textId="74E97F78" w:rsidR="00250C3B" w:rsidRPr="00250C3B" w:rsidRDefault="00F608E0" w:rsidP="00250C3B">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TCAC</w:t>
            </w:r>
          </w:p>
        </w:tc>
        <w:tc>
          <w:tcPr>
            <w:tcW w:w="0" w:type="auto"/>
            <w:hideMark/>
          </w:tcPr>
          <w:p w14:paraId="2B676E1E" w14:textId="072C0AAE" w:rsidR="00250C3B" w:rsidRPr="00250C3B" w:rsidRDefault="00F608E0" w:rsidP="00250C3B">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proofErr w:type="spellStart"/>
            <w:r>
              <w:rPr>
                <w:sz w:val="28"/>
                <w:szCs w:val="28"/>
              </w:rPr>
              <w:t>Volatilité</w:t>
            </w:r>
            <w:proofErr w:type="spellEnd"/>
          </w:p>
        </w:tc>
        <w:tc>
          <w:tcPr>
            <w:tcW w:w="0" w:type="auto"/>
            <w:hideMark/>
          </w:tcPr>
          <w:p w14:paraId="39F82DC5" w14:textId="77777777" w:rsidR="00250C3B" w:rsidRPr="00250C3B" w:rsidRDefault="00250C3B" w:rsidP="00250C3B">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250C3B">
              <w:rPr>
                <w:sz w:val="28"/>
                <w:szCs w:val="28"/>
              </w:rPr>
              <w:t>Sharpe</w:t>
            </w:r>
          </w:p>
        </w:tc>
        <w:tc>
          <w:tcPr>
            <w:tcW w:w="0" w:type="auto"/>
            <w:hideMark/>
          </w:tcPr>
          <w:p w14:paraId="0100B33D" w14:textId="77777777" w:rsidR="00250C3B" w:rsidRPr="00250C3B" w:rsidRDefault="00250C3B" w:rsidP="00250C3B">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250C3B">
              <w:rPr>
                <w:sz w:val="28"/>
                <w:szCs w:val="28"/>
              </w:rPr>
              <w:t>Max Drawdown</w:t>
            </w:r>
          </w:p>
        </w:tc>
      </w:tr>
      <w:tr w:rsidR="00250C3B" w:rsidRPr="00250C3B" w14:paraId="0B01782F" w14:textId="77777777" w:rsidTr="00250C3B">
        <w:trPr>
          <w:cnfStyle w:val="000000100000" w:firstRow="0" w:lastRow="0" w:firstColumn="0" w:lastColumn="0" w:oddVBand="0" w:evenVBand="0" w:oddHBand="1"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0" w:type="auto"/>
            <w:hideMark/>
          </w:tcPr>
          <w:p w14:paraId="0C279414" w14:textId="77777777" w:rsidR="00250C3B" w:rsidRPr="00250C3B" w:rsidRDefault="00250C3B" w:rsidP="00250C3B">
            <w:pPr>
              <w:spacing w:after="160" w:line="278" w:lineRule="auto"/>
              <w:rPr>
                <w:sz w:val="28"/>
                <w:szCs w:val="28"/>
              </w:rPr>
            </w:pPr>
            <w:r w:rsidRPr="00250C3B">
              <w:rPr>
                <w:sz w:val="28"/>
                <w:szCs w:val="28"/>
              </w:rPr>
              <w:t>A – Individual Sharpe</w:t>
            </w:r>
          </w:p>
        </w:tc>
        <w:tc>
          <w:tcPr>
            <w:tcW w:w="0" w:type="auto"/>
            <w:hideMark/>
          </w:tcPr>
          <w:p w14:paraId="65688324" w14:textId="77777777" w:rsidR="00250C3B" w:rsidRPr="00250C3B" w:rsidRDefault="00250C3B" w:rsidP="00250C3B">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50C3B">
              <w:rPr>
                <w:b/>
                <w:bCs/>
                <w:sz w:val="28"/>
                <w:szCs w:val="28"/>
              </w:rPr>
              <w:t>6.48%</w:t>
            </w:r>
          </w:p>
        </w:tc>
        <w:tc>
          <w:tcPr>
            <w:tcW w:w="0" w:type="auto"/>
            <w:hideMark/>
          </w:tcPr>
          <w:p w14:paraId="757BE34A" w14:textId="77777777" w:rsidR="00250C3B" w:rsidRPr="00250C3B" w:rsidRDefault="00250C3B" w:rsidP="00250C3B">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50C3B">
              <w:rPr>
                <w:b/>
                <w:bCs/>
                <w:sz w:val="28"/>
                <w:szCs w:val="28"/>
              </w:rPr>
              <w:t>11.98%</w:t>
            </w:r>
          </w:p>
        </w:tc>
        <w:tc>
          <w:tcPr>
            <w:tcW w:w="0" w:type="auto"/>
            <w:hideMark/>
          </w:tcPr>
          <w:p w14:paraId="2CCB82EC" w14:textId="77777777" w:rsidR="00250C3B" w:rsidRPr="00250C3B" w:rsidRDefault="00250C3B" w:rsidP="00250C3B">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50C3B">
              <w:rPr>
                <w:b/>
                <w:bCs/>
                <w:sz w:val="28"/>
                <w:szCs w:val="28"/>
              </w:rPr>
              <w:t>0.59</w:t>
            </w:r>
          </w:p>
        </w:tc>
        <w:tc>
          <w:tcPr>
            <w:tcW w:w="0" w:type="auto"/>
            <w:hideMark/>
          </w:tcPr>
          <w:p w14:paraId="166A6716" w14:textId="77777777" w:rsidR="00250C3B" w:rsidRPr="00250C3B" w:rsidRDefault="00250C3B" w:rsidP="00250C3B">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50C3B">
              <w:rPr>
                <w:b/>
                <w:bCs/>
                <w:sz w:val="28"/>
                <w:szCs w:val="28"/>
              </w:rPr>
              <w:t>-31.28%</w:t>
            </w:r>
          </w:p>
        </w:tc>
      </w:tr>
      <w:tr w:rsidR="00250C3B" w:rsidRPr="00250C3B" w14:paraId="51A54A3B" w14:textId="77777777" w:rsidTr="00250C3B">
        <w:trPr>
          <w:trHeight w:val="639"/>
        </w:trPr>
        <w:tc>
          <w:tcPr>
            <w:cnfStyle w:val="001000000000" w:firstRow="0" w:lastRow="0" w:firstColumn="1" w:lastColumn="0" w:oddVBand="0" w:evenVBand="0" w:oddHBand="0" w:evenHBand="0" w:firstRowFirstColumn="0" w:firstRowLastColumn="0" w:lastRowFirstColumn="0" w:lastRowLastColumn="0"/>
            <w:tcW w:w="0" w:type="auto"/>
            <w:hideMark/>
          </w:tcPr>
          <w:p w14:paraId="526C5799" w14:textId="77777777" w:rsidR="00250C3B" w:rsidRPr="00250C3B" w:rsidRDefault="00250C3B" w:rsidP="00250C3B">
            <w:pPr>
              <w:spacing w:after="160" w:line="278" w:lineRule="auto"/>
              <w:rPr>
                <w:sz w:val="28"/>
                <w:szCs w:val="28"/>
              </w:rPr>
            </w:pPr>
            <w:r w:rsidRPr="00250C3B">
              <w:rPr>
                <w:sz w:val="28"/>
                <w:szCs w:val="28"/>
              </w:rPr>
              <w:t>B – Risk Parity</w:t>
            </w:r>
          </w:p>
        </w:tc>
        <w:tc>
          <w:tcPr>
            <w:tcW w:w="0" w:type="auto"/>
            <w:hideMark/>
          </w:tcPr>
          <w:p w14:paraId="21696F16" w14:textId="77777777" w:rsidR="00250C3B" w:rsidRPr="00250C3B" w:rsidRDefault="00250C3B" w:rsidP="00250C3B">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50C3B">
              <w:rPr>
                <w:b/>
                <w:bCs/>
                <w:sz w:val="28"/>
                <w:szCs w:val="28"/>
              </w:rPr>
              <w:t>4.55%</w:t>
            </w:r>
          </w:p>
        </w:tc>
        <w:tc>
          <w:tcPr>
            <w:tcW w:w="0" w:type="auto"/>
            <w:hideMark/>
          </w:tcPr>
          <w:p w14:paraId="64D7650C" w14:textId="77777777" w:rsidR="00250C3B" w:rsidRPr="00250C3B" w:rsidRDefault="00250C3B" w:rsidP="00250C3B">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50C3B">
              <w:rPr>
                <w:b/>
                <w:bCs/>
                <w:sz w:val="28"/>
                <w:szCs w:val="28"/>
              </w:rPr>
              <w:t>11.74%</w:t>
            </w:r>
          </w:p>
        </w:tc>
        <w:tc>
          <w:tcPr>
            <w:tcW w:w="0" w:type="auto"/>
            <w:hideMark/>
          </w:tcPr>
          <w:p w14:paraId="364C7732" w14:textId="77777777" w:rsidR="00250C3B" w:rsidRPr="00250C3B" w:rsidRDefault="00250C3B" w:rsidP="00250C3B">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50C3B">
              <w:rPr>
                <w:b/>
                <w:bCs/>
                <w:sz w:val="28"/>
                <w:szCs w:val="28"/>
              </w:rPr>
              <w:t>0.44</w:t>
            </w:r>
          </w:p>
        </w:tc>
        <w:tc>
          <w:tcPr>
            <w:tcW w:w="0" w:type="auto"/>
            <w:hideMark/>
          </w:tcPr>
          <w:p w14:paraId="2E8579FA" w14:textId="77777777" w:rsidR="00250C3B" w:rsidRPr="00250C3B" w:rsidRDefault="00250C3B" w:rsidP="00250C3B">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50C3B">
              <w:rPr>
                <w:b/>
                <w:bCs/>
                <w:sz w:val="28"/>
                <w:szCs w:val="28"/>
              </w:rPr>
              <w:t>-34.65%</w:t>
            </w:r>
          </w:p>
        </w:tc>
      </w:tr>
      <w:tr w:rsidR="00250C3B" w:rsidRPr="00250C3B" w14:paraId="21C16778" w14:textId="77777777" w:rsidTr="00250C3B">
        <w:trPr>
          <w:cnfStyle w:val="000000100000" w:firstRow="0" w:lastRow="0" w:firstColumn="0" w:lastColumn="0" w:oddVBand="0" w:evenVBand="0" w:oddHBand="1"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0" w:type="auto"/>
            <w:hideMark/>
          </w:tcPr>
          <w:p w14:paraId="4D1D8E2D" w14:textId="77777777" w:rsidR="00250C3B" w:rsidRPr="00250C3B" w:rsidRDefault="00250C3B" w:rsidP="00250C3B">
            <w:pPr>
              <w:spacing w:after="160" w:line="278" w:lineRule="auto"/>
              <w:rPr>
                <w:sz w:val="28"/>
                <w:szCs w:val="28"/>
              </w:rPr>
            </w:pPr>
            <w:r w:rsidRPr="00250C3B">
              <w:rPr>
                <w:sz w:val="28"/>
                <w:szCs w:val="28"/>
              </w:rPr>
              <w:t>C – Max Sharpe</w:t>
            </w:r>
          </w:p>
        </w:tc>
        <w:tc>
          <w:tcPr>
            <w:tcW w:w="0" w:type="auto"/>
            <w:hideMark/>
          </w:tcPr>
          <w:p w14:paraId="01E43EE6" w14:textId="77777777" w:rsidR="00250C3B" w:rsidRPr="00250C3B" w:rsidRDefault="00250C3B" w:rsidP="00250C3B">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50C3B">
              <w:rPr>
                <w:b/>
                <w:bCs/>
                <w:sz w:val="28"/>
                <w:szCs w:val="28"/>
              </w:rPr>
              <w:t>8.15%</w:t>
            </w:r>
          </w:p>
        </w:tc>
        <w:tc>
          <w:tcPr>
            <w:tcW w:w="0" w:type="auto"/>
            <w:hideMark/>
          </w:tcPr>
          <w:p w14:paraId="2C4DBC45" w14:textId="77777777" w:rsidR="00250C3B" w:rsidRPr="00250C3B" w:rsidRDefault="00250C3B" w:rsidP="00250C3B">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50C3B">
              <w:rPr>
                <w:b/>
                <w:bCs/>
                <w:sz w:val="28"/>
                <w:szCs w:val="28"/>
              </w:rPr>
              <w:t>13.55%</w:t>
            </w:r>
          </w:p>
        </w:tc>
        <w:tc>
          <w:tcPr>
            <w:tcW w:w="0" w:type="auto"/>
            <w:hideMark/>
          </w:tcPr>
          <w:p w14:paraId="3D3C7E2F" w14:textId="77777777" w:rsidR="00250C3B" w:rsidRPr="00250C3B" w:rsidRDefault="00250C3B" w:rsidP="00250C3B">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50C3B">
              <w:rPr>
                <w:b/>
                <w:bCs/>
                <w:sz w:val="28"/>
                <w:szCs w:val="28"/>
              </w:rPr>
              <w:t>0.65</w:t>
            </w:r>
          </w:p>
        </w:tc>
        <w:tc>
          <w:tcPr>
            <w:tcW w:w="0" w:type="auto"/>
            <w:hideMark/>
          </w:tcPr>
          <w:p w14:paraId="54C196C2" w14:textId="77777777" w:rsidR="00250C3B" w:rsidRPr="00250C3B" w:rsidRDefault="00250C3B" w:rsidP="00250C3B">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50C3B">
              <w:rPr>
                <w:b/>
                <w:bCs/>
                <w:sz w:val="28"/>
                <w:szCs w:val="28"/>
              </w:rPr>
              <w:t>-29.36%</w:t>
            </w:r>
          </w:p>
        </w:tc>
      </w:tr>
      <w:tr w:rsidR="00250C3B" w:rsidRPr="00250C3B" w14:paraId="2118B44A" w14:textId="77777777" w:rsidTr="00250C3B">
        <w:trPr>
          <w:trHeight w:val="658"/>
        </w:trPr>
        <w:tc>
          <w:tcPr>
            <w:cnfStyle w:val="001000000000" w:firstRow="0" w:lastRow="0" w:firstColumn="1" w:lastColumn="0" w:oddVBand="0" w:evenVBand="0" w:oddHBand="0" w:evenHBand="0" w:firstRowFirstColumn="0" w:firstRowLastColumn="0" w:lastRowFirstColumn="0" w:lastRowLastColumn="0"/>
            <w:tcW w:w="0" w:type="auto"/>
            <w:hideMark/>
          </w:tcPr>
          <w:p w14:paraId="13AB3C04" w14:textId="77777777" w:rsidR="00250C3B" w:rsidRPr="00250C3B" w:rsidRDefault="00250C3B" w:rsidP="00250C3B">
            <w:pPr>
              <w:spacing w:after="160" w:line="278" w:lineRule="auto"/>
              <w:rPr>
                <w:sz w:val="28"/>
                <w:szCs w:val="28"/>
              </w:rPr>
            </w:pPr>
            <w:r w:rsidRPr="00250C3B">
              <w:rPr>
                <w:sz w:val="28"/>
                <w:szCs w:val="28"/>
              </w:rPr>
              <w:t>D – Hybrid</w:t>
            </w:r>
          </w:p>
        </w:tc>
        <w:tc>
          <w:tcPr>
            <w:tcW w:w="0" w:type="auto"/>
            <w:hideMark/>
          </w:tcPr>
          <w:p w14:paraId="2B2A1BA1" w14:textId="77777777" w:rsidR="00250C3B" w:rsidRPr="00250C3B" w:rsidRDefault="00250C3B" w:rsidP="00250C3B">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50C3B">
              <w:rPr>
                <w:b/>
                <w:bCs/>
                <w:sz w:val="28"/>
                <w:szCs w:val="28"/>
              </w:rPr>
              <w:t>6.53%</w:t>
            </w:r>
          </w:p>
        </w:tc>
        <w:tc>
          <w:tcPr>
            <w:tcW w:w="0" w:type="auto"/>
            <w:hideMark/>
          </w:tcPr>
          <w:p w14:paraId="0972AF7B" w14:textId="77777777" w:rsidR="00250C3B" w:rsidRPr="00250C3B" w:rsidRDefault="00250C3B" w:rsidP="00250C3B">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50C3B">
              <w:rPr>
                <w:b/>
                <w:bCs/>
                <w:sz w:val="28"/>
                <w:szCs w:val="28"/>
              </w:rPr>
              <w:t>11.97%</w:t>
            </w:r>
          </w:p>
        </w:tc>
        <w:tc>
          <w:tcPr>
            <w:tcW w:w="0" w:type="auto"/>
            <w:hideMark/>
          </w:tcPr>
          <w:p w14:paraId="0FC2B9CF" w14:textId="77777777" w:rsidR="00250C3B" w:rsidRPr="00250C3B" w:rsidRDefault="00250C3B" w:rsidP="00250C3B">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50C3B">
              <w:rPr>
                <w:b/>
                <w:bCs/>
                <w:sz w:val="28"/>
                <w:szCs w:val="28"/>
              </w:rPr>
              <w:t>0.59</w:t>
            </w:r>
          </w:p>
        </w:tc>
        <w:tc>
          <w:tcPr>
            <w:tcW w:w="0" w:type="auto"/>
            <w:hideMark/>
          </w:tcPr>
          <w:p w14:paraId="3C5EEF8C" w14:textId="77777777" w:rsidR="00250C3B" w:rsidRPr="00250C3B" w:rsidRDefault="00250C3B" w:rsidP="00250C3B">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50C3B">
              <w:rPr>
                <w:b/>
                <w:bCs/>
                <w:sz w:val="28"/>
                <w:szCs w:val="28"/>
              </w:rPr>
              <w:t>-31.53%</w:t>
            </w:r>
          </w:p>
        </w:tc>
      </w:tr>
    </w:tbl>
    <w:p w14:paraId="6DA57DA3" w14:textId="77777777" w:rsidR="00250C3B" w:rsidRPr="00B92007" w:rsidRDefault="00250C3B" w:rsidP="00250C3B">
      <w:pPr>
        <w:rPr>
          <w:b/>
          <w:bCs/>
          <w:sz w:val="28"/>
          <w:szCs w:val="28"/>
        </w:rPr>
      </w:pPr>
    </w:p>
    <w:p w14:paraId="69DAC94A" w14:textId="76565A26" w:rsidR="00F608E0" w:rsidRPr="00F608E0" w:rsidRDefault="00F608E0" w:rsidP="00F608E0">
      <w:pPr>
        <w:rPr>
          <w:lang w:val="fr-FR"/>
        </w:rPr>
      </w:pPr>
      <w:r w:rsidRPr="00F608E0">
        <w:rPr>
          <w:lang w:val="fr-FR"/>
        </w:rPr>
        <w:t xml:space="preserve">Le </w:t>
      </w:r>
      <w:r w:rsidRPr="00F608E0">
        <w:rPr>
          <w:b/>
          <w:bCs/>
          <w:lang w:val="fr-FR"/>
        </w:rPr>
        <w:t>portefeuille Sharpe maximal (C)</w:t>
      </w:r>
      <w:r w:rsidRPr="00F608E0">
        <w:rPr>
          <w:lang w:val="fr-FR"/>
        </w:rPr>
        <w:t xml:space="preserve"> affiche le TCAC et le ratio de Sharpe les plus élevés, confirmant ainsi sa performance supérieure ajustée au risque sur la période étudiée. </w:t>
      </w:r>
      <w:r w:rsidRPr="00F608E0">
        <w:rPr>
          <w:b/>
          <w:bCs/>
          <w:lang w:val="fr-FR"/>
        </w:rPr>
        <w:t>Le portefeuille hybride (D)</w:t>
      </w:r>
      <w:r w:rsidRPr="00F608E0">
        <w:rPr>
          <w:lang w:val="fr-FR"/>
        </w:rPr>
        <w:t xml:space="preserve"> offre une performance compétitive avec une volatilité moindre, renforçant son rôle d'alternative plus équilibrée.</w:t>
      </w:r>
    </w:p>
    <w:p w14:paraId="09690935" w14:textId="77777777" w:rsidR="00F608E0" w:rsidRPr="00F608E0" w:rsidRDefault="00F608E0" w:rsidP="00F608E0">
      <w:pPr>
        <w:rPr>
          <w:lang w:val="fr-FR"/>
        </w:rPr>
      </w:pPr>
    </w:p>
    <w:p w14:paraId="3CF019F3" w14:textId="1D92EA42" w:rsidR="00B92007" w:rsidRPr="00F608E0" w:rsidRDefault="00F608E0" w:rsidP="00F608E0">
      <w:pPr>
        <w:rPr>
          <w:b/>
          <w:bCs/>
          <w:u w:val="single"/>
          <w:lang w:val="fr-FR"/>
        </w:rPr>
      </w:pPr>
      <w:r w:rsidRPr="00F608E0">
        <w:rPr>
          <w:b/>
          <w:bCs/>
          <w:lang w:val="fr-FR"/>
        </w:rPr>
        <w:t>Le portefeuille à parité de risque (B)</w:t>
      </w:r>
      <w:r w:rsidRPr="00F608E0">
        <w:rPr>
          <w:lang w:val="fr-FR"/>
        </w:rPr>
        <w:t>, bien que théoriquement attrayant, sous-performe sur la plupart des indicateurs dans ce contexte de marché spécifique, ce qui suggère des avantages de diversification limités au sein d'un univers d'actions concentré.</w:t>
      </w:r>
    </w:p>
    <w:p w14:paraId="7EF405D2" w14:textId="5EC58F19" w:rsidR="00B92007" w:rsidRPr="00F608E0" w:rsidRDefault="00B92007" w:rsidP="00B92007">
      <w:pPr>
        <w:rPr>
          <w:lang w:val="fr-FR"/>
        </w:rPr>
      </w:pPr>
    </w:p>
    <w:p w14:paraId="24F2E183" w14:textId="4D12E3D0" w:rsidR="00B92007" w:rsidRPr="00F608E0" w:rsidRDefault="00B92007" w:rsidP="00B92007">
      <w:pPr>
        <w:ind w:left="360"/>
        <w:rPr>
          <w:lang w:val="fr-FR"/>
        </w:rPr>
      </w:pPr>
    </w:p>
    <w:p w14:paraId="65C0D798" w14:textId="77777777" w:rsidR="009F6C6A" w:rsidRDefault="009F6C6A" w:rsidP="00F66B96">
      <w:pPr>
        <w:pStyle w:val="Title"/>
      </w:pPr>
      <w:bookmarkStart w:id="61" w:name="_Toc216541083"/>
    </w:p>
    <w:p w14:paraId="6F9C9F81" w14:textId="77777777" w:rsidR="009F6C6A" w:rsidRDefault="009F6C6A" w:rsidP="00F66B96">
      <w:pPr>
        <w:pStyle w:val="Title"/>
      </w:pPr>
    </w:p>
    <w:p w14:paraId="23445E7B" w14:textId="77777777" w:rsidR="009F6C6A" w:rsidRDefault="009F6C6A" w:rsidP="00F66B96">
      <w:pPr>
        <w:pStyle w:val="Title"/>
      </w:pPr>
    </w:p>
    <w:p w14:paraId="605CC03F" w14:textId="77777777" w:rsidR="009F6C6A" w:rsidRDefault="009F6C6A" w:rsidP="00F66B96">
      <w:pPr>
        <w:pStyle w:val="Title"/>
      </w:pPr>
    </w:p>
    <w:p w14:paraId="260699C4" w14:textId="77777777" w:rsidR="009F6C6A" w:rsidRDefault="009F6C6A" w:rsidP="00F66B96">
      <w:pPr>
        <w:pStyle w:val="Title"/>
      </w:pPr>
    </w:p>
    <w:p w14:paraId="1DFE792E" w14:textId="77777777" w:rsidR="009F6C6A" w:rsidRDefault="009F6C6A" w:rsidP="00F66B96">
      <w:pPr>
        <w:pStyle w:val="Title"/>
      </w:pPr>
    </w:p>
    <w:p w14:paraId="100BF7C6" w14:textId="77777777" w:rsidR="009F6C6A" w:rsidRDefault="009F6C6A" w:rsidP="00F66B96">
      <w:pPr>
        <w:pStyle w:val="Title"/>
      </w:pPr>
    </w:p>
    <w:p w14:paraId="7A388683" w14:textId="77777777" w:rsidR="009F6C6A" w:rsidRDefault="009F6C6A" w:rsidP="00F66B96">
      <w:pPr>
        <w:pStyle w:val="Title"/>
      </w:pPr>
    </w:p>
    <w:p w14:paraId="5BDC260E" w14:textId="0B16E018" w:rsidR="0032785A" w:rsidRPr="00982465" w:rsidRDefault="00215803" w:rsidP="00F66B96">
      <w:pPr>
        <w:pStyle w:val="Title"/>
        <w:rPr>
          <w:lang w:val="fr-FR"/>
        </w:rPr>
      </w:pPr>
      <w:bookmarkStart w:id="62" w:name="_Toc216563160"/>
      <w:bookmarkStart w:id="63" w:name="_Toc216563385"/>
      <w:r w:rsidRPr="00F66B96">
        <w:lastRenderedPageBreak/>
        <w:t>Conclusion</w:t>
      </w:r>
      <w:r w:rsidRPr="00982465">
        <w:rPr>
          <w:lang w:val="fr-FR"/>
        </w:rPr>
        <w:t>:</w:t>
      </w:r>
      <w:bookmarkEnd w:id="61"/>
      <w:bookmarkEnd w:id="62"/>
      <w:bookmarkEnd w:id="63"/>
    </w:p>
    <w:p w14:paraId="51A04572" w14:textId="77777777" w:rsidR="00982465" w:rsidRPr="00982465" w:rsidRDefault="00982465" w:rsidP="001750D1">
      <w:pPr>
        <w:rPr>
          <w:lang w:val="fr-FR"/>
        </w:rPr>
      </w:pPr>
      <w:r w:rsidRPr="00982465">
        <w:rPr>
          <w:lang w:val="fr-FR"/>
        </w:rPr>
        <w:t>Cette étude a exploré plusieurs approches pratiques de construction de portefeuille appliquées à un univers concentré d'actions marocaines à forte capitalisation. En comparant les stratégies à pondération égale, basées sur le ratio de Sharpe, à parité de risque, à Sharpe maximal et hybrides, l'analyse met en évidence comment différentes philosophies d'allocation se traduisent par des profils risque-rendement distincts.</w:t>
      </w:r>
    </w:p>
    <w:p w14:paraId="212D330C" w14:textId="77777777" w:rsidR="00982465" w:rsidRDefault="00982465" w:rsidP="001750D1">
      <w:pPr>
        <w:rPr>
          <w:lang w:val="fr-FR"/>
        </w:rPr>
      </w:pPr>
      <w:r w:rsidRPr="00982465">
        <w:rPr>
          <w:lang w:val="fr-FR"/>
        </w:rPr>
        <w:t>Parmi les stratégies testées, le portefeuille à Sharpe maximal offre la meilleure performance à long terme et les rendements ajustés au risque les plus élevés, tandis que le portefeuille hybride propose une alternative plus équilibrée en combinant diversification et optimisation du rendement. Les approches défensives telles que la parité de risque semblent moins efficaces dans ce contexte de marché en raison d'une forte corrélation systémique et de possibilités de diversification limitées.</w:t>
      </w:r>
    </w:p>
    <w:p w14:paraId="5650DBD2" w14:textId="77777777" w:rsidR="00982465" w:rsidRPr="00982465" w:rsidRDefault="00982465" w:rsidP="001750D1">
      <w:pPr>
        <w:rPr>
          <w:rFonts w:asciiTheme="minorHAnsi" w:hAnsiTheme="minorHAnsi"/>
          <w:lang w:val="fr-FR"/>
        </w:rPr>
      </w:pPr>
      <w:bookmarkStart w:id="64" w:name="_Toc216541084"/>
      <w:bookmarkStart w:id="65" w:name="_Toc216563161"/>
      <w:r w:rsidRPr="00982465">
        <w:rPr>
          <w:rFonts w:asciiTheme="minorHAnsi" w:hAnsiTheme="minorHAnsi"/>
          <w:lang w:val="fr-FR"/>
        </w:rPr>
        <w:t>Globalement, les résultats confirment que les choix de construction de portefeuille sont aussi importants que la sélection des actifs, notamment sur les marchés émergents et concentrés. Bien que les pertes restent significatives en gestion passive, le cadre proposé offre une base solide pour des améliorations ultérieures, telles que la gestion dynamique des risques, la détection des régimes de marché et des modèles d'allocation plus avancés.</w:t>
      </w:r>
      <w:bookmarkEnd w:id="65"/>
    </w:p>
    <w:p w14:paraId="770DF8F4" w14:textId="77777777" w:rsidR="00982465" w:rsidRPr="00982465" w:rsidRDefault="00982465" w:rsidP="001750D1">
      <w:pPr>
        <w:rPr>
          <w:rFonts w:asciiTheme="minorHAnsi" w:hAnsiTheme="minorHAnsi"/>
          <w:lang w:val="fr-FR"/>
        </w:rPr>
      </w:pPr>
    </w:p>
    <w:p w14:paraId="7524E953" w14:textId="77777777" w:rsidR="00982465" w:rsidRPr="00982465" w:rsidRDefault="00982465" w:rsidP="001750D1">
      <w:pPr>
        <w:rPr>
          <w:rFonts w:asciiTheme="minorHAnsi" w:hAnsiTheme="minorHAnsi"/>
          <w:b/>
          <w:lang w:val="fr-FR"/>
        </w:rPr>
      </w:pPr>
      <w:bookmarkStart w:id="66" w:name="_Toc216563162"/>
      <w:r w:rsidRPr="00982465">
        <w:rPr>
          <w:rFonts w:asciiTheme="minorHAnsi" w:hAnsiTheme="minorHAnsi"/>
          <w:lang w:val="fr-FR"/>
        </w:rPr>
        <w:t>Ce projet démontre comment les techniques quantitatives de gestion de portefeuille peuvent être appliquées de manière pragmatique à des données de marché réelles, offrant des informations exploitables tout en faisant preuve de transparence quant à leurs limites.</w:t>
      </w:r>
      <w:bookmarkEnd w:id="66"/>
    </w:p>
    <w:p w14:paraId="03D9B18A" w14:textId="77777777" w:rsidR="00982465" w:rsidRDefault="00982465" w:rsidP="00F66B96">
      <w:pPr>
        <w:pStyle w:val="Title"/>
        <w:rPr>
          <w:lang w:val="fr-FR"/>
        </w:rPr>
      </w:pPr>
      <w:bookmarkStart w:id="67" w:name="_Toc216563163"/>
      <w:bookmarkStart w:id="68" w:name="_Toc216563386"/>
      <w:bookmarkEnd w:id="64"/>
      <w:r w:rsidRPr="00982465">
        <w:rPr>
          <w:lang w:val="fr-FR"/>
        </w:rPr>
        <w:t>Améliorations futures :</w:t>
      </w:r>
      <w:bookmarkEnd w:id="67"/>
      <w:bookmarkEnd w:id="68"/>
    </w:p>
    <w:p w14:paraId="6EEDC570" w14:textId="77777777" w:rsidR="00982465" w:rsidRPr="00982465" w:rsidRDefault="00982465" w:rsidP="00982465">
      <w:pPr>
        <w:pStyle w:val="ListParagraph"/>
        <w:numPr>
          <w:ilvl w:val="0"/>
          <w:numId w:val="23"/>
        </w:numPr>
        <w:rPr>
          <w:rFonts w:asciiTheme="majorHAnsi" w:eastAsiaTheme="majorEastAsia" w:hAnsiTheme="majorHAnsi" w:cstheme="majorBidi"/>
          <w:b/>
          <w:spacing w:val="-10"/>
          <w:kern w:val="28"/>
          <w:szCs w:val="48"/>
          <w:lang w:val="fr-FR"/>
        </w:rPr>
      </w:pPr>
      <w:r w:rsidRPr="00982465">
        <w:rPr>
          <w:rFonts w:eastAsiaTheme="majorEastAsia" w:cstheme="majorBidi"/>
          <w:b/>
          <w:spacing w:val="-10"/>
          <w:kern w:val="28"/>
          <w:szCs w:val="48"/>
          <w:lang w:val="fr-FR"/>
        </w:rPr>
        <w:t>Estimation dynamique de la volatilité (GARCH)</w:t>
      </w:r>
    </w:p>
    <w:p w14:paraId="6350E88C" w14:textId="3B4F5E9F" w:rsidR="00982465" w:rsidRPr="00982465" w:rsidRDefault="00982465" w:rsidP="00982465">
      <w:pPr>
        <w:pStyle w:val="ListParagraph"/>
        <w:numPr>
          <w:ilvl w:val="0"/>
          <w:numId w:val="23"/>
        </w:numPr>
        <w:rPr>
          <w:rFonts w:asciiTheme="majorHAnsi" w:eastAsiaTheme="majorEastAsia" w:hAnsiTheme="majorHAnsi" w:cstheme="majorBidi"/>
          <w:b/>
          <w:spacing w:val="-10"/>
          <w:kern w:val="28"/>
          <w:szCs w:val="48"/>
          <w:lang w:val="fr-FR"/>
        </w:rPr>
      </w:pPr>
      <w:r w:rsidRPr="00982465">
        <w:rPr>
          <w:rFonts w:eastAsiaTheme="majorEastAsia" w:cstheme="majorBidi"/>
          <w:b/>
          <w:spacing w:val="-10"/>
          <w:kern w:val="28"/>
          <w:szCs w:val="48"/>
          <w:lang w:val="fr-FR"/>
        </w:rPr>
        <w:t>Allocation basée sur les régimes</w:t>
      </w:r>
    </w:p>
    <w:p w14:paraId="1AD9115F" w14:textId="77777777" w:rsidR="00982465" w:rsidRPr="00982465" w:rsidRDefault="00982465" w:rsidP="00982465">
      <w:pPr>
        <w:pStyle w:val="ListParagraph"/>
        <w:numPr>
          <w:ilvl w:val="0"/>
          <w:numId w:val="23"/>
        </w:numPr>
        <w:rPr>
          <w:rFonts w:eastAsiaTheme="majorEastAsia" w:cstheme="majorBidi"/>
          <w:b/>
          <w:spacing w:val="-10"/>
          <w:kern w:val="28"/>
          <w:szCs w:val="48"/>
          <w:lang w:val="fr-FR"/>
        </w:rPr>
      </w:pPr>
      <w:r w:rsidRPr="00982465">
        <w:rPr>
          <w:rFonts w:eastAsiaTheme="majorEastAsia" w:cstheme="majorBidi"/>
          <w:b/>
          <w:spacing w:val="-10"/>
          <w:kern w:val="28"/>
          <w:szCs w:val="48"/>
          <w:lang w:val="fr-FR"/>
        </w:rPr>
        <w:t>Coûts de transaction et rotation du portefeuille</w:t>
      </w:r>
    </w:p>
    <w:p w14:paraId="41E7FBDA" w14:textId="0C4DAC56" w:rsidR="00ED00C3" w:rsidRPr="00982465" w:rsidRDefault="00982465" w:rsidP="00982465">
      <w:pPr>
        <w:pStyle w:val="ListParagraph"/>
        <w:numPr>
          <w:ilvl w:val="0"/>
          <w:numId w:val="23"/>
        </w:numPr>
        <w:rPr>
          <w:rFonts w:eastAsiaTheme="majorEastAsia" w:cstheme="majorBidi"/>
          <w:b/>
          <w:spacing w:val="-10"/>
          <w:kern w:val="28"/>
          <w:szCs w:val="48"/>
          <w:lang w:val="fr-FR"/>
        </w:rPr>
      </w:pPr>
      <w:r w:rsidRPr="00982465">
        <w:rPr>
          <w:rFonts w:eastAsiaTheme="majorEastAsia" w:cstheme="majorBidi"/>
          <w:b/>
          <w:spacing w:val="-10"/>
          <w:kern w:val="28"/>
          <w:szCs w:val="48"/>
        </w:rPr>
        <w:t>Cadre de Black-</w:t>
      </w:r>
      <w:proofErr w:type="spellStart"/>
      <w:r w:rsidRPr="00982465">
        <w:rPr>
          <w:rFonts w:eastAsiaTheme="majorEastAsia" w:cstheme="majorBidi"/>
          <w:b/>
          <w:spacing w:val="-10"/>
          <w:kern w:val="28"/>
          <w:szCs w:val="48"/>
        </w:rPr>
        <w:t>Litterman</w:t>
      </w:r>
      <w:proofErr w:type="spellEnd"/>
    </w:p>
    <w:p w14:paraId="309C4B9B" w14:textId="77777777" w:rsidR="00ED00C3" w:rsidRPr="00215803" w:rsidRDefault="00ED00C3" w:rsidP="00ED00C3">
      <w:pPr>
        <w:rPr>
          <w:b/>
          <w:bCs/>
          <w:sz w:val="32"/>
          <w:szCs w:val="32"/>
        </w:rPr>
      </w:pPr>
    </w:p>
    <w:p w14:paraId="4A5E64FE" w14:textId="77777777" w:rsidR="00ED00C3" w:rsidRPr="00215803" w:rsidRDefault="00ED00C3" w:rsidP="00215803"/>
    <w:p w14:paraId="39E57B41" w14:textId="77777777" w:rsidR="00215803" w:rsidRDefault="00215803" w:rsidP="0032785A"/>
    <w:p w14:paraId="18227B86" w14:textId="77777777" w:rsidR="0032785A" w:rsidRPr="0032785A" w:rsidRDefault="0032785A" w:rsidP="0032785A"/>
    <w:p w14:paraId="124F1E89" w14:textId="36C91295" w:rsidR="00CE7229" w:rsidRPr="00CE7229" w:rsidRDefault="00CE7229" w:rsidP="00CE7229">
      <w:pPr>
        <w:rPr>
          <w:sz w:val="28"/>
          <w:szCs w:val="28"/>
        </w:rPr>
      </w:pPr>
    </w:p>
    <w:p w14:paraId="61659806" w14:textId="204F2882" w:rsidR="00D10989" w:rsidRPr="00704212" w:rsidRDefault="00D10989" w:rsidP="000025F5"/>
    <w:sectPr w:rsidR="00D10989" w:rsidRPr="00704212" w:rsidSect="00FB18F3">
      <w:headerReference w:type="even" r:id="rId23"/>
      <w:headerReference w:type="default" r:id="rId24"/>
      <w:footerReference w:type="default" r:id="rId25"/>
      <w:headerReference w:type="first" r:id="rId2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33A47" w14:textId="77777777" w:rsidR="00DB6884" w:rsidRDefault="00DB6884" w:rsidP="007D68E1">
      <w:pPr>
        <w:spacing w:line="240" w:lineRule="auto"/>
      </w:pPr>
      <w:r>
        <w:separator/>
      </w:r>
    </w:p>
  </w:endnote>
  <w:endnote w:type="continuationSeparator" w:id="0">
    <w:p w14:paraId="494283C3" w14:textId="77777777" w:rsidR="00DB6884" w:rsidRDefault="00DB6884" w:rsidP="007D68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754693"/>
      <w:docPartObj>
        <w:docPartGallery w:val="Page Numbers (Bottom of Page)"/>
        <w:docPartUnique/>
      </w:docPartObj>
    </w:sdtPr>
    <w:sdtEndPr>
      <w:rPr>
        <w:noProof/>
      </w:rPr>
    </w:sdtEndPr>
    <w:sdtContent>
      <w:p w14:paraId="51324D28" w14:textId="0FBD80B8" w:rsidR="009D1174" w:rsidRDefault="009D11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50F585" w14:textId="77777777" w:rsidR="00FB18F3" w:rsidRDefault="00FB1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D01AD" w14:textId="77777777" w:rsidR="00DB6884" w:rsidRDefault="00DB6884" w:rsidP="007D68E1">
      <w:pPr>
        <w:spacing w:line="240" w:lineRule="auto"/>
      </w:pPr>
      <w:r>
        <w:separator/>
      </w:r>
    </w:p>
  </w:footnote>
  <w:footnote w:type="continuationSeparator" w:id="0">
    <w:p w14:paraId="1FFCB7FC" w14:textId="77777777" w:rsidR="00DB6884" w:rsidRDefault="00DB6884" w:rsidP="007D68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0DD89" w14:textId="3F2717C3" w:rsidR="00FB18F3" w:rsidRDefault="00000000">
    <w:pPr>
      <w:pStyle w:val="Header"/>
    </w:pPr>
    <w:r>
      <w:rPr>
        <w:noProof/>
      </w:rPr>
      <w:pict w14:anchorId="59C767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686110" o:spid="_x0000_s1026" type="#_x0000_t75" style="position:absolute;margin-left:0;margin-top:0;width:363pt;height:362.25pt;z-index:-251657216;mso-position-horizontal:center;mso-position-horizontal-relative:margin;mso-position-vertical:center;mso-position-vertical-relative:margin" o:allowincell="f">
          <v:imagedata r:id="rId1" o:title="Screenshot_2025-01-30_181010-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7DE45" w14:textId="51D608BF" w:rsidR="00187740" w:rsidRPr="00187740" w:rsidRDefault="00000000" w:rsidP="00187740">
    <w:pPr>
      <w:pStyle w:val="Header"/>
      <w:jc w:val="center"/>
      <w:rPr>
        <w:b/>
        <w:bCs/>
        <w:sz w:val="20"/>
        <w:szCs w:val="20"/>
      </w:rPr>
    </w:pPr>
    <w:r>
      <w:rPr>
        <w:b/>
        <w:bCs/>
        <w:noProof/>
        <w:sz w:val="20"/>
        <w:szCs w:val="20"/>
      </w:rPr>
      <w:pict w14:anchorId="1B1A61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686111" o:spid="_x0000_s1027" type="#_x0000_t75" style="position:absolute;left:0;text-align:left;margin-left:0;margin-top:0;width:363pt;height:362.25pt;z-index:-251656192;mso-position-horizontal:center;mso-position-horizontal-relative:margin;mso-position-vertical:center;mso-position-vertical-relative:margin" o:allowincell="f">
          <v:imagedata r:id="rId1" o:title="Screenshot_2025-01-30_181010-removebg-preview" gain="19661f" blacklevel="22938f"/>
          <w10:wrap anchorx="margin" anchory="margin"/>
        </v:shape>
      </w:pict>
    </w:r>
    <w:r w:rsidR="00187740" w:rsidRPr="00187740">
      <w:rPr>
        <w:b/>
        <w:bCs/>
        <w:sz w:val="20"/>
        <w:szCs w:val="20"/>
      </w:rPr>
      <w:t xml:space="preserve">TRADINGLIONS Research </w:t>
    </w:r>
    <w:r w:rsidR="00187740">
      <w:rPr>
        <w:b/>
        <w:bCs/>
        <w:sz w:val="20"/>
        <w:szCs w:val="20"/>
      </w:rPr>
      <w:t>|</w:t>
    </w:r>
    <w:r w:rsidR="00187740" w:rsidRPr="00187740">
      <w:rPr>
        <w:b/>
        <w:bCs/>
        <w:sz w:val="20"/>
        <w:szCs w:val="20"/>
      </w:rPr>
      <w:t xml:space="preserve"> Analyst: ELBEJJAJ Saadallah | Quant Portfolio Construction Reports</w:t>
    </w:r>
  </w:p>
  <w:p w14:paraId="4C56AA9D" w14:textId="4A914383" w:rsidR="007D68E1" w:rsidRDefault="007D68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5BD2F" w14:textId="7829A6B0" w:rsidR="00FB18F3" w:rsidRDefault="00000000">
    <w:pPr>
      <w:pStyle w:val="Header"/>
    </w:pPr>
    <w:r>
      <w:rPr>
        <w:noProof/>
      </w:rPr>
      <w:pict w14:anchorId="70EC95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686109" o:spid="_x0000_s1025" type="#_x0000_t75" style="position:absolute;margin-left:0;margin-top:0;width:363pt;height:362.25pt;z-index:-251658240;mso-position-horizontal:center;mso-position-horizontal-relative:margin;mso-position-vertical:center;mso-position-vertical-relative:margin" o:allowincell="f">
          <v:imagedata r:id="rId1" o:title="Screenshot_2025-01-30_181010-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7D44"/>
    <w:multiLevelType w:val="hybridMultilevel"/>
    <w:tmpl w:val="618CA58C"/>
    <w:lvl w:ilvl="0" w:tplc="7E9A70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062149"/>
    <w:multiLevelType w:val="hybridMultilevel"/>
    <w:tmpl w:val="BA18BE14"/>
    <w:lvl w:ilvl="0" w:tplc="4DF085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4D1211"/>
    <w:multiLevelType w:val="hybridMultilevel"/>
    <w:tmpl w:val="DB1667DA"/>
    <w:lvl w:ilvl="0" w:tplc="AA32F2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8151B7"/>
    <w:multiLevelType w:val="hybridMultilevel"/>
    <w:tmpl w:val="61488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F25DE"/>
    <w:multiLevelType w:val="hybridMultilevel"/>
    <w:tmpl w:val="D9C4ECC6"/>
    <w:lvl w:ilvl="0" w:tplc="340C05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F31DE3"/>
    <w:multiLevelType w:val="hybridMultilevel"/>
    <w:tmpl w:val="CBC28F0A"/>
    <w:lvl w:ilvl="0" w:tplc="F45ABA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3F32EF"/>
    <w:multiLevelType w:val="hybridMultilevel"/>
    <w:tmpl w:val="7786E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4A3D5A"/>
    <w:multiLevelType w:val="hybridMultilevel"/>
    <w:tmpl w:val="EE34D008"/>
    <w:lvl w:ilvl="0" w:tplc="15CE00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19E462E"/>
    <w:multiLevelType w:val="hybridMultilevel"/>
    <w:tmpl w:val="29E23510"/>
    <w:lvl w:ilvl="0" w:tplc="D13EDD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59B3C4B"/>
    <w:multiLevelType w:val="multilevel"/>
    <w:tmpl w:val="9642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D2D72"/>
    <w:multiLevelType w:val="multilevel"/>
    <w:tmpl w:val="4C56EAF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04E2E87"/>
    <w:multiLevelType w:val="hybridMultilevel"/>
    <w:tmpl w:val="080C394A"/>
    <w:lvl w:ilvl="0" w:tplc="6F581B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B65909"/>
    <w:multiLevelType w:val="hybridMultilevel"/>
    <w:tmpl w:val="30E64AE6"/>
    <w:lvl w:ilvl="0" w:tplc="A8A8C0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7D13BD"/>
    <w:multiLevelType w:val="hybridMultilevel"/>
    <w:tmpl w:val="F0EA00AC"/>
    <w:lvl w:ilvl="0" w:tplc="97B6C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C977FC"/>
    <w:multiLevelType w:val="hybridMultilevel"/>
    <w:tmpl w:val="138056E6"/>
    <w:lvl w:ilvl="0" w:tplc="14F698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E42802"/>
    <w:multiLevelType w:val="hybridMultilevel"/>
    <w:tmpl w:val="AA2CDC3E"/>
    <w:lvl w:ilvl="0" w:tplc="3EC8F2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F035AFA"/>
    <w:multiLevelType w:val="hybridMultilevel"/>
    <w:tmpl w:val="6B38C6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AE4A87"/>
    <w:multiLevelType w:val="hybridMultilevel"/>
    <w:tmpl w:val="8146FBD2"/>
    <w:lvl w:ilvl="0" w:tplc="6638F0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A15F78"/>
    <w:multiLevelType w:val="hybridMultilevel"/>
    <w:tmpl w:val="AC6056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0336FB"/>
    <w:multiLevelType w:val="hybridMultilevel"/>
    <w:tmpl w:val="E05A757C"/>
    <w:lvl w:ilvl="0" w:tplc="FD5E82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F459DC"/>
    <w:multiLevelType w:val="hybridMultilevel"/>
    <w:tmpl w:val="0FE2B958"/>
    <w:lvl w:ilvl="0" w:tplc="D7126B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7F66A17"/>
    <w:multiLevelType w:val="hybridMultilevel"/>
    <w:tmpl w:val="8A36C5C6"/>
    <w:lvl w:ilvl="0" w:tplc="9E12B1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A0743AA"/>
    <w:multiLevelType w:val="multilevel"/>
    <w:tmpl w:val="3DA44B86"/>
    <w:lvl w:ilvl="0">
      <w:start w:val="1"/>
      <w:numFmt w:val="decimal"/>
      <w:suff w:val="space"/>
      <w:lvlText w:val="Chapter %1"/>
      <w:lvlJc w:val="left"/>
      <w:pPr>
        <w:ind w:left="0" w:firstLine="0"/>
      </w:pPr>
    </w:lvl>
    <w:lvl w:ilvl="1">
      <w:start w:val="1"/>
      <w:numFmt w:val="decimal"/>
      <w:lvlText w:val="%2-"/>
      <w:lvlJc w:val="left"/>
      <w:pPr>
        <w:ind w:left="360" w:hanging="360"/>
      </w:pPr>
      <w:rPr>
        <w:rFonts w:hint="default"/>
      </w:rPr>
    </w:lvl>
    <w:lvl w:ilvl="2">
      <w:start w:val="1"/>
      <w:numFmt w:val="decimal"/>
      <w:lvlText w:val="%3.1"/>
      <w:lvlJc w:val="left"/>
      <w:pPr>
        <w:ind w:left="360" w:hanging="360"/>
      </w:pPr>
      <w:rPr>
        <w:rFonts w:hint="default"/>
      </w:r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321737101">
    <w:abstractNumId w:val="22"/>
  </w:num>
  <w:num w:numId="2" w16cid:durableId="1277909437">
    <w:abstractNumId w:val="10"/>
  </w:num>
  <w:num w:numId="3" w16cid:durableId="283661332">
    <w:abstractNumId w:val="13"/>
  </w:num>
  <w:num w:numId="4" w16cid:durableId="149492198">
    <w:abstractNumId w:val="2"/>
  </w:num>
  <w:num w:numId="5" w16cid:durableId="846094142">
    <w:abstractNumId w:val="7"/>
  </w:num>
  <w:num w:numId="6" w16cid:durableId="1743064232">
    <w:abstractNumId w:val="0"/>
  </w:num>
  <w:num w:numId="7" w16cid:durableId="2097943750">
    <w:abstractNumId w:val="15"/>
  </w:num>
  <w:num w:numId="8" w16cid:durableId="425687973">
    <w:abstractNumId w:val="21"/>
  </w:num>
  <w:num w:numId="9" w16cid:durableId="1950971030">
    <w:abstractNumId w:val="20"/>
  </w:num>
  <w:num w:numId="10" w16cid:durableId="1179466661">
    <w:abstractNumId w:val="8"/>
  </w:num>
  <w:num w:numId="11" w16cid:durableId="1712801938">
    <w:abstractNumId w:val="12"/>
  </w:num>
  <w:num w:numId="12" w16cid:durableId="636644376">
    <w:abstractNumId w:val="17"/>
  </w:num>
  <w:num w:numId="13" w16cid:durableId="561452724">
    <w:abstractNumId w:val="1"/>
  </w:num>
  <w:num w:numId="14" w16cid:durableId="1756705531">
    <w:abstractNumId w:val="14"/>
  </w:num>
  <w:num w:numId="15" w16cid:durableId="1377387784">
    <w:abstractNumId w:val="5"/>
  </w:num>
  <w:num w:numId="16" w16cid:durableId="269749973">
    <w:abstractNumId w:val="11"/>
  </w:num>
  <w:num w:numId="17" w16cid:durableId="2105151702">
    <w:abstractNumId w:val="4"/>
  </w:num>
  <w:num w:numId="18" w16cid:durableId="2036760110">
    <w:abstractNumId w:val="19"/>
  </w:num>
  <w:num w:numId="19" w16cid:durableId="1472287740">
    <w:abstractNumId w:val="9"/>
  </w:num>
  <w:num w:numId="20" w16cid:durableId="1791970180">
    <w:abstractNumId w:val="16"/>
  </w:num>
  <w:num w:numId="21" w16cid:durableId="779301046">
    <w:abstractNumId w:val="18"/>
  </w:num>
  <w:num w:numId="22" w16cid:durableId="500438054">
    <w:abstractNumId w:val="6"/>
  </w:num>
  <w:num w:numId="23" w16cid:durableId="1901672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8E1"/>
    <w:rsid w:val="000025F5"/>
    <w:rsid w:val="0005054C"/>
    <w:rsid w:val="0005255E"/>
    <w:rsid w:val="00061AEE"/>
    <w:rsid w:val="000F330B"/>
    <w:rsid w:val="00167985"/>
    <w:rsid w:val="001750D1"/>
    <w:rsid w:val="00187740"/>
    <w:rsid w:val="001D36BD"/>
    <w:rsid w:val="00215803"/>
    <w:rsid w:val="00226E3D"/>
    <w:rsid w:val="00250C3B"/>
    <w:rsid w:val="00283907"/>
    <w:rsid w:val="002A2BFF"/>
    <w:rsid w:val="003058F9"/>
    <w:rsid w:val="0032785A"/>
    <w:rsid w:val="00332ADC"/>
    <w:rsid w:val="003460BB"/>
    <w:rsid w:val="003B483D"/>
    <w:rsid w:val="003F01DE"/>
    <w:rsid w:val="00404841"/>
    <w:rsid w:val="004172A9"/>
    <w:rsid w:val="00423957"/>
    <w:rsid w:val="0045417C"/>
    <w:rsid w:val="0047266D"/>
    <w:rsid w:val="004C1E41"/>
    <w:rsid w:val="00531A8A"/>
    <w:rsid w:val="0054104D"/>
    <w:rsid w:val="00545510"/>
    <w:rsid w:val="005B0E2B"/>
    <w:rsid w:val="00612D2F"/>
    <w:rsid w:val="006510A6"/>
    <w:rsid w:val="00665AD9"/>
    <w:rsid w:val="00696AC0"/>
    <w:rsid w:val="006C7B9E"/>
    <w:rsid w:val="006E1C04"/>
    <w:rsid w:val="00700674"/>
    <w:rsid w:val="00704212"/>
    <w:rsid w:val="00780210"/>
    <w:rsid w:val="00780CA5"/>
    <w:rsid w:val="00787FE4"/>
    <w:rsid w:val="007A7748"/>
    <w:rsid w:val="007B2512"/>
    <w:rsid w:val="007D68E1"/>
    <w:rsid w:val="007F4429"/>
    <w:rsid w:val="00815EC8"/>
    <w:rsid w:val="00864E66"/>
    <w:rsid w:val="00897E2E"/>
    <w:rsid w:val="008A592A"/>
    <w:rsid w:val="008D7E99"/>
    <w:rsid w:val="008E106E"/>
    <w:rsid w:val="008F2D59"/>
    <w:rsid w:val="00971BDA"/>
    <w:rsid w:val="00982465"/>
    <w:rsid w:val="009D1174"/>
    <w:rsid w:val="009F6C6A"/>
    <w:rsid w:val="00A14B97"/>
    <w:rsid w:val="00A20C85"/>
    <w:rsid w:val="00A322A3"/>
    <w:rsid w:val="00A45325"/>
    <w:rsid w:val="00AB4477"/>
    <w:rsid w:val="00AD545E"/>
    <w:rsid w:val="00AE77DF"/>
    <w:rsid w:val="00B16F38"/>
    <w:rsid w:val="00B202BD"/>
    <w:rsid w:val="00B229D0"/>
    <w:rsid w:val="00B22B60"/>
    <w:rsid w:val="00B475A5"/>
    <w:rsid w:val="00B7084D"/>
    <w:rsid w:val="00B92007"/>
    <w:rsid w:val="00BE59C9"/>
    <w:rsid w:val="00C323F2"/>
    <w:rsid w:val="00C45AF2"/>
    <w:rsid w:val="00CC6851"/>
    <w:rsid w:val="00CE7229"/>
    <w:rsid w:val="00D10989"/>
    <w:rsid w:val="00D161DB"/>
    <w:rsid w:val="00D55A2D"/>
    <w:rsid w:val="00D85FCD"/>
    <w:rsid w:val="00DB6884"/>
    <w:rsid w:val="00EA7C8D"/>
    <w:rsid w:val="00ED00C3"/>
    <w:rsid w:val="00F608E0"/>
    <w:rsid w:val="00F6574B"/>
    <w:rsid w:val="00F66B96"/>
    <w:rsid w:val="00FB18F3"/>
    <w:rsid w:val="00FE1B30"/>
    <w:rsid w:val="00FF7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F62F7"/>
  <w15:chartTrackingRefBased/>
  <w15:docId w15:val="{136AA577-9641-41C4-A0B7-956595BA0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B30"/>
    <w:pPr>
      <w:spacing w:after="0"/>
    </w:pPr>
    <w:rPr>
      <w:rFonts w:ascii="Times New Roman" w:hAnsi="Times New Roman"/>
    </w:rPr>
  </w:style>
  <w:style w:type="paragraph" w:styleId="Heading1">
    <w:name w:val="heading 1"/>
    <w:aliases w:val="PFE"/>
    <w:basedOn w:val="Normal"/>
    <w:next w:val="Normal"/>
    <w:link w:val="Heading1Char"/>
    <w:uiPriority w:val="9"/>
    <w:qFormat/>
    <w:rsid w:val="004C1E41"/>
    <w:pPr>
      <w:keepNext/>
      <w:keepLines/>
      <w:numPr>
        <w:numId w:val="2"/>
      </w:numPr>
      <w:spacing w:before="360" w:after="80"/>
      <w:outlineLvl w:val="0"/>
    </w:pPr>
    <w:rPr>
      <w:rFonts w:asciiTheme="majorHAnsi" w:eastAsiaTheme="majorEastAsia" w:hAnsiTheme="majorHAnsi" w:cstheme="majorBidi"/>
      <w:b/>
      <w:color w:val="000000" w:themeColor="text1"/>
      <w:szCs w:val="40"/>
    </w:rPr>
  </w:style>
  <w:style w:type="paragraph" w:styleId="Heading2">
    <w:name w:val="heading 2"/>
    <w:basedOn w:val="Normal"/>
    <w:next w:val="Normal"/>
    <w:link w:val="Heading2Char"/>
    <w:uiPriority w:val="9"/>
    <w:semiHidden/>
    <w:unhideWhenUsed/>
    <w:qFormat/>
    <w:rsid w:val="007D6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8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8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8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8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FE Char"/>
    <w:basedOn w:val="DefaultParagraphFont"/>
    <w:link w:val="Heading1"/>
    <w:uiPriority w:val="9"/>
    <w:rsid w:val="004C1E41"/>
    <w:rPr>
      <w:rFonts w:asciiTheme="majorHAnsi" w:eastAsiaTheme="majorEastAsia" w:hAnsiTheme="majorHAnsi" w:cstheme="majorBidi"/>
      <w:b/>
      <w:color w:val="000000" w:themeColor="text1"/>
      <w:szCs w:val="40"/>
    </w:rPr>
  </w:style>
  <w:style w:type="character" w:customStyle="1" w:styleId="Heading2Char">
    <w:name w:val="Heading 2 Char"/>
    <w:basedOn w:val="DefaultParagraphFont"/>
    <w:link w:val="Heading2"/>
    <w:uiPriority w:val="9"/>
    <w:semiHidden/>
    <w:rsid w:val="007D6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8E1"/>
    <w:rPr>
      <w:rFonts w:eastAsiaTheme="majorEastAsia" w:cstheme="majorBidi"/>
      <w:color w:val="272727" w:themeColor="text1" w:themeTint="D8"/>
    </w:rPr>
  </w:style>
  <w:style w:type="paragraph" w:styleId="Title">
    <w:name w:val="Title"/>
    <w:basedOn w:val="Normal"/>
    <w:next w:val="Normal"/>
    <w:link w:val="TitleChar"/>
    <w:uiPriority w:val="10"/>
    <w:qFormat/>
    <w:rsid w:val="00AD545E"/>
    <w:pPr>
      <w:spacing w:after="80" w:line="240" w:lineRule="auto"/>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AD545E"/>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AD545E"/>
    <w:pPr>
      <w:numPr>
        <w:ilvl w:val="1"/>
      </w:numPr>
    </w:pPr>
    <w:rPr>
      <w:rFonts w:asciiTheme="majorHAnsi" w:eastAsiaTheme="majorEastAsia" w:hAnsiTheme="majorHAnsi" w:cstheme="majorBidi"/>
      <w:b/>
      <w:color w:val="000000" w:themeColor="text1"/>
      <w:spacing w:val="15"/>
      <w:sz w:val="28"/>
      <w:szCs w:val="28"/>
    </w:rPr>
  </w:style>
  <w:style w:type="character" w:customStyle="1" w:styleId="SubtitleChar">
    <w:name w:val="Subtitle Char"/>
    <w:basedOn w:val="DefaultParagraphFont"/>
    <w:link w:val="Subtitle"/>
    <w:uiPriority w:val="11"/>
    <w:rsid w:val="00AD545E"/>
    <w:rPr>
      <w:rFonts w:asciiTheme="majorHAnsi" w:eastAsiaTheme="majorEastAsia" w:hAnsiTheme="majorHAnsi" w:cstheme="majorBidi"/>
      <w:b/>
      <w:color w:val="000000" w:themeColor="text1"/>
      <w:spacing w:val="15"/>
      <w:sz w:val="28"/>
      <w:szCs w:val="28"/>
    </w:rPr>
  </w:style>
  <w:style w:type="paragraph" w:styleId="Quote">
    <w:name w:val="Quote"/>
    <w:basedOn w:val="Normal"/>
    <w:next w:val="Normal"/>
    <w:link w:val="QuoteChar"/>
    <w:uiPriority w:val="29"/>
    <w:qFormat/>
    <w:rsid w:val="007D68E1"/>
    <w:pPr>
      <w:spacing w:before="160"/>
      <w:jc w:val="center"/>
    </w:pPr>
    <w:rPr>
      <w:i/>
      <w:iCs/>
      <w:color w:val="404040" w:themeColor="text1" w:themeTint="BF"/>
    </w:rPr>
  </w:style>
  <w:style w:type="character" w:customStyle="1" w:styleId="QuoteChar">
    <w:name w:val="Quote Char"/>
    <w:basedOn w:val="DefaultParagraphFont"/>
    <w:link w:val="Quote"/>
    <w:uiPriority w:val="29"/>
    <w:rsid w:val="007D68E1"/>
    <w:rPr>
      <w:i/>
      <w:iCs/>
      <w:color w:val="404040" w:themeColor="text1" w:themeTint="BF"/>
    </w:rPr>
  </w:style>
  <w:style w:type="paragraph" w:styleId="ListParagraph">
    <w:name w:val="List Paragraph"/>
    <w:basedOn w:val="Normal"/>
    <w:uiPriority w:val="34"/>
    <w:qFormat/>
    <w:rsid w:val="007D68E1"/>
    <w:pPr>
      <w:ind w:left="720"/>
      <w:contextualSpacing/>
    </w:pPr>
  </w:style>
  <w:style w:type="character" w:styleId="IntenseEmphasis">
    <w:name w:val="Intense Emphasis"/>
    <w:basedOn w:val="DefaultParagraphFont"/>
    <w:uiPriority w:val="21"/>
    <w:qFormat/>
    <w:rsid w:val="007D68E1"/>
    <w:rPr>
      <w:i/>
      <w:iCs/>
      <w:color w:val="0F4761" w:themeColor="accent1" w:themeShade="BF"/>
    </w:rPr>
  </w:style>
  <w:style w:type="paragraph" w:styleId="IntenseQuote">
    <w:name w:val="Intense Quote"/>
    <w:basedOn w:val="Normal"/>
    <w:next w:val="Normal"/>
    <w:link w:val="IntenseQuoteChar"/>
    <w:uiPriority w:val="30"/>
    <w:qFormat/>
    <w:rsid w:val="007D6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8E1"/>
    <w:rPr>
      <w:i/>
      <w:iCs/>
      <w:color w:val="0F4761" w:themeColor="accent1" w:themeShade="BF"/>
    </w:rPr>
  </w:style>
  <w:style w:type="character" w:styleId="IntenseReference">
    <w:name w:val="Intense Reference"/>
    <w:basedOn w:val="DefaultParagraphFont"/>
    <w:uiPriority w:val="32"/>
    <w:qFormat/>
    <w:rsid w:val="007D68E1"/>
    <w:rPr>
      <w:b/>
      <w:bCs/>
      <w:smallCaps/>
      <w:color w:val="0F4761" w:themeColor="accent1" w:themeShade="BF"/>
      <w:spacing w:val="5"/>
    </w:rPr>
  </w:style>
  <w:style w:type="paragraph" w:styleId="Header">
    <w:name w:val="header"/>
    <w:basedOn w:val="Normal"/>
    <w:link w:val="HeaderChar"/>
    <w:uiPriority w:val="99"/>
    <w:unhideWhenUsed/>
    <w:rsid w:val="007D68E1"/>
    <w:pPr>
      <w:tabs>
        <w:tab w:val="center" w:pos="4680"/>
        <w:tab w:val="right" w:pos="9360"/>
      </w:tabs>
      <w:spacing w:line="240" w:lineRule="auto"/>
    </w:pPr>
  </w:style>
  <w:style w:type="character" w:customStyle="1" w:styleId="HeaderChar">
    <w:name w:val="Header Char"/>
    <w:basedOn w:val="DefaultParagraphFont"/>
    <w:link w:val="Header"/>
    <w:uiPriority w:val="99"/>
    <w:rsid w:val="007D68E1"/>
  </w:style>
  <w:style w:type="paragraph" w:styleId="Footer">
    <w:name w:val="footer"/>
    <w:basedOn w:val="Normal"/>
    <w:link w:val="FooterChar"/>
    <w:uiPriority w:val="99"/>
    <w:unhideWhenUsed/>
    <w:rsid w:val="007D68E1"/>
    <w:pPr>
      <w:tabs>
        <w:tab w:val="center" w:pos="4680"/>
        <w:tab w:val="right" w:pos="9360"/>
      </w:tabs>
      <w:spacing w:line="240" w:lineRule="auto"/>
    </w:pPr>
  </w:style>
  <w:style w:type="character" w:customStyle="1" w:styleId="FooterChar">
    <w:name w:val="Footer Char"/>
    <w:basedOn w:val="DefaultParagraphFont"/>
    <w:link w:val="Footer"/>
    <w:uiPriority w:val="99"/>
    <w:rsid w:val="007D68E1"/>
  </w:style>
  <w:style w:type="paragraph" w:styleId="TOCHeading">
    <w:name w:val="TOC Heading"/>
    <w:basedOn w:val="Heading1"/>
    <w:next w:val="Normal"/>
    <w:uiPriority w:val="39"/>
    <w:unhideWhenUsed/>
    <w:qFormat/>
    <w:rsid w:val="004C1E41"/>
    <w:pPr>
      <w:numPr>
        <w:numId w:val="0"/>
      </w:numPr>
      <w:spacing w:before="240" w:after="0" w:line="259" w:lineRule="auto"/>
      <w:outlineLvl w:val="9"/>
    </w:pPr>
    <w:rPr>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4C1E41"/>
    <w:pPr>
      <w:spacing w:after="100"/>
    </w:pPr>
  </w:style>
  <w:style w:type="character" w:styleId="Hyperlink">
    <w:name w:val="Hyperlink"/>
    <w:basedOn w:val="DefaultParagraphFont"/>
    <w:uiPriority w:val="99"/>
    <w:unhideWhenUsed/>
    <w:rsid w:val="004C1E41"/>
    <w:rPr>
      <w:color w:val="467886" w:themeColor="hyperlink"/>
      <w:u w:val="single"/>
    </w:rPr>
  </w:style>
  <w:style w:type="table" w:styleId="TableGrid">
    <w:name w:val="Table Grid"/>
    <w:basedOn w:val="TableNormal"/>
    <w:uiPriority w:val="39"/>
    <w:rsid w:val="00EA7C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2">
    <w:name w:val="Grid Table 2 Accent 2"/>
    <w:basedOn w:val="TableNormal"/>
    <w:uiPriority w:val="47"/>
    <w:rsid w:val="00250C3B"/>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TOC2">
    <w:name w:val="toc 2"/>
    <w:basedOn w:val="Normal"/>
    <w:next w:val="Normal"/>
    <w:autoRedefine/>
    <w:uiPriority w:val="39"/>
    <w:unhideWhenUsed/>
    <w:rsid w:val="00531A8A"/>
    <w:pPr>
      <w:spacing w:after="100"/>
      <w:ind w:left="240"/>
    </w:pPr>
  </w:style>
  <w:style w:type="paragraph" w:styleId="HTMLPreformatted">
    <w:name w:val="HTML Preformatted"/>
    <w:basedOn w:val="Normal"/>
    <w:link w:val="HTMLPreformattedChar"/>
    <w:uiPriority w:val="99"/>
    <w:semiHidden/>
    <w:unhideWhenUsed/>
    <w:rsid w:val="003058F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58F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B1F24-FF75-4764-A1D6-30A069208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4551</TotalTime>
  <Pages>15</Pages>
  <Words>3228</Words>
  <Characters>18404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TRADINGLIONS Research – ELBEJJAJ Saadallah</vt:lpstr>
    </vt:vector>
  </TitlesOfParts>
  <Company/>
  <LinksUpToDate>false</LinksUpToDate>
  <CharactersWithSpaces>21589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TRADINGLIONS Research – ELBEJJAJ Saadallah</dc:title>
  <dc:subject/>
  <dc:creator>RSaad Trust</dc:creator>
  <cp:keywords/>
  <dc:description/>
  <cp:lastModifiedBy>RSaad Trust</cp:lastModifiedBy>
  <cp:revision>42</cp:revision>
  <dcterms:created xsi:type="dcterms:W3CDTF">2025-11-23T16:03:00Z</dcterms:created>
  <dcterms:modified xsi:type="dcterms:W3CDTF">2025-12-13T23:10:00Z</dcterms:modified>
</cp:coreProperties>
</file>