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bCs/>
          <w:sz w:val="28"/>
          <w:szCs w:val="28"/>
        </w:rPr>
        <w:t xml:space="preserve">1. Engenharia de Requisitos </w:t>
        <w:br/>
      </w:r>
      <w:r>
        <w:rPr/>
        <w:br/>
      </w:r>
      <w:r>
        <w:rPr>
          <w:b/>
          <w:bCs/>
        </w:rPr>
        <w:br/>
      </w:r>
      <w:r>
        <w:rPr>
          <w:rFonts w:ascii="Arial" w:hAnsi="Arial"/>
          <w:b/>
          <w:bCs/>
          <w:sz w:val="20"/>
          <w:szCs w:val="20"/>
        </w:rPr>
        <w:t>A. Técnicas de Elicitação</w:t>
        <w:br/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Análise Documental:</w:t>
      </w:r>
      <w:r>
        <w:rPr>
          <w:rFonts w:ascii="Arial" w:hAnsi="Arial"/>
          <w:sz w:val="20"/>
          <w:szCs w:val="20"/>
        </w:rPr>
        <w:t xml:space="preserve"> Estudo da Lei 13.709/2018 (LGPD), especificamente os Artigos 6º (Finalidade) e 37 (Manutenção de Registros).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Análise de Protocolos:</w:t>
      </w:r>
      <w:r>
        <w:rPr>
          <w:rFonts w:ascii="Arial" w:hAnsi="Arial"/>
          <w:sz w:val="20"/>
          <w:szCs w:val="20"/>
        </w:rPr>
        <w:t xml:space="preserve"> Observação de fluxos de requisição em arquiteturas de microserviços para identificação de pontos de interceptação.</w:t>
      </w:r>
    </w:p>
    <w:p>
      <w:pPr>
        <w:pStyle w:val="Heading3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B. Especificação de Requisitos</w:t>
      </w:r>
    </w:p>
    <w:p>
      <w:pPr>
        <w:pStyle w:val="Heading4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Requisitos Funcionais (RF)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  <w:b/>
          <w:sz w:val="20"/>
          <w:szCs w:val="20"/>
        </w:rPr>
        <w:t>RF01 — Autenticação e Autorização:</w:t>
      </w:r>
      <w:r>
        <w:rPr>
          <w:rFonts w:ascii="Arial" w:hAnsi="Arial"/>
          <w:sz w:val="20"/>
          <w:szCs w:val="20"/>
        </w:rPr>
        <w:t xml:space="preserve"> O sistema deve permitir o acesso via JWT, distinguindo os papéis de </w:t>
      </w:r>
      <w:r>
        <w:rPr>
          <w:rStyle w:val="Cdigo-fonte"/>
          <w:rFonts w:ascii="Arial" w:hAnsi="Arial"/>
          <w:sz w:val="20"/>
          <w:szCs w:val="20"/>
        </w:rPr>
        <w:t>Cidadão</w:t>
      </w:r>
      <w:r>
        <w:rPr>
          <w:rFonts w:ascii="Arial" w:hAnsi="Arial"/>
          <w:sz w:val="20"/>
          <w:szCs w:val="20"/>
        </w:rPr>
        <w:t xml:space="preserve"> (acesso aos próprios dados) e </w:t>
      </w:r>
      <w:r>
        <w:rPr>
          <w:rStyle w:val="Cdigo-fonte"/>
          <w:rFonts w:ascii="Arial" w:hAnsi="Arial"/>
          <w:sz w:val="20"/>
          <w:szCs w:val="20"/>
        </w:rPr>
        <w:t>Auditor</w:t>
      </w:r>
      <w:r>
        <w:rPr>
          <w:rFonts w:ascii="Arial" w:hAnsi="Arial"/>
          <w:sz w:val="20"/>
          <w:szCs w:val="20"/>
        </w:rPr>
        <w:t xml:space="preserve"> (acesso aos logs).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RF02 — Consulta de Dados Sensíveis:</w:t>
      </w:r>
      <w:r>
        <w:rPr>
          <w:rFonts w:ascii="Arial" w:hAnsi="Arial"/>
          <w:sz w:val="20"/>
          <w:szCs w:val="20"/>
        </w:rPr>
        <w:t xml:space="preserve"> O sistema deve permitir que o titular consulte seus dados (Nome Mascarado, ID Interno) mediante autenticação.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RF03 — Registro Automático de Auditoria:</w:t>
      </w:r>
      <w:r>
        <w:rPr>
          <w:rFonts w:ascii="Arial" w:hAnsi="Arial"/>
          <w:sz w:val="20"/>
          <w:szCs w:val="20"/>
        </w:rPr>
        <w:t xml:space="preserve"> O sistema deve capturar e persistir o rastro de cada consulta de dados sensíveis sem intervenção manual do desenvolvedor na lógica de negócio.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  <w:b/>
          <w:sz w:val="20"/>
          <w:szCs w:val="20"/>
        </w:rPr>
        <w:t>RF04 — Recuperação de Evidência:</w:t>
      </w:r>
      <w:r>
        <w:rPr>
          <w:rFonts w:ascii="Arial" w:hAnsi="Arial"/>
          <w:sz w:val="20"/>
          <w:szCs w:val="20"/>
        </w:rPr>
        <w:t xml:space="preserve"> O sistema deve permitir ao Auditor buscar logs filtrando por </w:t>
      </w:r>
      <w:r>
        <w:rPr>
          <w:rStyle w:val="Cdigo-fonte"/>
          <w:rFonts w:ascii="Arial" w:hAnsi="Arial"/>
          <w:sz w:val="20"/>
          <w:szCs w:val="20"/>
        </w:rPr>
        <w:t>Trace ID</w:t>
      </w:r>
      <w:r>
        <w:rPr>
          <w:rFonts w:ascii="Arial" w:hAnsi="Arial"/>
          <w:sz w:val="20"/>
          <w:szCs w:val="20"/>
        </w:rPr>
        <w:t xml:space="preserve"> ou </w:t>
      </w:r>
      <w:r>
        <w:rPr>
          <w:rStyle w:val="Cdigo-fonte"/>
          <w:rFonts w:ascii="Arial" w:hAnsi="Arial"/>
          <w:sz w:val="20"/>
          <w:szCs w:val="20"/>
        </w:rPr>
        <w:t>ID do Usuário</w:t>
      </w:r>
      <w:r>
        <w:rPr>
          <w:rFonts w:ascii="Arial" w:hAnsi="Arial"/>
          <w:sz w:val="20"/>
          <w:szCs w:val="20"/>
        </w:rPr>
        <w:t>.</w:t>
      </w:r>
    </w:p>
    <w:p>
      <w:pPr>
        <w:pStyle w:val="Heading4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Requisitos Não Funcionais (RNF)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  <w:b/>
          <w:sz w:val="20"/>
          <w:szCs w:val="20"/>
        </w:rPr>
        <w:t>RNF01 — Observabilidade (Distributed Tracing):</w:t>
      </w:r>
      <w:r>
        <w:rPr>
          <w:rFonts w:ascii="Arial" w:hAnsi="Arial"/>
          <w:sz w:val="20"/>
          <w:szCs w:val="20"/>
        </w:rPr>
        <w:t xml:space="preserve"> Toda requisição deve ser associada a um </w:t>
      </w:r>
      <w:r>
        <w:rPr>
          <w:rStyle w:val="Cdigo-fonte"/>
          <w:rFonts w:ascii="Arial" w:hAnsi="Arial"/>
          <w:sz w:val="20"/>
          <w:szCs w:val="20"/>
        </w:rPr>
        <w:t>Trace ID</w:t>
      </w:r>
      <w:r>
        <w:rPr>
          <w:rFonts w:ascii="Arial" w:hAnsi="Arial"/>
          <w:sz w:val="20"/>
          <w:szCs w:val="20"/>
        </w:rPr>
        <w:t xml:space="preserve"> único gerado via OpenTelemetry.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  <w:b/>
          <w:sz w:val="20"/>
          <w:szCs w:val="20"/>
        </w:rPr>
        <w:t>RNF02 — Privacidade por Design (Data Minimization):</w:t>
      </w:r>
      <w:r>
        <w:rPr>
          <w:rFonts w:ascii="Arial" w:hAnsi="Arial"/>
          <w:sz w:val="20"/>
          <w:szCs w:val="20"/>
        </w:rPr>
        <w:t xml:space="preserve"> Os logs de auditoria não devem armazenar CPFs ou nomes limpos, apenas referências (</w:t>
      </w:r>
      <w:r>
        <w:rPr>
          <w:rStyle w:val="Cdigo-fonte"/>
          <w:rFonts w:ascii="Arial" w:hAnsi="Arial"/>
          <w:sz w:val="20"/>
          <w:szCs w:val="20"/>
        </w:rPr>
        <w:t>ID Interno</w:t>
      </w:r>
      <w:r>
        <w:rPr>
          <w:rFonts w:ascii="Arial" w:hAnsi="Arial"/>
          <w:sz w:val="20"/>
          <w:szCs w:val="20"/>
        </w:rPr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RNF03 — Desempenho e Eficiência:</w:t>
      </w:r>
      <w:r>
        <w:rPr>
          <w:rFonts w:ascii="Arial" w:hAnsi="Arial"/>
          <w:sz w:val="20"/>
          <w:szCs w:val="20"/>
        </w:rPr>
        <w:t xml:space="preserve"> O tempo de interceptação e persistência do log de auditoria não deve exceder 50ms (overhead aceitável para GovTechs).</w:t>
      </w:r>
    </w:p>
    <w:p>
      <w:pPr>
        <w:pStyle w:val="Heading4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Regras de Negócio (RN)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RN01 — Atomicidade da Auditoria:</w:t>
      </w:r>
      <w:r>
        <w:rPr>
          <w:rFonts w:ascii="Arial" w:hAnsi="Arial"/>
          <w:sz w:val="20"/>
          <w:szCs w:val="20"/>
        </w:rPr>
        <w:t xml:space="preserve"> O dado sensível só pode ser entregue ao usuário se o registro de auditoria for iniciado com sucesso.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  <w:b/>
          <w:sz w:val="20"/>
          <w:szCs w:val="20"/>
        </w:rPr>
        <w:t>RN02 — Mascaramento de Dados:</w:t>
      </w:r>
      <w:r>
        <w:rPr>
          <w:rFonts w:ascii="Arial" w:hAnsi="Arial"/>
          <w:sz w:val="20"/>
          <w:szCs w:val="20"/>
        </w:rPr>
        <w:t xml:space="preserve"> Dados sensíveis devem ser exibidos de forma parcial no frontend (ex: </w:t>
      </w:r>
      <w:r>
        <w:rPr>
          <w:rStyle w:val="Cdigo-fonte"/>
          <w:rFonts w:ascii="Arial" w:hAnsi="Arial"/>
          <w:sz w:val="20"/>
          <w:szCs w:val="20"/>
        </w:rPr>
        <w:t>***.123.***-99</w:t>
      </w:r>
      <w:r>
        <w:rPr>
          <w:rFonts w:ascii="Arial" w:hAnsi="Arial"/>
          <w:sz w:val="20"/>
          <w:szCs w:val="20"/>
        </w:rPr>
        <w:t>).</w:t>
      </w:r>
    </w:p>
    <w:p>
      <w:pPr>
        <w:pStyle w:val="Normal"/>
        <w:bidi w:val="0"/>
        <w:jc w:val="start"/>
        <w:rPr/>
      </w:pPr>
      <w:r>
        <w:rPr/>
        <w:br/>
        <w:br/>
        <w:br/>
        <w:br/>
        <w:br/>
        <w:br/>
        <w:br/>
        <w:br/>
        <w:br/>
        <w:br/>
        <w:br/>
        <w:br/>
        <w:br/>
      </w:r>
      <w:r>
        <w:rPr>
          <w:b/>
          <w:bCs/>
          <w:sz w:val="28"/>
          <w:szCs w:val="28"/>
        </w:rPr>
        <w:t xml:space="preserve">2. Matriz de Rastreabilidade </w:t>
      </w:r>
      <w:r>
        <w:rPr/>
        <w:br/>
        <w:br/>
        <w:br/>
      </w:r>
    </w:p>
    <w:tbl>
      <w:tblPr>
        <w:tblW w:w="9638" w:type="dxa"/>
        <w:jc w:val="start"/>
        <w:tblInd w:w="0" w:type="dxa"/>
        <w:tblLayout w:type="fixed"/>
        <w:tblCellMar>
          <w:top w:w="240" w:type="dxa"/>
          <w:start w:w="28" w:type="dxa"/>
          <w:bottom w:w="240" w:type="dxa"/>
          <w:end w:w="180" w:type="dxa"/>
        </w:tblCellMar>
      </w:tblPr>
      <w:tblGrid>
        <w:gridCol w:w="1507"/>
        <w:gridCol w:w="2116"/>
        <w:gridCol w:w="4049"/>
        <w:gridCol w:w="1966"/>
      </w:tblGrid>
      <w:tr>
        <w:trPr>
          <w:tblHeader w:val="true"/>
        </w:trPr>
        <w:tc>
          <w:tcPr>
            <w:tcW w:w="15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ID Requisito</w:t>
            </w:r>
          </w:p>
        </w:tc>
        <w:tc>
          <w:tcPr>
            <w:tcW w:w="21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Descrição Curta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Origem (Necessidade/Legal)</w:t>
            </w:r>
          </w:p>
        </w:tc>
        <w:tc>
          <w:tcPr>
            <w:tcW w:w="1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Relação RNF</w:t>
            </w:r>
          </w:p>
        </w:tc>
      </w:tr>
      <w:tr>
        <w:trPr/>
        <w:tc>
          <w:tcPr>
            <w:tcW w:w="15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RF01</w:t>
            </w:r>
          </w:p>
        </w:tc>
        <w:tc>
          <w:tcPr>
            <w:tcW w:w="21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Autenticação JWT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Segurança de Acesso</w:t>
            </w:r>
          </w:p>
        </w:tc>
        <w:tc>
          <w:tcPr>
            <w:tcW w:w="1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RNF02</w:t>
            </w:r>
          </w:p>
        </w:tc>
      </w:tr>
      <w:tr>
        <w:trPr/>
        <w:tc>
          <w:tcPr>
            <w:tcW w:w="15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RF02</w:t>
            </w:r>
          </w:p>
        </w:tc>
        <w:tc>
          <w:tcPr>
            <w:tcW w:w="21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Consulta de Dados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Direito do Titular (LGPD Art. 18)</w:t>
            </w:r>
          </w:p>
        </w:tc>
        <w:tc>
          <w:tcPr>
            <w:tcW w:w="1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-</w:t>
            </w:r>
          </w:p>
        </w:tc>
      </w:tr>
      <w:tr>
        <w:trPr/>
        <w:tc>
          <w:tcPr>
            <w:tcW w:w="15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RF03</w:t>
            </w:r>
          </w:p>
        </w:tc>
        <w:tc>
          <w:tcPr>
            <w:tcW w:w="21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Registro Auditoria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Obrigação de Registro (LGPD Art. 37)</w:t>
            </w:r>
          </w:p>
        </w:tc>
        <w:tc>
          <w:tcPr>
            <w:tcW w:w="1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RNF01 (TraceID)</w:t>
            </w:r>
          </w:p>
        </w:tc>
      </w:tr>
      <w:tr>
        <w:trPr/>
        <w:tc>
          <w:tcPr>
            <w:tcW w:w="15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RF04</w:t>
            </w:r>
          </w:p>
        </w:tc>
        <w:tc>
          <w:tcPr>
            <w:tcW w:w="21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Filtro de Evidência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Transparência Pública</w:t>
            </w:r>
          </w:p>
        </w:tc>
        <w:tc>
          <w:tcPr>
            <w:tcW w:w="1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RNF03</w:t>
            </w:r>
          </w:p>
        </w:tc>
      </w:tr>
    </w:tbl>
    <w:p>
      <w:pPr>
        <w:pStyle w:val="Normal"/>
        <w:bidi w:val="0"/>
        <w:jc w:val="start"/>
        <w:rPr/>
      </w:pPr>
      <w:r>
        <w:rPr/>
        <w:br/>
        <w:t xml:space="preserve">→ </w:t>
      </w:r>
      <w:r>
        <w:rPr>
          <w:b/>
        </w:rPr>
        <w:t>Implicação:</w:t>
      </w:r>
      <w:r>
        <w:rPr/>
        <w:t xml:space="preserve"> Se o RF03 falhar, o RNF01 perde a utilidade jurídica. </w:t>
        <w:br/>
        <w:t xml:space="preserve">= </w:t>
      </w:r>
      <w:r>
        <w:rPr>
          <w:b/>
        </w:rPr>
        <w:t>Equivalência:</w:t>
      </w:r>
      <w:r>
        <w:rPr/>
        <w:t xml:space="preserve"> Sem o TraceID (RNF01), o RF03 não tem precisão técnica.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Google Sans Text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LibreOffice/25.2.7.2$Windows_X86_64 LibreOffice_project/5cbfd1ab6520636bb5f7b99185aa69bd7456825d</Application>
  <AppVersion>15.0000</AppVersion>
  <Pages>2</Pages>
  <Words>334</Words>
  <Characters>1883</Characters>
  <CharactersWithSpaces>2201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2026-04-12T17:13:52Z</dcterms:created>
  <dc:creator/>
  <dc:description/>
  <dc:language>pt-BR</dc:language>
  <cp:lastModifiedBy/>
  <dcterms:modified xsi:type="dcterms:W3CDTF">2026-04-12T17:23:43Z</dcterms:modified>
  <cp:revision>1</cp:revision>
  <dc:subject/>
  <dc:title/>
</cp:coreProperties>
</file>