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auto"/>
        <w:spacing w:lineRule="auto" w:line="360"/>
        <w:jc w:val="center"/>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shd w:val="clear" w:fill="auto"/>
        <w:spacing w:lineRule="auto" w:line="360"/>
        <w:jc w:val="center"/>
        <w:rPr>
          <w:rFonts w:ascii="Arial" w:hAnsi="Arial" w:eastAsia="Arial" w:cs="Arial"/>
          <w:b/>
          <w:bCs/>
        </w:rPr>
      </w:pPr>
      <w:r>
        <w:rPr>
          <w:rFonts w:eastAsia="Arial" w:cs="Arial"/>
          <w:b/>
          <w:bCs/>
        </w:rPr>
        <w:t>CENTRO ESTADUAL DE EDUCAÇÃO TECNOLÓGICA PAULA SOUZA</w:t>
      </w:r>
    </w:p>
    <w:p>
      <w:pPr>
        <w:pStyle w:val="normal1"/>
        <w:shd w:val="clear" w:fill="auto"/>
        <w:spacing w:lineRule="auto" w:line="360"/>
        <w:jc w:val="center"/>
        <w:rPr>
          <w:rFonts w:ascii="Arial" w:hAnsi="Arial" w:eastAsia="Arial" w:cs="Arial"/>
          <w:b/>
          <w:bCs/>
        </w:rPr>
      </w:pPr>
      <w:r>
        <w:rPr>
          <w:rFonts w:eastAsia="Arial" w:cs="Arial"/>
          <w:b/>
          <w:bCs/>
        </w:rPr>
        <w:t>FACULDADE DE TECNOLOGIA DE CAMPINAS</w:t>
      </w:r>
    </w:p>
    <w:p>
      <w:pPr>
        <w:pStyle w:val="normal1"/>
        <w:shd w:val="clear" w:fill="auto"/>
        <w:spacing w:lineRule="auto" w:line="360"/>
        <w:jc w:val="center"/>
        <w:rPr>
          <w:rFonts w:ascii="Arial" w:hAnsi="Arial" w:eastAsia="Arial" w:cs="Arial"/>
          <w:b/>
          <w:bCs/>
        </w:rPr>
      </w:pPr>
      <w:r>
        <w:rPr>
          <w:rFonts w:eastAsia="Arial" w:cs="Arial"/>
          <w:b/>
          <w:bCs/>
        </w:rPr>
        <w:t>TECNOLOGIA EM ANÁLISE E DESENVOLVIMENTO DE SISTEMAS</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ind w:firstLine="720" w:left="2160"/>
        <w:jc w:val="left"/>
        <w:rPr>
          <w:rFonts w:ascii="Arial" w:hAnsi="Arial" w:eastAsia="Arial" w:cs="Arial"/>
          <w:b/>
          <w:bCs/>
        </w:rPr>
      </w:pPr>
      <w:r>
        <w:rPr>
          <w:rFonts w:eastAsia="Arial" w:cs="Arial"/>
          <w:b/>
          <w:bCs/>
        </w:rPr>
        <w:t>RAFAEL SABBADINI GALEGO</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t>AUDITGOV: FRAMEWORK DE OBSERVABILIDADE E AUDITORIA PARA CONFORMIDADE COM A LGPD EM APIS GOVERNAMENTAIS</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t>CAMPINAS/SP</w:t>
      </w:r>
    </w:p>
    <w:p>
      <w:pPr>
        <w:pStyle w:val="normal1"/>
        <w:shd w:val="clear" w:fill="auto"/>
        <w:spacing w:lineRule="auto" w:line="360"/>
        <w:jc w:val="center"/>
        <w:rPr>
          <w:rFonts w:ascii="Arial" w:hAnsi="Arial" w:eastAsia="Arial" w:cs="Arial"/>
          <w:b/>
          <w:bCs/>
        </w:rPr>
      </w:pPr>
      <w:r>
        <w:rPr>
          <w:rFonts w:eastAsia="Arial" w:cs="Arial"/>
          <w:b/>
          <w:bCs/>
        </w:rPr>
        <w:t>2026</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t>RAFAEL SABBADINI GALEGO</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t>AUDITGOV: FRAMEWORK DE OBSERVABILIDADE E AUDITORIA PARA CONFORMIDADE COM A LGPD EM APIS GOVERNAMENTAIS</w:t>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center"/>
        <w:rPr>
          <w:rFonts w:ascii="Arial" w:hAnsi="Arial" w:eastAsia="Arial" w:cs="Arial"/>
          <w:b/>
          <w:bCs/>
        </w:rPr>
      </w:pPr>
      <w:r>
        <w:rPr>
          <w:rFonts w:eastAsia="Arial" w:cs="Arial"/>
          <w:b/>
          <w:bCs/>
        </w:rPr>
      </w:r>
    </w:p>
    <w:p>
      <w:pPr>
        <w:pStyle w:val="normal1"/>
        <w:shd w:val="clear" w:fill="auto"/>
        <w:spacing w:lineRule="auto" w:line="360"/>
        <w:jc w:val="both"/>
        <w:rPr>
          <w:rFonts w:ascii="Arial" w:hAnsi="Arial" w:eastAsia="Arial" w:cs="Arial"/>
          <w:sz w:val="18"/>
          <w:szCs w:val="18"/>
        </w:rPr>
      </w:pPr>
      <w:r>
        <w:rPr>
          <w:rFonts w:eastAsia="Arial" w:cs="Arial"/>
          <w:sz w:val="18"/>
          <w:szCs w:val="18"/>
        </w:rPr>
        <w:t>Trabalho de Graduação apresentado à Faculdade de Tecnologia de Campinas, como requisito parcial para a obtenção do título de Tecnólogo em Análise e Desenvolvimento de Sistemas.</w:t>
      </w:r>
    </w:p>
    <w:p>
      <w:pPr>
        <w:pStyle w:val="normal1"/>
        <w:shd w:val="clear" w:fill="auto"/>
        <w:spacing w:lineRule="auto" w:line="360"/>
        <w:jc w:val="center"/>
        <w:rPr>
          <w:rFonts w:ascii="Arial" w:hAnsi="Arial" w:eastAsia="Arial" w:cs="Arial"/>
          <w:sz w:val="18"/>
          <w:szCs w:val="18"/>
        </w:rPr>
      </w:pPr>
      <w:r>
        <w:rPr>
          <w:rFonts w:eastAsia="Arial" w:cs="Arial"/>
          <w:sz w:val="18"/>
          <w:szCs w:val="18"/>
        </w:rPr>
      </w:r>
    </w:p>
    <w:p>
      <w:pPr>
        <w:pStyle w:val="normal1"/>
        <w:shd w:val="clear" w:fill="auto"/>
        <w:spacing w:lineRule="auto" w:line="360"/>
        <w:jc w:val="center"/>
        <w:rPr>
          <w:rFonts w:ascii="Arial" w:hAnsi="Arial" w:eastAsia="Arial" w:cs="Arial"/>
          <w:sz w:val="18"/>
          <w:szCs w:val="18"/>
        </w:rPr>
      </w:pPr>
      <w:r>
        <w:rPr>
          <w:rFonts w:eastAsia="Arial" w:cs="Arial"/>
          <w:sz w:val="18"/>
          <w:szCs w:val="18"/>
        </w:rPr>
      </w:r>
    </w:p>
    <w:p>
      <w:pPr>
        <w:pStyle w:val="normal1"/>
        <w:shd w:val="clear" w:fill="auto"/>
        <w:spacing w:lineRule="auto" w:line="360"/>
        <w:jc w:val="center"/>
        <w:rPr>
          <w:rFonts w:ascii="Arial" w:hAnsi="Arial" w:eastAsia="Arial" w:cs="Arial"/>
          <w:sz w:val="18"/>
          <w:szCs w:val="18"/>
        </w:rPr>
      </w:pPr>
      <w:r>
        <w:rPr>
          <w:rFonts w:eastAsia="Arial" w:cs="Arial"/>
          <w:sz w:val="18"/>
          <w:szCs w:val="18"/>
        </w:rPr>
      </w:r>
    </w:p>
    <w:p>
      <w:pPr>
        <w:pStyle w:val="normal1"/>
        <w:shd w:val="clear" w:fill="auto"/>
        <w:spacing w:lineRule="auto" w:line="360"/>
        <w:jc w:val="center"/>
        <w:rPr>
          <w:rFonts w:ascii="Arial" w:hAnsi="Arial" w:eastAsia="Arial" w:cs="Arial"/>
        </w:rPr>
      </w:pPr>
      <w:r>
        <w:rPr>
          <w:rFonts w:eastAsia="Arial" w:cs="Arial"/>
        </w:rPr>
        <w:t xml:space="preserve">Orientador: Prof. </w:t>
      </w:r>
      <w:r>
        <w:rPr/>
        <w:t>Nelson Hideyoshi Koshoji</w:t>
      </w:r>
    </w:p>
    <w:p>
      <w:pPr>
        <w:pStyle w:val="normal1"/>
        <w:shd w:val="clear" w:fill="auto"/>
        <w:spacing w:lineRule="auto" w:line="360"/>
        <w:jc w:val="center"/>
        <w:rPr>
          <w:rFonts w:ascii="Arial" w:hAnsi="Arial" w:eastAsia="Arial" w:cs="Arial"/>
        </w:rPr>
      </w:pPr>
      <w:r>
        <w:rPr>
          <w:rFonts w:eastAsia="Arial" w:cs="Arial"/>
        </w:rPr>
      </w:r>
    </w:p>
    <w:p>
      <w:pPr>
        <w:pStyle w:val="normal1"/>
        <w:shd w:val="clear" w:fill="auto"/>
        <w:spacing w:lineRule="auto" w:line="360"/>
        <w:jc w:val="center"/>
        <w:rPr>
          <w:rFonts w:ascii="Arial" w:hAnsi="Arial" w:eastAsia="Arial" w:cs="Arial"/>
        </w:rPr>
      </w:pPr>
      <w:r>
        <w:rPr>
          <w:rFonts w:eastAsia="Arial" w:cs="Arial"/>
        </w:rPr>
      </w:r>
    </w:p>
    <w:p>
      <w:pPr>
        <w:pStyle w:val="normal1"/>
        <w:shd w:val="clear" w:fill="auto"/>
        <w:spacing w:lineRule="auto" w:line="360"/>
        <w:jc w:val="center"/>
        <w:rPr>
          <w:rFonts w:ascii="Arial" w:hAnsi="Arial" w:eastAsia="Arial" w:cs="Arial"/>
        </w:rPr>
      </w:pPr>
      <w:r>
        <w:rPr>
          <w:rFonts w:eastAsia="Arial" w:cs="Arial"/>
        </w:rPr>
      </w:r>
    </w:p>
    <w:p>
      <w:pPr>
        <w:pStyle w:val="normal1"/>
        <w:shd w:val="clear" w:fill="auto"/>
        <w:spacing w:lineRule="auto" w:line="360"/>
        <w:jc w:val="center"/>
        <w:rPr>
          <w:rFonts w:ascii="Arial" w:hAnsi="Arial" w:eastAsia="Arial" w:cs="Arial"/>
        </w:rPr>
      </w:pPr>
      <w:r>
        <w:rPr>
          <w:rFonts w:eastAsia="Arial" w:cs="Arial"/>
        </w:rPr>
      </w:r>
    </w:p>
    <w:p>
      <w:pPr>
        <w:pStyle w:val="normal1"/>
        <w:shd w:val="clear" w:fill="auto"/>
        <w:spacing w:lineRule="auto" w:line="360"/>
        <w:jc w:val="center"/>
        <w:rPr>
          <w:rFonts w:ascii="Arial" w:hAnsi="Arial" w:eastAsia="Arial" w:cs="Arial"/>
        </w:rPr>
      </w:pPr>
      <w:r>
        <w:rPr>
          <w:rFonts w:eastAsia="Arial" w:cs="Arial"/>
        </w:rPr>
      </w:r>
    </w:p>
    <w:p>
      <w:pPr>
        <w:pStyle w:val="normal1"/>
        <w:shd w:val="clear" w:fill="auto"/>
        <w:spacing w:lineRule="auto" w:line="360"/>
        <w:jc w:val="center"/>
        <w:rPr>
          <w:rFonts w:ascii="Arial" w:hAnsi="Arial" w:eastAsia="Arial" w:cs="Arial"/>
          <w:b/>
          <w:bCs/>
        </w:rPr>
      </w:pPr>
      <w:r>
        <w:rPr>
          <w:rFonts w:eastAsia="Arial" w:cs="Arial"/>
          <w:b/>
          <w:bCs/>
        </w:rPr>
        <w:t>CAMPINAS/SP</w:t>
      </w:r>
    </w:p>
    <w:p>
      <w:pPr>
        <w:pStyle w:val="normal1"/>
        <w:shd w:val="clear" w:fill="auto"/>
        <w:spacing w:lineRule="auto" w:line="360"/>
        <w:jc w:val="center"/>
        <w:rPr>
          <w:rFonts w:ascii="Arial" w:hAnsi="Arial" w:eastAsia="Arial" w:cs="Arial"/>
          <w:b/>
          <w:bCs/>
        </w:rPr>
      </w:pPr>
      <w:r>
        <w:rPr>
          <w:rFonts w:eastAsia="Arial" w:cs="Arial"/>
          <w:b/>
          <w:bCs/>
        </w:rPr>
        <w:t>2026</w:t>
      </w:r>
    </w:p>
    <w:p>
      <w:pPr>
        <w:pStyle w:val="Heading2"/>
        <w:shd w:val="clear" w:fill="auto"/>
        <w:spacing w:lineRule="auto" w:line="360" w:before="0" w:after="0"/>
        <w:jc w:val="both"/>
        <w:rPr>
          <w:rFonts w:ascii="Arial" w:hAnsi="Arial" w:eastAsia="Arial" w:cs="Arial"/>
          <w:b/>
          <w:bCs/>
        </w:rPr>
      </w:pPr>
      <w:r>
        <w:rPr>
          <w:rFonts w:eastAsia="Arial" w:cs="Arial"/>
          <w:b/>
          <w:bCs/>
        </w:rPr>
      </w:r>
    </w:p>
    <w:p>
      <w:pPr>
        <w:pStyle w:val="normal1"/>
        <w:shd w:val="clear" w:fill="auto"/>
        <w:spacing w:lineRule="auto" w:line="360" w:before="225" w:after="225"/>
        <w:jc w:val="left"/>
        <w:rPr>
          <w:b/>
          <w:bCs/>
        </w:rPr>
      </w:pPr>
      <w:r>
        <w:rPr>
          <w:b/>
          <w:bCs/>
        </w:rPr>
        <w:t>RESUMO</w:t>
      </w:r>
    </w:p>
    <w:p>
      <w:pPr>
        <w:pStyle w:val="normal1"/>
        <w:shd w:val="clear" w:fill="auto"/>
        <w:spacing w:lineRule="auto" w:line="360"/>
        <w:jc w:val="both"/>
        <w:rPr>
          <w:rFonts w:ascii="Arial" w:hAnsi="Arial" w:eastAsia="Arial" w:cs="Arial"/>
        </w:rPr>
      </w:pPr>
      <w:r>
        <w:rPr>
          <w:rFonts w:eastAsia="Arial" w:cs="Arial"/>
        </w:rPr>
        <w:t xml:space="preserve">A transformação digital na administração pública brasileira tem impulsionado a migração de serviços essenciais para arquiteturas de microsserviços, o que gera desafios complexos no que concerne à observabilidade e à conformidade com a Lei Geral de Proteção de Dados (LGPD). Este trabalho apresenta o desenvolvimento do framework </w:t>
      </w:r>
      <w:r>
        <w:rPr/>
        <w:t>AuditGov</w:t>
      </w:r>
      <w:r>
        <w:rPr>
          <w:rFonts w:eastAsia="Arial" w:cs="Arial"/>
        </w:rPr>
        <w:t>, uma solução de observabilidade concebida para automatizar a geração de evidências de auditoria em APIs governamentais de alta escala. O problema central da investigação reside na dificuldade de garantir a rastreabilidade total das operações de tratamento de dados pessoais em sistemas distribuídos sem comprometer a performance e a eficiência de recursos. A metodologia fundamenta-se em uma pesquisa aplicada de abordagem qualitativa, estruturada por meio do desenvolvimento de uma Prova de Conceito (PoC). A implementação técnica utiliza o framework Quarkus e o protocolo OpenTelemetry para assegurar a correlação imutável entre o rastreamento distribuído (</w:t>
      </w:r>
      <w:r>
        <w:rPr>
          <w:rFonts w:eastAsia="Arial" w:cs="Arial"/>
          <w:i/>
          <w:iCs/>
        </w:rPr>
        <w:t>distributed tracing</w:t>
      </w:r>
      <w:r>
        <w:rPr>
          <w:rFonts w:eastAsia="Arial" w:cs="Arial"/>
        </w:rPr>
        <w:t>) e a identidade do operador. Os resultados esperados compreendem a validação de um artefato capaz de produzir logs de auditoria íntegros e auditáveis, garantindo a transparência e a segurança jurídica exigidas pela administração pública e pela Autoridade Nacional de Proteção de Dados (ANPD).</w:t>
      </w:r>
    </w:p>
    <w:p>
      <w:pPr>
        <w:pStyle w:val="normal1"/>
        <w:shd w:val="clear" w:fill="auto"/>
        <w:spacing w:lineRule="auto" w:line="360"/>
        <w:jc w:val="both"/>
        <w:rPr>
          <w:rFonts w:ascii="Arial" w:hAnsi="Arial" w:eastAsia="Arial" w:cs="Arial"/>
        </w:rPr>
      </w:pPr>
      <w:r>
        <w:rPr>
          <w:rFonts w:eastAsia="Arial" w:cs="Arial"/>
          <w:b/>
          <w:bCs/>
        </w:rPr>
        <w:t>Palavras-chave:</w:t>
      </w:r>
      <w:r>
        <w:rPr>
          <w:rFonts w:eastAsia="Arial" w:cs="Arial"/>
        </w:rPr>
        <w:t xml:space="preserve"> Observabilidade. LGPD. Quarkus. OpenTelemetry. GovTech.</w:t>
      </w:r>
    </w:p>
    <w:p>
      <w:pPr>
        <w:pStyle w:val="Heading2"/>
        <w:shd w:val="clear" w:fill="auto"/>
        <w:spacing w:lineRule="auto" w:line="360" w:before="0" w:after="0"/>
        <w:jc w:val="both"/>
        <w:rPr>
          <w:rFonts w:ascii="Arial" w:hAnsi="Arial" w:eastAsia="Arial" w:cs="Arial"/>
        </w:rPr>
      </w:pPr>
      <w:r>
        <w:rPr>
          <w:rFonts w:eastAsia="Arial" w:cs="Arial"/>
        </w:rPr>
      </w:r>
    </w:p>
    <w:p>
      <w:pPr>
        <w:pStyle w:val="normal1"/>
        <w:shd w:val="clear" w:fill="auto"/>
        <w:spacing w:lineRule="auto" w:line="360" w:before="225" w:after="225"/>
        <w:jc w:val="left"/>
        <w:rPr>
          <w:b/>
          <w:bCs/>
        </w:rPr>
      </w:pPr>
      <w:r>
        <w:rPr>
          <w:b/>
          <w:bCs/>
        </w:rPr>
        <w:t>ABSTRACT</w:t>
      </w:r>
    </w:p>
    <w:p>
      <w:pPr>
        <w:pStyle w:val="normal1"/>
        <w:shd w:val="clear" w:fill="auto"/>
        <w:spacing w:lineRule="auto" w:line="360"/>
        <w:jc w:val="both"/>
        <w:rPr>
          <w:rFonts w:ascii="Arial" w:hAnsi="Arial" w:eastAsia="Arial" w:cs="Arial"/>
        </w:rPr>
      </w:pPr>
      <w:r>
        <w:rPr>
          <w:rFonts w:eastAsia="Arial" w:cs="Arial"/>
        </w:rPr>
        <w:t xml:space="preserve">The digital transformation in the Brazilian public administration has driven the migration of essential services to microservices architectures, which creates complex challenges regarding observability and compliance with the General Data Protection Law (LGPD). This work presents the development of the </w:t>
      </w:r>
      <w:r>
        <w:rPr/>
        <w:t xml:space="preserve">AuditGov </w:t>
      </w:r>
      <w:r>
        <w:rPr>
          <w:rFonts w:eastAsia="Arial" w:cs="Arial"/>
        </w:rPr>
        <w:t>framework, an observability solution designed to automate the generation of audit evidence in high-scale government APIs. The central research problem lies in the difficulty of ensuring full traceability of personal data processing operations in distributed systems without compromising performance and resource efficiency. The methodology is based on applied research with a qualitative approach, structured through the development of a Proof of Concept (PoC). The technical implementation uses the Quarkus framework and the OpenTelemetry protocol to ensure an immutable correlation between distributed tracing and the operator's identity. The expected results include the validation of an artifact capable of producing integral and auditable logs, ensuring the transparency and legal security required by the public administration and the National Data Protection Authority (ANPD).</w:t>
      </w:r>
    </w:p>
    <w:p>
      <w:pPr>
        <w:pStyle w:val="normal1"/>
        <w:shd w:val="clear" w:fill="auto"/>
        <w:spacing w:lineRule="auto" w:line="360"/>
        <w:jc w:val="both"/>
        <w:rPr>
          <w:rFonts w:ascii="Arial" w:hAnsi="Arial" w:eastAsia="Arial" w:cs="Arial"/>
        </w:rPr>
      </w:pPr>
      <w:r>
        <w:rPr>
          <w:rFonts w:eastAsia="Arial" w:cs="Arial"/>
          <w:b/>
          <w:bCs/>
        </w:rPr>
        <w:t>Keywords:</w:t>
      </w:r>
      <w:r>
        <w:rPr>
          <w:rFonts w:eastAsia="Arial" w:cs="Arial"/>
        </w:rPr>
        <w:t xml:space="preserve"> Observability. LGPD. Quarkus. OpenTelemetry. GovTech.</w:t>
      </w:r>
    </w:p>
    <w:p>
      <w:pPr>
        <w:pStyle w:val="Heading1"/>
        <w:shd w:val="clear" w:fill="auto"/>
        <w:spacing w:lineRule="auto" w:line="360" w:before="0" w:after="0"/>
        <w:jc w:val="both"/>
        <w:rPr>
          <w:rFonts w:ascii="Arial" w:hAnsi="Arial" w:eastAsia="Arial" w:cs="Arial"/>
        </w:rPr>
      </w:pPr>
      <w:r>
        <w:rPr>
          <w:rFonts w:eastAsia="Arial" w:cs="Arial"/>
        </w:rPr>
      </w:r>
    </w:p>
    <w:p>
      <w:pPr>
        <w:pStyle w:val="normal1"/>
        <w:shd w:val="clear" w:fill="auto"/>
        <w:spacing w:lineRule="auto" w:line="360" w:before="240" w:after="240"/>
        <w:jc w:val="both"/>
        <w:rPr>
          <w:b/>
          <w:bCs/>
          <w:sz w:val="36"/>
          <w:szCs w:val="36"/>
        </w:rPr>
      </w:pPr>
      <w:r>
        <w:rPr>
          <w:b/>
          <w:bCs/>
          <w:sz w:val="36"/>
          <w:szCs w:val="36"/>
        </w:rPr>
        <w:t>1. INTRODUÇÃO</w:t>
      </w:r>
    </w:p>
    <w:p>
      <w:pPr>
        <w:pStyle w:val="normal1"/>
        <w:shd w:val="clear" w:fill="auto"/>
        <w:spacing w:lineRule="auto" w:line="360" w:before="0" w:after="225"/>
        <w:jc w:val="both"/>
        <w:rPr>
          <w:rFonts w:ascii="Arial" w:hAnsi="Arial" w:eastAsia="Arial" w:cs="Arial"/>
        </w:rPr>
      </w:pPr>
      <w:r>
        <w:rPr>
          <w:rFonts w:eastAsia="Arial" w:cs="Arial"/>
        </w:rPr>
        <w:t xml:space="preserve">A transformação digital no setor público brasileiro deixou de ser uma tendência para se consolidar como uma diretriz estratégica, impulsionada por políticas como a Estratégia de Governo Digital. Esse movimento visa converter serviços estatais anteriormente burocráticos em plataformas digitais ágeis, utilizando arquiteturas modernas de microserviços e computação em nuvem. Nesse cenário, ganham destaque as </w:t>
      </w:r>
      <w:r>
        <w:rPr/>
        <w:t>GovTechs</w:t>
      </w:r>
      <w:r>
        <w:rPr>
          <w:rFonts w:eastAsia="Arial" w:cs="Arial"/>
        </w:rPr>
        <w:t>, empresas que desenvolvem soluções tecnológicas para o Estado e que lidam com volumes massivos de dados sensíveis de milhões de cidadãos. No entanto, essa evolução tecnológica impõe o desafio de garantir a visibilidade sobre as operações de tratamento de dados em ambientes cada vez mais fragmentados.</w:t>
      </w:r>
    </w:p>
    <w:p>
      <w:pPr>
        <w:pStyle w:val="Heading2"/>
        <w:shd w:val="clear" w:fill="auto"/>
        <w:spacing w:lineRule="auto" w:line="360" w:before="0" w:after="225"/>
        <w:jc w:val="both"/>
        <w:rPr>
          <w:rFonts w:ascii="Arial" w:hAnsi="Arial" w:eastAsia="Arial" w:cs="Arial"/>
        </w:rPr>
      </w:pPr>
      <w:r>
        <w:rPr>
          <w:rFonts w:eastAsia="Arial" w:cs="Arial"/>
        </w:rPr>
        <w:t>1.1 Contextualização</w:t>
      </w:r>
    </w:p>
    <w:p>
      <w:pPr>
        <w:pStyle w:val="normal1"/>
        <w:shd w:val="clear" w:fill="auto"/>
        <w:spacing w:lineRule="auto" w:line="360"/>
        <w:jc w:val="both"/>
        <w:rPr>
          <w:rFonts w:ascii="Arial" w:hAnsi="Arial" w:eastAsia="Arial" w:cs="Arial"/>
        </w:rPr>
      </w:pPr>
      <w:r>
        <w:rPr>
          <w:rFonts w:eastAsia="Arial" w:cs="Arial"/>
        </w:rPr>
        <w:t>Historicamente, os sistemas governamentais operavam em estruturas monolíticas e centralizadas, onde a auditoria de acesso era realizada de forma simplificada. Com a transição para arquiteturas de microsserviços, uma única solicitação de um cidadão pode atravessar múltiplas APIs independentes antes de sua conclusão. Nesse panorama, a complexidade da telemetria torna-se evidente, visto que o rastro de uma operação pode se dissipar entre as fronteiras dos serviços caso não existam mecanismos de correlação padronizados.</w:t>
      </w:r>
    </w:p>
    <w:p>
      <w:pPr>
        <w:pStyle w:val="normal1"/>
        <w:shd w:val="clear" w:fill="auto"/>
        <w:spacing w:lineRule="auto" w:line="360" w:before="0" w:after="225"/>
        <w:jc w:val="both"/>
        <w:rPr>
          <w:rFonts w:ascii="Arial" w:hAnsi="Arial" w:eastAsia="Arial" w:cs="Arial"/>
        </w:rPr>
      </w:pPr>
      <w:r>
        <w:rPr>
          <w:rFonts w:eastAsia="Arial" w:cs="Arial"/>
        </w:rPr>
        <w:t>A promulgação da Lei Geral de Proteção de Dados (LGPD) em 2018 elevou as exigências sobre esses registros, estabelecendo que a administração pública tem o dever legal de assegurar a transparência e a rastreabilidade de cada tratamento de dado pessoal. Contudo, observa-se que as ferramentas de auditoria convencionais operam frequentemente de maneira síncrona ou proprietária. Essa característica resulta em gargalos de performance que podem comprometer a agilidade exigida pelos serviços digitais modernos, evidenciando a necessidade de soluções de observabilidade que sejam nativas da nuvem.</w:t>
      </w:r>
    </w:p>
    <w:p>
      <w:pPr>
        <w:pStyle w:val="Heading2"/>
        <w:shd w:val="clear" w:fill="auto"/>
        <w:spacing w:lineRule="auto" w:line="360" w:before="0" w:after="225"/>
        <w:jc w:val="both"/>
        <w:rPr>
          <w:rFonts w:ascii="Arial" w:hAnsi="Arial" w:eastAsia="Arial" w:cs="Arial"/>
        </w:rPr>
      </w:pPr>
      <w:r>
        <w:rPr>
          <w:rFonts w:eastAsia="Arial" w:cs="Arial"/>
        </w:rPr>
        <w:t>1.2 Problemática e Justificativa</w:t>
      </w:r>
    </w:p>
    <w:p>
      <w:pPr>
        <w:pStyle w:val="normal1"/>
        <w:shd w:val="clear" w:fill="auto"/>
        <w:spacing w:lineRule="auto" w:line="360"/>
        <w:jc w:val="both"/>
        <w:rPr>
          <w:rFonts w:ascii="Arial" w:hAnsi="Arial" w:eastAsia="Arial" w:cs="Arial"/>
        </w:rPr>
      </w:pPr>
      <w:r>
        <w:rPr>
          <w:rFonts w:eastAsia="Arial" w:cs="Arial"/>
        </w:rPr>
        <w:t>O problema central desta pesquisa reside na dificuldade de manter trilhas de auditoria íntegras e completas em sistemas de alta escala sem degradar a experiência do usuário ou elevar excessivamente os custos de infraestrutura. Existe um conflito intrínseco entre a exigência de logs detalhados para conformidade jurídica e a necessidade de latência mínima para a performance do sistema. Adicionalmente, nota-se uma lacuna técnica quanto à existência de frameworks que integrem a identidade do operador e o rastro técnico da requisição em um único contexto imutável e persistente.</w:t>
      </w:r>
    </w:p>
    <w:p>
      <w:pPr>
        <w:pStyle w:val="normal1"/>
        <w:shd w:val="clear" w:fill="auto"/>
        <w:spacing w:lineRule="auto" w:line="360" w:before="0" w:after="225"/>
        <w:jc w:val="both"/>
        <w:rPr/>
      </w:pPr>
      <w:r>
        <w:rPr/>
        <w:t>Diante desse cenário, a justificativa para este trabalho fundamenta-se na proposição de um "fio condutor" regulatório automatizado. A escolha pelo framework Quarkus é motivada por sua eficiência em ambientes de nuvem, uma vez que sua capacidade de compilação nativa reduz drasticamente o consumo de memória RAM. Paralelamente, a adoção do OpenTelemetry justifica-se por ser um padrão global e neutro, o que evita o aprisionamento tecnológico (</w:t>
      </w:r>
      <w:r>
        <w:rPr>
          <w:i/>
          <w:iCs/>
        </w:rPr>
        <w:t>vendor lock-in</w:t>
      </w:r>
      <w:r>
        <w:rPr/>
        <w:t>) e garante que o identificador de rastreio (</w:t>
      </w:r>
      <w:r>
        <w:rPr>
          <w:i/>
          <w:iCs/>
        </w:rPr>
        <w:t>Trace ID</w:t>
      </w:r>
      <w:r>
        <w:rPr/>
        <w:t>) sirva como prova técnica da autenticidade de cada transação. Dessa forma, a união entre rastreamento distribuído e as obrigações da LGPD permite a consolidação de uma governança de dados pautada em evidências técnicas sólidas.</w:t>
      </w:r>
    </w:p>
    <w:p>
      <w:pPr>
        <w:pStyle w:val="Heading2"/>
        <w:shd w:val="clear" w:fill="auto"/>
        <w:spacing w:lineRule="auto" w:line="360" w:before="0" w:after="240"/>
        <w:jc w:val="both"/>
        <w:rPr>
          <w:rFonts w:ascii="Arial" w:hAnsi="Arial" w:eastAsia="Arial" w:cs="Arial"/>
        </w:rPr>
      </w:pPr>
      <w:r>
        <w:rPr>
          <w:rFonts w:eastAsia="Arial" w:cs="Arial"/>
        </w:rPr>
        <w:t>1.3 Objetivos</w:t>
      </w:r>
    </w:p>
    <w:p>
      <w:pPr>
        <w:pStyle w:val="Heading3"/>
        <w:shd w:val="clear" w:fill="auto"/>
        <w:spacing w:lineRule="auto" w:line="360" w:before="0" w:after="240"/>
        <w:jc w:val="both"/>
        <w:rPr>
          <w:rFonts w:ascii="Arial" w:hAnsi="Arial" w:eastAsia="Arial" w:cs="Arial"/>
        </w:rPr>
      </w:pPr>
      <w:r>
        <w:rPr>
          <w:rFonts w:eastAsia="Arial" w:cs="Arial"/>
        </w:rPr>
        <w:t>1.3.1 Objetivo Geral</w:t>
      </w:r>
    </w:p>
    <w:p>
      <w:pPr>
        <w:pStyle w:val="normal1"/>
        <w:shd w:val="clear" w:fill="auto"/>
        <w:spacing w:lineRule="auto" w:line="360" w:before="0" w:after="240"/>
        <w:jc w:val="both"/>
        <w:rPr/>
      </w:pPr>
      <w:r>
        <w:rPr/>
        <w:t>O objetivo geral deste trabalho consiste em desenvolver um framework de observabilidade, denominado AuditGov, que utilize interceptores Quarkus e o protocolo OpenTelemetry para automatizar a geração de evidências de auditoria em total conformidade com a LGPD.</w:t>
      </w:r>
    </w:p>
    <w:p>
      <w:pPr>
        <w:pStyle w:val="Heading3"/>
        <w:shd w:val="clear" w:fill="auto"/>
        <w:spacing w:lineRule="auto" w:line="360" w:before="0" w:after="240"/>
        <w:jc w:val="both"/>
        <w:rPr>
          <w:rFonts w:ascii="Arial" w:hAnsi="Arial" w:eastAsia="Arial" w:cs="Arial"/>
        </w:rPr>
      </w:pPr>
      <w:r>
        <w:rPr>
          <w:rFonts w:eastAsia="Arial" w:cs="Arial"/>
        </w:rPr>
        <w:t>1.3.2 Objetivos Específicos</w:t>
      </w:r>
    </w:p>
    <w:p>
      <w:pPr>
        <w:pStyle w:val="normal1"/>
        <w:numPr>
          <w:ilvl w:val="0"/>
          <w:numId w:val="2"/>
        </w:numPr>
        <w:shd w:val="clear" w:fill="auto"/>
        <w:spacing w:lineRule="auto" w:line="360"/>
        <w:ind w:hanging="360" w:left="600"/>
        <w:jc w:val="both"/>
        <w:rPr/>
      </w:pPr>
      <w:r>
        <w:rPr>
          <w:rFonts w:eastAsia="Arial" w:cs="Arial"/>
          <w:b/>
          <w:bCs/>
        </w:rPr>
        <w:t>Investigar</w:t>
      </w:r>
      <w:r>
        <w:rPr>
          <w:rFonts w:eastAsia="Arial" w:cs="Arial"/>
        </w:rPr>
        <w:t xml:space="preserve"> as especificações do padrão W3C </w:t>
      </w:r>
      <w:r>
        <w:rPr>
          <w:rFonts w:eastAsia="Arial" w:cs="Arial"/>
          <w:i/>
          <w:iCs/>
        </w:rPr>
        <w:t>Trace Context</w:t>
      </w:r>
      <w:r>
        <w:rPr>
          <w:rFonts w:eastAsia="Arial" w:cs="Arial"/>
        </w:rPr>
        <w:t xml:space="preserve"> para assegurar a propagação da identidade do usuário entre serviços distintos.</w:t>
      </w:r>
    </w:p>
    <w:p>
      <w:pPr>
        <w:pStyle w:val="normal1"/>
        <w:numPr>
          <w:ilvl w:val="0"/>
          <w:numId w:val="2"/>
        </w:numPr>
        <w:shd w:val="clear" w:fill="auto"/>
        <w:spacing w:lineRule="auto" w:line="360"/>
        <w:ind w:hanging="360" w:left="600"/>
        <w:jc w:val="both"/>
        <w:rPr/>
      </w:pPr>
      <w:r>
        <w:rPr>
          <w:rFonts w:eastAsia="Arial" w:cs="Arial"/>
          <w:b/>
          <w:bCs/>
        </w:rPr>
        <w:t>Implementar</w:t>
      </w:r>
      <w:r>
        <w:rPr>
          <w:rFonts w:eastAsia="Arial" w:cs="Arial"/>
        </w:rPr>
        <w:t xml:space="preserve"> interceptores baseados em Programação Orientada a Aspectos (POA) para capturar o contexto de segurança sem interferir na lógica de negócio das aplicações.</w:t>
      </w:r>
    </w:p>
    <w:p>
      <w:pPr>
        <w:pStyle w:val="normal1"/>
        <w:numPr>
          <w:ilvl w:val="0"/>
          <w:numId w:val="2"/>
        </w:numPr>
        <w:shd w:val="clear" w:fill="auto"/>
        <w:spacing w:lineRule="auto" w:line="360"/>
        <w:ind w:hanging="360" w:left="600"/>
        <w:jc w:val="both"/>
        <w:rPr/>
      </w:pPr>
      <w:r>
        <w:rPr>
          <w:rFonts w:eastAsia="Arial" w:cs="Arial"/>
          <w:b/>
          <w:bCs/>
        </w:rPr>
        <w:t>Avaliar</w:t>
      </w:r>
      <w:r>
        <w:rPr>
          <w:rFonts w:eastAsia="Arial" w:cs="Arial"/>
        </w:rPr>
        <w:t xml:space="preserve"> a aplicação de </w:t>
      </w:r>
      <w:r>
        <w:rPr>
          <w:rFonts w:eastAsia="Arial" w:cs="Arial"/>
          <w:i/>
          <w:iCs/>
        </w:rPr>
        <w:t>Scoped Values</w:t>
      </w:r>
      <w:r>
        <w:rPr>
          <w:rFonts w:eastAsia="Arial" w:cs="Arial"/>
        </w:rPr>
        <w:t xml:space="preserve"> (JEP 464) como método para garantir a imutabilidade e a segurança dos dados de auditoria em ambientes de alta concorrência.</w:t>
      </w:r>
    </w:p>
    <w:p>
      <w:pPr>
        <w:pStyle w:val="normal1"/>
        <w:numPr>
          <w:ilvl w:val="0"/>
          <w:numId w:val="2"/>
        </w:numPr>
        <w:shd w:val="clear" w:fill="auto"/>
        <w:spacing w:lineRule="auto" w:line="360"/>
        <w:ind w:hanging="360" w:left="600"/>
        <w:jc w:val="both"/>
        <w:rPr/>
      </w:pPr>
      <w:r>
        <w:rPr>
          <w:rFonts w:eastAsia="Arial" w:cs="Arial"/>
          <w:b/>
          <w:bCs/>
        </w:rPr>
        <w:t>Validar</w:t>
      </w:r>
      <w:r>
        <w:rPr>
          <w:rFonts w:eastAsia="Arial" w:cs="Arial"/>
        </w:rPr>
        <w:t xml:space="preserve"> a eficácia da solução proposta por meio de uma Prova de Conceito (PoC) integrada a ferramentas de visualização de telemetria, como o Jaeger.</w:t>
      </w:r>
    </w:p>
    <w:p>
      <w:pPr>
        <w:pStyle w:val="Heading2"/>
        <w:shd w:val="clear" w:fill="auto"/>
        <w:spacing w:lineRule="auto" w:line="360"/>
        <w:jc w:val="both"/>
        <w:rPr>
          <w:rFonts w:ascii="Arial" w:hAnsi="Arial" w:eastAsia="Arial" w:cs="Arial"/>
        </w:rPr>
      </w:pPr>
      <w:r>
        <w:rPr>
          <w:rFonts w:eastAsia="Arial" w:cs="Arial"/>
        </w:rPr>
        <w:t>1.4 Estrutura do Trabalho</w:t>
      </w:r>
    </w:p>
    <w:p>
      <w:pPr>
        <w:pStyle w:val="normal1"/>
        <w:shd w:val="clear" w:fill="auto"/>
        <w:spacing w:lineRule="auto" w:line="360"/>
        <w:jc w:val="both"/>
        <w:rPr>
          <w:rFonts w:ascii="Arial" w:hAnsi="Arial" w:eastAsia="Arial" w:cs="Arial"/>
        </w:rPr>
      </w:pPr>
      <w:r>
        <w:rPr>
          <w:rFonts w:eastAsia="Arial" w:cs="Arial"/>
        </w:rPr>
        <w:t>Para apresentar o desenvolvimento e os resultados desta pesquisa de forma organizada, este trabalho está estruturado em cinco capítulos, conforme descrito a seguir:</w:t>
      </w:r>
    </w:p>
    <w:p>
      <w:pPr>
        <w:pStyle w:val="normal1"/>
        <w:numPr>
          <w:ilvl w:val="0"/>
          <w:numId w:val="3"/>
        </w:numPr>
        <w:shd w:val="clear" w:fill="auto"/>
        <w:spacing w:lineRule="auto" w:line="360"/>
        <w:ind w:hanging="360" w:left="600"/>
        <w:jc w:val="both"/>
        <w:rPr/>
      </w:pPr>
      <w:r>
        <w:rPr>
          <w:rFonts w:eastAsia="Arial" w:cs="Arial"/>
          <w:b/>
          <w:bCs/>
        </w:rPr>
        <w:t>Capítulo 1 – Introdução:</w:t>
      </w:r>
      <w:r>
        <w:rPr>
          <w:rFonts w:eastAsia="Arial" w:cs="Arial"/>
        </w:rPr>
        <w:t xml:space="preserve"> Apresenta o tema, a contextualização histórica e tecnológica, o problema de pesquisa que motivou o estudo, a justificativa e os objetivos pretendidos.</w:t>
      </w:r>
    </w:p>
    <w:p>
      <w:pPr>
        <w:pStyle w:val="normal1"/>
        <w:numPr>
          <w:ilvl w:val="0"/>
          <w:numId w:val="3"/>
        </w:numPr>
        <w:shd w:val="clear" w:fill="auto"/>
        <w:spacing w:lineRule="auto" w:line="360"/>
        <w:ind w:hanging="360" w:left="600"/>
        <w:jc w:val="both"/>
        <w:rPr/>
      </w:pPr>
      <w:r>
        <w:rPr>
          <w:b/>
          <w:bCs/>
        </w:rPr>
        <w:t>Capítulo 2 – Referencial Teórico:</w:t>
      </w:r>
      <w:r>
        <w:rPr/>
        <w:t xml:space="preserve"> Reúne o embasamento teórico necessário sobre a LGPD, os pilares da observabilidade, o ecossistema OpenTelemetry e as tecnologias Java voltadas para nuvem.</w:t>
      </w:r>
    </w:p>
    <w:p>
      <w:pPr>
        <w:pStyle w:val="normal1"/>
        <w:numPr>
          <w:ilvl w:val="0"/>
          <w:numId w:val="3"/>
        </w:numPr>
        <w:shd w:val="clear" w:fill="auto"/>
        <w:spacing w:lineRule="auto" w:line="360"/>
        <w:ind w:hanging="360" w:left="600"/>
        <w:jc w:val="both"/>
        <w:rPr/>
      </w:pPr>
      <w:r>
        <w:rPr>
          <w:rFonts w:eastAsia="Arial" w:cs="Arial"/>
          <w:b/>
          <w:bCs/>
        </w:rPr>
        <w:t>Capítulo 3 – Objetivos e Metodologia:</w:t>
      </w:r>
      <w:r>
        <w:rPr>
          <w:rFonts w:eastAsia="Arial" w:cs="Arial"/>
        </w:rPr>
        <w:t xml:space="preserve"> Detalha os procedimentos técnicos adotados, classificando a pesquisa quanto à sua natureza aplicada e descrevendo as fases de desenvolvimento da solução.</w:t>
      </w:r>
    </w:p>
    <w:p>
      <w:pPr>
        <w:pStyle w:val="normal1"/>
        <w:numPr>
          <w:ilvl w:val="0"/>
          <w:numId w:val="3"/>
        </w:numPr>
        <w:shd w:val="clear" w:fill="auto"/>
        <w:spacing w:lineRule="auto" w:line="360"/>
        <w:ind w:hanging="360" w:left="600"/>
        <w:jc w:val="both"/>
        <w:rPr/>
      </w:pPr>
      <w:r>
        <w:rPr>
          <w:rFonts w:eastAsia="Arial" w:cs="Arial"/>
          <w:b/>
          <w:bCs/>
        </w:rPr>
        <w:t xml:space="preserve">Capítulo 4 – </w:t>
      </w:r>
      <w:r>
        <w:rPr>
          <w:rFonts w:eastAsia="Arial" w:cs="Arial"/>
          <w:b/>
          <w:bCs/>
        </w:rPr>
        <w:t xml:space="preserve">Cronograma de Desenvolvimento: </w:t>
      </w:r>
      <w:r>
        <w:rPr>
          <w:rFonts w:eastAsia="Arial" w:cs="Arial"/>
          <w:b w:val="false"/>
          <w:bCs w:val="false"/>
        </w:rPr>
        <w:t>Relata a sequência temporal da qual o projeto ira seguir para sua comclução</w:t>
      </w:r>
    </w:p>
    <w:p>
      <w:pPr>
        <w:pStyle w:val="normal1"/>
        <w:numPr>
          <w:ilvl w:val="0"/>
          <w:numId w:val="3"/>
        </w:numPr>
        <w:shd w:val="clear" w:fill="auto"/>
        <w:spacing w:lineRule="auto" w:line="360"/>
        <w:ind w:hanging="360" w:left="600"/>
        <w:jc w:val="both"/>
        <w:rPr>
          <w:rFonts w:eastAsia="Arial" w:cs="Arial"/>
          <w:b w:val="false"/>
          <w:bCs w:val="false"/>
        </w:rPr>
      </w:pPr>
      <w:r>
        <w:rPr>
          <w:rFonts w:eastAsia="Arial" w:cs="Arial"/>
          <w:b/>
          <w:bCs/>
        </w:rPr>
        <w:t>Capítulo 5</w:t>
      </w:r>
      <w:r>
        <w:rPr>
          <w:rFonts w:eastAsia="Arial" w:cs="Arial"/>
          <w:b w:val="false"/>
          <w:bCs w:val="false"/>
        </w:rPr>
        <w:t xml:space="preserve"> – </w:t>
      </w:r>
      <w:r>
        <w:rPr>
          <w:rFonts w:eastAsia="Arial" w:cs="Arial"/>
          <w:b/>
          <w:bCs/>
        </w:rPr>
        <w:t xml:space="preserve">Stash de Desenvolvimento: </w:t>
      </w:r>
      <w:r>
        <w:rPr>
          <w:rFonts w:eastAsia="Arial" w:cs="Arial"/>
          <w:b w:val="false"/>
          <w:bCs w:val="false"/>
        </w:rPr>
        <w:t>Tecnologias que deveram ser utilizadas para a confecção do produto final</w:t>
      </w:r>
    </w:p>
    <w:p>
      <w:pPr>
        <w:pStyle w:val="normal1"/>
        <w:numPr>
          <w:ilvl w:val="0"/>
          <w:numId w:val="0"/>
        </w:numPr>
        <w:shd w:val="clear" w:fill="auto"/>
        <w:spacing w:lineRule="auto" w:line="360"/>
        <w:ind w:hanging="0" w:left="240"/>
        <w:jc w:val="both"/>
        <w:rPr>
          <w:rFonts w:ascii="Arial" w:hAnsi="Arial" w:eastAsia="Arial" w:cs="Arial"/>
        </w:rPr>
      </w:pPr>
      <w:r>
        <w:rPr>
          <w:rFonts w:eastAsia="Arial" w:cs="Arial"/>
        </w:rPr>
      </w:r>
    </w:p>
    <w:p>
      <w:pPr>
        <w:pStyle w:val="normal1"/>
        <w:shd w:val="clear" w:fill="auto"/>
        <w:spacing w:lineRule="auto" w:line="360" w:before="240" w:after="240"/>
        <w:jc w:val="both"/>
        <w:rPr>
          <w:b/>
          <w:bCs/>
          <w:sz w:val="36"/>
          <w:szCs w:val="36"/>
        </w:rPr>
      </w:pPr>
      <w:r>
        <w:rPr>
          <w:b/>
          <w:bCs/>
          <w:sz w:val="36"/>
          <w:szCs w:val="36"/>
        </w:rPr>
        <w:t>2. REFERENCIAL TEÓRICO</w:t>
      </w:r>
    </w:p>
    <w:p>
      <w:pPr>
        <w:pStyle w:val="normal1"/>
        <w:widowControl/>
        <w:spacing w:lineRule="auto" w:line="276" w:before="240" w:after="240"/>
        <w:rPr>
          <w:rFonts w:ascii="Arial" w:hAnsi="Arial" w:eastAsia="Arial" w:cs="Arial"/>
        </w:rPr>
      </w:pPr>
      <w:r>
        <w:rPr/>
        <w:t>Neste capítulo, apresentam-se as bases conceituais e normativas que sustentam a proposta deste trabalho. A fundamentação percorre desde os aspectos legais da proteção de dados até as tecnologias de ponta em observabilidade e sistemas distribuídos.</w:t>
      </w:r>
    </w:p>
    <w:p>
      <w:pPr>
        <w:pStyle w:val="Heading2"/>
        <w:shd w:val="clear" w:fill="auto"/>
        <w:spacing w:lineRule="auto" w:line="360" w:before="0" w:after="225"/>
        <w:jc w:val="both"/>
        <w:rPr>
          <w:rFonts w:ascii="Arial" w:hAnsi="Arial" w:eastAsia="Arial" w:cs="Arial"/>
          <w:sz w:val="32"/>
          <w:szCs w:val="32"/>
        </w:rPr>
      </w:pPr>
      <w:r>
        <w:rPr>
          <w:sz w:val="32"/>
          <w:szCs w:val="32"/>
        </w:rPr>
        <w:t>2</w:t>
      </w:r>
      <w:r>
        <w:rPr>
          <w:rFonts w:eastAsia="Arial" w:cs="Arial"/>
          <w:sz w:val="32"/>
          <w:szCs w:val="32"/>
        </w:rPr>
        <w:t>.1 Lei Geral de Proteção de Dados (LGPD) no Setor Público</w:t>
      </w:r>
    </w:p>
    <w:p>
      <w:pPr>
        <w:pStyle w:val="normal1"/>
        <w:widowControl/>
        <w:spacing w:lineRule="auto" w:line="276" w:before="240" w:after="240"/>
        <w:rPr>
          <w:b/>
          <w:bCs/>
          <w:sz w:val="26"/>
          <w:szCs w:val="26"/>
        </w:rPr>
      </w:pPr>
      <w:r>
        <w:rPr/>
        <w:t>A promulgação da Lei nº 13.709/2018 estabeleceu um novo paradigma para o tratamento de dados pessoais no Brasil, impondo obrigações rigorosas especialmente para a administração pública. O foco reside na obrigatoriedade do registro de operações de tratamento como mecanismo de transparência e prestação de contas (</w:t>
      </w:r>
      <w:r>
        <w:rPr>
          <w:i/>
          <w:iCs/>
        </w:rPr>
        <w:t>accountability</w:t>
      </w:r>
      <w:r>
        <w:rPr/>
        <w:t>) perante o cidadão e os órgãos fiscalizadores.</w:t>
        <w:br/>
        <w:br/>
      </w:r>
      <w:r>
        <w:rPr>
          <w:b/>
          <w:bCs/>
          <w:sz w:val="26"/>
          <w:szCs w:val="26"/>
        </w:rPr>
        <w:t>2.1.1 Agentes de Tratamento e Responsabilidade Civil</w:t>
      </w:r>
    </w:p>
    <w:p>
      <w:pPr>
        <w:pStyle w:val="normal1"/>
        <w:widowControl/>
        <w:spacing w:lineRule="auto" w:line="276" w:before="240" w:after="240"/>
        <w:rPr/>
      </w:pPr>
      <w:r>
        <w:rPr/>
        <w:t>A legislação brasileira distingue as figuras do controlador e do operador. Segundo o Art. 5º da referida lei, o controlador é a pessoa "a quem competem as decisões referentes ao tratamento de dados pessoais", enquanto o operador é aquele que "realiza o tratamento de dados pessoais em nome do controlador" (BRASIL, 2018). No cenário de GovTechs, a clareza sobre essas funções é vital para a segurança jurídica. Conforme Pinheiro (2021, p. 84), "a responsabilidade civil no tratamento de dados pessoais é pautada pela transparência e pela capacidade do agente em demonstrar a licitude de seus atos".</w:t>
      </w:r>
    </w:p>
    <w:p>
      <w:pPr>
        <w:pStyle w:val="normal1"/>
        <w:widowControl/>
        <w:spacing w:lineRule="auto" w:line="276" w:before="240" w:after="240"/>
        <w:rPr/>
      </w:pPr>
      <w:r>
        <w:rPr/>
        <w:t xml:space="preserve">— </w:t>
      </w:r>
      <w:r>
        <w:rPr>
          <w:b/>
          <w:bCs/>
        </w:rPr>
        <w:t>A Rastreabilidade como Garantia de Não-Repúdio:</w:t>
      </w:r>
      <w:r>
        <w:rPr/>
        <w:t xml:space="preserve"> A implementação de um rastro técnico automatizado não é apenas uma funcionalidade acessória, mas a única evidência material capaz de garantir o </w:t>
      </w:r>
      <w:r>
        <w:rPr>
          <w:i/>
          <w:iCs/>
        </w:rPr>
        <w:t>não-repúdio</w:t>
      </w:r>
      <w:r>
        <w:rPr/>
        <w:t xml:space="preserve"> e a integridade da cadeia de custódia digital. Como ressalta a doutrina de perícia digital, a ausência de registros que comprovem a linha temporal e a autoria das ações caracteriza a contaminação da evidência, tornando-a nula em processos de auditoria (JUST ARBITRATION, 2025).</w:t>
      </w:r>
    </w:p>
    <w:p>
      <w:pPr>
        <w:pStyle w:val="Heading3"/>
        <w:widowControl/>
        <w:spacing w:lineRule="auto" w:line="276" w:before="280" w:after="80"/>
        <w:rPr>
          <w:sz w:val="26"/>
          <w:szCs w:val="26"/>
        </w:rPr>
      </w:pPr>
      <w:bookmarkStart w:id="0" w:name="_yas6lh2p4vmo"/>
      <w:bookmarkEnd w:id="0"/>
      <w:r>
        <w:rPr>
          <w:sz w:val="26"/>
          <w:szCs w:val="26"/>
        </w:rPr>
        <w:t>2.1.2 Requisitos para o Registro de Operações (Art. 37)</w:t>
      </w:r>
    </w:p>
    <w:p>
      <w:pPr>
        <w:pStyle w:val="normal1"/>
        <w:widowControl/>
        <w:spacing w:lineRule="auto" w:line="276" w:before="240" w:after="240"/>
        <w:rPr/>
      </w:pPr>
      <w:r>
        <w:rPr/>
        <w:t>A base legal para a rastreabilidade reside no Art. 37 da LGPD, que determina: "o controlador e o operador devem manter registro das operações de tratamento de dados pessoais que realizarem" (BRASIL, 2018). No âmbito público, a Autoridade Nacional de Proteção de Dados (ANPD, 2021, p. 12) ressalta que o tratamento não precisa ser realizado diretamente pelo controlador, mas o elemento distintivo é o "poder de decisão", o que exige que as instruções enviadas ao operador sejam passíveis de auditoria técnica sistemática.</w:t>
      </w:r>
    </w:p>
    <w:p>
      <w:pPr>
        <w:pStyle w:val="normal1"/>
        <w:widowControl/>
        <w:spacing w:lineRule="auto" w:line="276" w:before="240" w:after="240"/>
        <w:rPr/>
      </w:pPr>
      <w:r>
        <w:rPr/>
      </w:r>
    </w:p>
    <w:p>
      <w:pPr>
        <w:pStyle w:val="Heading2"/>
        <w:widowControl/>
        <w:spacing w:lineRule="auto" w:line="276" w:before="360" w:after="80"/>
        <w:rPr>
          <w:sz w:val="34"/>
          <w:szCs w:val="34"/>
        </w:rPr>
      </w:pPr>
      <w:bookmarkStart w:id="1" w:name="_l83ydkz9h633"/>
      <w:bookmarkEnd w:id="1"/>
      <w:r>
        <w:rPr>
          <w:sz w:val="34"/>
          <w:szCs w:val="34"/>
        </w:rPr>
        <w:t>2.2 Engenharia de Confiabilidade de Sites (SRE) e Observabilidade</w:t>
      </w:r>
    </w:p>
    <w:p>
      <w:pPr>
        <w:pStyle w:val="normal1"/>
        <w:widowControl/>
        <w:spacing w:lineRule="auto" w:line="276" w:before="240" w:after="240"/>
        <w:rPr/>
      </w:pPr>
      <w:r>
        <w:rPr/>
        <w:t>A Engenharia de Confiabilidade de Sites (</w:t>
      </w:r>
      <w:r>
        <w:rPr>
          <w:i/>
          <w:iCs/>
        </w:rPr>
        <w:t>Site Reliability Engineering</w:t>
      </w:r>
      <w:r>
        <w:rPr/>
        <w:t>) aplica práticas de software em operações para criar sistemas altamente escaláveis. A observabilidade define-se como a capacidade de compreender o estado interno de um sistema apenas a partir de seus dados externos (telemetria).</w:t>
      </w:r>
    </w:p>
    <w:p>
      <w:pPr>
        <w:pStyle w:val="Heading3"/>
        <w:widowControl/>
        <w:spacing w:lineRule="auto" w:line="276" w:before="280" w:after="80"/>
        <w:rPr>
          <w:sz w:val="26"/>
          <w:szCs w:val="26"/>
        </w:rPr>
      </w:pPr>
      <w:bookmarkStart w:id="2" w:name="_69tjss1ra8jk"/>
      <w:bookmarkEnd w:id="2"/>
      <w:r>
        <w:rPr>
          <w:sz w:val="26"/>
          <w:szCs w:val="26"/>
        </w:rPr>
        <w:t>2.2.1 Os Três Pilares: Métricas, Logs e Traces</w:t>
      </w:r>
    </w:p>
    <w:p>
      <w:pPr>
        <w:pStyle w:val="normal1"/>
        <w:widowControl/>
        <w:spacing w:lineRule="auto" w:line="276" w:before="240" w:after="240"/>
        <w:rPr/>
      </w:pPr>
      <w:r>
        <w:rPr/>
        <w:t>Diferente do monitoramento tradicional, a observabilidade foca na exploração de estados imprevisíveis. Conforme Beyer et al. (2016, p. 156), "a monitoração deve fornecer visibilidade sobre o comportamento do sistema de forma que falhas latentes sejam detectadas antes que se tornem interrupções".</w:t>
      </w:r>
    </w:p>
    <w:p>
      <w:pPr>
        <w:pStyle w:val="normal1"/>
        <w:widowControl/>
        <w:numPr>
          <w:ilvl w:val="0"/>
          <w:numId w:val="1"/>
        </w:numPr>
        <w:spacing w:lineRule="auto" w:line="276" w:before="240" w:afterAutospacing="0" w:after="0"/>
        <w:ind w:hanging="360" w:left="720"/>
        <w:rPr/>
      </w:pPr>
      <w:r>
        <w:rPr>
          <w:b/>
          <w:bCs/>
        </w:rPr>
        <w:t>Métricas:</w:t>
      </w:r>
      <w:r>
        <w:rPr/>
        <w:t xml:space="preserve"> Dados agregados sobre a saúde do sistema.</w:t>
      </w:r>
    </w:p>
    <w:p>
      <w:pPr>
        <w:pStyle w:val="normal1"/>
        <w:widowControl/>
        <w:numPr>
          <w:ilvl w:val="0"/>
          <w:numId w:val="1"/>
        </w:numPr>
        <w:spacing w:lineRule="auto" w:line="276" w:beforeAutospacing="0" w:before="0" w:afterAutospacing="0" w:after="0"/>
        <w:ind w:hanging="360" w:left="720"/>
        <w:rPr/>
      </w:pPr>
      <w:r>
        <w:rPr>
          <w:b/>
          <w:bCs/>
        </w:rPr>
        <w:t>Logs:</w:t>
      </w:r>
      <w:r>
        <w:rPr/>
        <w:t xml:space="preserve"> Registros de eventos discretos.</w:t>
      </w:r>
    </w:p>
    <w:p>
      <w:pPr>
        <w:pStyle w:val="normal1"/>
        <w:widowControl/>
        <w:numPr>
          <w:ilvl w:val="0"/>
          <w:numId w:val="1"/>
        </w:numPr>
        <w:spacing w:lineRule="auto" w:line="276" w:beforeAutospacing="0" w:before="0" w:after="240"/>
        <w:ind w:hanging="360" w:left="720"/>
        <w:rPr/>
      </w:pPr>
      <w:r>
        <w:rPr>
          <w:b/>
          <w:bCs/>
        </w:rPr>
        <w:t>Traces:</w:t>
      </w:r>
      <w:r>
        <w:rPr/>
        <w:t xml:space="preserve"> O fluxo de uma requisição em sistemas distribuídos. Major, Fondahl e Hart (2022) afirmam que o tracing é o "tecido conjuntivo" que permite entender como as solicitações fluem entre componentes isolados, permitindo responder perguntas sobre o sistema sem a necessidade de lançar novos códigos para cada investigação.</w:t>
      </w:r>
    </w:p>
    <w:p>
      <w:pPr>
        <w:pStyle w:val="Heading3"/>
        <w:widowControl/>
        <w:spacing w:lineRule="auto" w:line="276" w:before="280" w:after="80"/>
        <w:rPr>
          <w:sz w:val="26"/>
          <w:szCs w:val="26"/>
        </w:rPr>
      </w:pPr>
      <w:bookmarkStart w:id="3" w:name="_6hhrysqa9w4u"/>
      <w:bookmarkEnd w:id="3"/>
      <w:r>
        <w:rPr>
          <w:sz w:val="26"/>
          <w:szCs w:val="26"/>
        </w:rPr>
        <w:t>2.2.2 Indicadores de Nível de Serviço (SLI e SLO)</w:t>
      </w:r>
    </w:p>
    <w:p>
      <w:pPr>
        <w:pStyle w:val="normal1"/>
        <w:widowControl/>
        <w:spacing w:lineRule="auto" w:line="276" w:before="240" w:after="240"/>
        <w:rPr/>
      </w:pPr>
      <w:r>
        <w:rPr/>
        <w:t xml:space="preserve">A prática de SRE exige metas claras. No contexto público, a latência de uma consulta de dados é um indicador de eficiência administrativa. Como aponta Beyer et al. (2016), a definição de </w:t>
      </w:r>
      <w:r>
        <w:rPr>
          <w:b/>
          <w:bCs/>
        </w:rPr>
        <w:t>SLOs (Service Level Objectives)</w:t>
      </w:r>
      <w:r>
        <w:rPr/>
        <w:t xml:space="preserve"> baseados em evidências de telemetria é o que separa a gestão empírica da gestão baseada em engenharia. No AuditGov, o registro de conformidade é tratado como um indicador crítico de segurança sistêmica.</w:t>
      </w:r>
    </w:p>
    <w:p>
      <w:pPr>
        <w:pStyle w:val="Heading2"/>
        <w:widowControl/>
        <w:spacing w:lineRule="auto" w:line="276" w:before="360" w:after="80"/>
        <w:rPr>
          <w:sz w:val="34"/>
          <w:szCs w:val="34"/>
        </w:rPr>
      </w:pPr>
      <w:bookmarkStart w:id="4" w:name="_365vdvwex814"/>
      <w:bookmarkEnd w:id="4"/>
      <w:r>
        <w:rPr>
          <w:sz w:val="34"/>
          <w:szCs w:val="34"/>
        </w:rPr>
        <w:t>2.3 O Ecossistema OpenTelemetry e Rastreamento Distribuído</w:t>
      </w:r>
    </w:p>
    <w:p>
      <w:pPr>
        <w:pStyle w:val="normal1"/>
        <w:widowControl/>
        <w:spacing w:lineRule="auto" w:line="276" w:before="240" w:after="240"/>
        <w:rPr/>
      </w:pPr>
      <w:r>
        <w:rPr/>
        <w:t xml:space="preserve">O OpenTelemetry consolida-se como um padrão aberto e neutro para coleta de telemetria. O </w:t>
      </w:r>
      <w:r>
        <w:rPr>
          <w:i/>
          <w:iCs/>
        </w:rPr>
        <w:t>Distributed Tracing</w:t>
      </w:r>
      <w:r>
        <w:rPr/>
        <w:t xml:space="preserve"> correlaciona o fluxo de uma requisição entre microserviços, gerando um identificador único (</w:t>
      </w:r>
      <w:r>
        <w:rPr>
          <w:i/>
          <w:iCs/>
        </w:rPr>
        <w:t>Trace ID</w:t>
      </w:r>
      <w:r>
        <w:rPr/>
        <w:t>).</w:t>
      </w:r>
    </w:p>
    <w:p>
      <w:pPr>
        <w:pStyle w:val="Heading3"/>
        <w:widowControl/>
        <w:spacing w:lineRule="auto" w:line="276" w:before="280" w:after="80"/>
        <w:rPr>
          <w:sz w:val="26"/>
          <w:szCs w:val="26"/>
        </w:rPr>
      </w:pPr>
      <w:bookmarkStart w:id="5" w:name="_fg80iw9dxnta"/>
      <w:bookmarkEnd w:id="5"/>
      <w:r>
        <w:rPr>
          <w:sz w:val="26"/>
          <w:szCs w:val="26"/>
        </w:rPr>
        <w:t>2.3.1 Propagação de Contexto e Cabeçalhos W3C</w:t>
      </w:r>
    </w:p>
    <w:p>
      <w:pPr>
        <w:pStyle w:val="normal1"/>
        <w:widowControl/>
        <w:spacing w:lineRule="auto" w:line="276" w:before="240" w:after="240"/>
        <w:rPr/>
      </w:pPr>
      <w:r>
        <w:rPr/>
        <w:t xml:space="preserve">Para o rastro funcionar, o </w:t>
      </w:r>
      <w:r>
        <w:rPr>
          <w:i/>
          <w:iCs/>
        </w:rPr>
        <w:t>Trace ID</w:t>
      </w:r>
      <w:r>
        <w:rPr/>
        <w:t xml:space="preserve"> deve ser injetado nos cabeçalhos HTTP. A utilização do padrão </w:t>
      </w:r>
      <w:r>
        <w:rPr>
          <w:b/>
          <w:bCs/>
        </w:rPr>
        <w:t>W3C Trace Context</w:t>
      </w:r>
      <w:r>
        <w:rPr/>
        <w:t xml:space="preserve"> garante que a telemetria não seja perdida ao atravessar fronteiras de diferentes fornecedores de nuvem ou middleware (W3C, 2021). Essa padronização permite a reconstrução da </w:t>
      </w:r>
      <w:r>
        <w:rPr>
          <w:b/>
          <w:bCs/>
        </w:rPr>
        <w:t>linhagem do dado</w:t>
      </w:r>
      <w:r>
        <w:rPr/>
        <w:t xml:space="preserve"> através de todo o ecossistema governamental, eliminando pontos cegos na fiscalização de acessos transversais que anteriormente eram rompidos pela incompatibilidade de cabeçalhos proprietários.</w:t>
      </w:r>
    </w:p>
    <w:p>
      <w:pPr>
        <w:pStyle w:val="Heading3"/>
        <w:widowControl/>
        <w:spacing w:lineRule="auto" w:line="276" w:before="280" w:after="80"/>
        <w:rPr>
          <w:sz w:val="26"/>
          <w:szCs w:val="26"/>
        </w:rPr>
      </w:pPr>
      <w:bookmarkStart w:id="6" w:name="_p8ockj4idlv3"/>
      <w:bookmarkEnd w:id="6"/>
      <w:r>
        <w:rPr>
          <w:sz w:val="26"/>
          <w:szCs w:val="26"/>
        </w:rPr>
        <w:t>2.3.2 O Protocolo OTLP e Exportação de Dados</w:t>
      </w:r>
    </w:p>
    <w:p>
      <w:pPr>
        <w:pStyle w:val="normal1"/>
        <w:widowControl/>
        <w:spacing w:lineRule="auto" w:line="276" w:before="240" w:after="240"/>
        <w:rPr/>
      </w:pPr>
      <w:r>
        <w:rPr/>
        <w:t xml:space="preserve">O </w:t>
      </w:r>
      <w:r>
        <w:rPr>
          <w:i/>
          <w:iCs/>
        </w:rPr>
        <w:t>OpenTelemetry Protocol</w:t>
      </w:r>
      <w:r>
        <w:rPr/>
        <w:t xml:space="preserve"> (OTLP) define como os dados são serializados e transmitidos. De acordo com a Cloud Native Computing Foundation [CNCF] (2023), o rastro fornece a visibilidade end-to-end necessária para que o auditor jurídico visualize a cadeia exata de chamadas técnicas que resultou no acesso a um dado sensível, assegurando que o Estado mantenha a soberania tecnológica sobre seus registros de auditoria.</w:t>
      </w:r>
    </w:p>
    <w:p>
      <w:pPr>
        <w:pStyle w:val="Heading2"/>
        <w:widowControl/>
        <w:spacing w:lineRule="auto" w:line="276" w:before="360" w:after="80"/>
        <w:rPr>
          <w:sz w:val="34"/>
          <w:szCs w:val="34"/>
        </w:rPr>
      </w:pPr>
      <w:bookmarkStart w:id="7" w:name="_e448xj8zssz0"/>
      <w:bookmarkEnd w:id="7"/>
      <w:r>
        <w:rPr>
          <w:sz w:val="34"/>
          <w:szCs w:val="34"/>
        </w:rPr>
        <w:t>2.4 Framework Quarkus e Eficiência Cloud Native</w:t>
      </w:r>
    </w:p>
    <w:p>
      <w:pPr>
        <w:pStyle w:val="Heading3"/>
        <w:widowControl/>
        <w:spacing w:lineRule="auto" w:line="276" w:before="280" w:after="80"/>
        <w:rPr>
          <w:sz w:val="26"/>
          <w:szCs w:val="26"/>
        </w:rPr>
      </w:pPr>
      <w:bookmarkStart w:id="8" w:name="_ozz7mxemnzyu"/>
      <w:bookmarkEnd w:id="8"/>
      <w:r>
        <w:rPr>
          <w:sz w:val="26"/>
          <w:szCs w:val="26"/>
        </w:rPr>
        <w:t>2.4.1 Compilação Nativa com GraalVM</w:t>
      </w:r>
    </w:p>
    <w:p>
      <w:pPr>
        <w:pStyle w:val="normal1"/>
        <w:widowControl/>
        <w:spacing w:lineRule="auto" w:line="276" w:before="240" w:after="240"/>
        <w:rPr/>
      </w:pPr>
      <w:r>
        <w:rPr/>
        <w:t xml:space="preserve">O diferencial do Quarkus reside na compilação </w:t>
      </w:r>
      <w:r>
        <w:rPr>
          <w:i/>
          <w:iCs/>
        </w:rPr>
        <w:t>Ahead-of-Time</w:t>
      </w:r>
      <w:r>
        <w:rPr/>
        <w:t xml:space="preserve"> (AOT). Fontana e Muschelknantz (2020, p. 12) afirmam que o Quarkus foi "projetado para reduzir o tempo de inicialização e o uso de memória em tempo de build", o que o torna ideal para arquiteturas de nuvem. Esta eficiência técnica traduz-se em economia do erário público, permitindo que mecanismos de auditoria complexos operem com uma fração dos recursos de CPU e memória RAM exigidos por frameworks Java tradicionais.</w:t>
      </w:r>
    </w:p>
    <w:p>
      <w:pPr>
        <w:pStyle w:val="Heading3"/>
        <w:widowControl/>
        <w:spacing w:lineRule="auto" w:line="276" w:before="280" w:after="80"/>
        <w:rPr>
          <w:sz w:val="26"/>
          <w:szCs w:val="26"/>
        </w:rPr>
      </w:pPr>
      <w:bookmarkStart w:id="9" w:name="_e8ycut3tk6n2"/>
      <w:bookmarkEnd w:id="9"/>
      <w:r>
        <w:rPr>
          <w:sz w:val="26"/>
          <w:szCs w:val="26"/>
        </w:rPr>
        <w:t>2.4.2 Programação Orientada a Aspectos (POA) no Quarkus</w:t>
      </w:r>
    </w:p>
    <w:p>
      <w:pPr>
        <w:pStyle w:val="normal1"/>
        <w:widowControl/>
        <w:spacing w:lineRule="auto" w:line="276" w:before="240" w:after="240"/>
        <w:rPr/>
      </w:pPr>
      <w:r>
        <w:rPr/>
        <w:t>O uso de interceptores permite tratar a auditoria como uma preocupação transversal (</w:t>
      </w:r>
      <w:r>
        <w:rPr>
          <w:i/>
          <w:iCs/>
        </w:rPr>
        <w:t>cross-cutting concern</w:t>
      </w:r>
      <w:r>
        <w:rPr/>
        <w:t>). Este conceito, fundamentado na Programação Orientada a Aspectos, permite o isolamento de funções que não pertencem à lógica de negócio primária (KICZALES et al., 1997). No projeto AuditGov, isso garante que alterações na legislação ou nas tecnologias de rastro possam ser aplicadas globalmente sem a necessidade de refatorar o código-fonte das regras de negócio governamentais.</w:t>
      </w:r>
    </w:p>
    <w:p>
      <w:pPr>
        <w:pStyle w:val="Heading2"/>
        <w:widowControl/>
        <w:spacing w:lineRule="auto" w:line="276" w:before="360" w:after="80"/>
        <w:rPr>
          <w:sz w:val="34"/>
          <w:szCs w:val="34"/>
        </w:rPr>
      </w:pPr>
      <w:bookmarkStart w:id="10" w:name="_xvjw5gqx3syk"/>
      <w:bookmarkEnd w:id="10"/>
      <w:r>
        <w:rPr>
          <w:sz w:val="34"/>
          <w:szCs w:val="34"/>
        </w:rPr>
        <w:t>2.5 Propagação de Contexto e Java Moderno</w:t>
      </w:r>
    </w:p>
    <w:p>
      <w:pPr>
        <w:pStyle w:val="normal1"/>
        <w:widowControl/>
        <w:spacing w:lineRule="auto" w:line="276" w:before="240" w:after="240"/>
        <w:rPr/>
      </w:pPr>
      <w:r>
        <w:rPr/>
        <w:t>A gestão segura de identidades e chaves de rastro é fundamental para a integridade da auditoria em sistemas concorrentes.</w:t>
      </w:r>
    </w:p>
    <w:p>
      <w:pPr>
        <w:pStyle w:val="Heading3"/>
        <w:widowControl/>
        <w:spacing w:lineRule="auto" w:line="276" w:before="280" w:after="80"/>
        <w:rPr>
          <w:sz w:val="26"/>
          <w:szCs w:val="26"/>
        </w:rPr>
      </w:pPr>
      <w:bookmarkStart w:id="11" w:name="_o2s7ywqfsvjn"/>
      <w:bookmarkEnd w:id="11"/>
      <w:r>
        <w:rPr>
          <w:sz w:val="26"/>
          <w:szCs w:val="26"/>
        </w:rPr>
        <w:t>2.5.1 Limitações do ThreadLocal em Ambientes Assíncronos</w:t>
      </w:r>
    </w:p>
    <w:p>
      <w:pPr>
        <w:pStyle w:val="normal1"/>
        <w:widowControl/>
        <w:spacing w:lineRule="auto" w:line="276" w:before="240" w:after="240"/>
        <w:rPr/>
      </w:pPr>
      <w:r>
        <w:rPr/>
        <w:t>Historicamente, dados contextuais dependiam do “</w:t>
      </w:r>
      <w:r>
        <w:rPr>
          <w:i/>
          <w:iCs/>
        </w:rPr>
        <w:t>ThreadLocal</w:t>
      </w:r>
      <w:r>
        <w:rPr>
          <w:rFonts w:eastAsia="Roboto Mono" w:cs="Roboto Mono" w:ascii="Roboto Mono" w:hAnsi="Roboto Mono"/>
        </w:rPr>
        <w:t>”</w:t>
      </w:r>
      <w:r>
        <w:rPr/>
        <w:t>, que apresenta riscos de vazamento de memória e falhas em modelos de threads virtuais. Como aponta a documentação técnica da Oracle (2024), a propagação indevida ou a falta de limpeza desses dados pode levar à corrupção da telemetria, onde o acesso de um usuário é indevidamente atribuído ao rastro de execução de outro.</w:t>
      </w:r>
    </w:p>
    <w:p>
      <w:pPr>
        <w:pStyle w:val="Heading3"/>
        <w:widowControl/>
        <w:spacing w:lineRule="auto" w:line="276" w:before="280" w:after="80"/>
        <w:rPr>
          <w:sz w:val="26"/>
          <w:szCs w:val="26"/>
        </w:rPr>
      </w:pPr>
      <w:bookmarkStart w:id="12" w:name="_tglud3ly0zfb"/>
      <w:bookmarkEnd w:id="12"/>
      <w:r>
        <w:rPr>
          <w:sz w:val="26"/>
          <w:szCs w:val="26"/>
        </w:rPr>
        <w:t>2.5.2 Scoped Values (JEP 464) e Imutabilidade</w:t>
      </w:r>
    </w:p>
    <w:p>
      <w:pPr>
        <w:pStyle w:val="normal1"/>
        <w:widowControl/>
        <w:spacing w:lineRule="auto" w:line="276" w:before="240" w:after="240"/>
        <w:rPr/>
      </w:pPr>
      <w:r>
        <w:rPr/>
        <w:t xml:space="preserve">A JEP 464 introduz os </w:t>
      </w:r>
      <w:r>
        <w:rPr>
          <w:i/>
          <w:iCs/>
        </w:rPr>
        <w:t>Scoped Values</w:t>
      </w:r>
      <w:r>
        <w:rPr/>
        <w:t xml:space="preserve"> para o compartilhamento gerenciado de dados imutáveis. "Scoped values permitem que um método compartilhe um valor com seus callees dentro de um escopo delimitado, sendo preferíveis aos ThreadLocal em aplicações de grande escala" (ORACLE, 2024). No projeto proposto, essa imutabilidade é a barreira técnica que impede a alteração do ID do operador durante o ciclo de vida da requisição, assegurando a integridade da prova técnica.</w:t>
      </w:r>
    </w:p>
    <w:p>
      <w:pPr>
        <w:pStyle w:val="Heading2"/>
        <w:widowControl/>
        <w:spacing w:lineRule="auto" w:line="276" w:before="360" w:after="80"/>
        <w:rPr>
          <w:sz w:val="34"/>
          <w:szCs w:val="34"/>
        </w:rPr>
      </w:pPr>
      <w:bookmarkStart w:id="13" w:name="_63imytgmjxl5"/>
      <w:bookmarkEnd w:id="13"/>
      <w:r>
        <w:rPr>
          <w:sz w:val="34"/>
          <w:szCs w:val="34"/>
        </w:rPr>
        <w:t>2.6 Arquitetura do Framework de Auditoria AuditGov</w:t>
      </w:r>
    </w:p>
    <w:p>
      <w:pPr>
        <w:pStyle w:val="Heading3"/>
        <w:widowControl/>
        <w:spacing w:lineRule="auto" w:line="276" w:before="280" w:after="80"/>
        <w:rPr>
          <w:sz w:val="26"/>
          <w:szCs w:val="26"/>
        </w:rPr>
      </w:pPr>
      <w:bookmarkStart w:id="14" w:name="_mel04mgr0mgp"/>
      <w:bookmarkEnd w:id="14"/>
      <w:r>
        <w:rPr>
          <w:sz w:val="26"/>
          <w:szCs w:val="26"/>
        </w:rPr>
        <w:t>2.6.1 Design do Interceptor de Auditoria</w:t>
      </w:r>
    </w:p>
    <w:p>
      <w:pPr>
        <w:pStyle w:val="normal1"/>
        <w:widowControl/>
        <w:spacing w:lineRule="auto" w:line="276" w:before="240" w:after="240"/>
        <w:rPr/>
      </w:pPr>
      <w:r>
        <w:rPr/>
        <w:t>A arquitetura utiliza o padrão de Interceptação da especificação Jakarta EE. Newman (2021) enfatiza que funcionalidades transversais, como segurança e monitoramento, devem ser implementadas de forma desacoplada para evitar o engessamento dos times de desenvolvimento. O componente AuditGov atua como um "filtro de conformidade", autenticando a legalidade de cada operação de dados de forma transparente ao fluxo principal da aplicação.</w:t>
      </w:r>
    </w:p>
    <w:p>
      <w:pPr>
        <w:pStyle w:val="Heading3"/>
        <w:widowControl/>
        <w:spacing w:lineRule="auto" w:line="276" w:before="280" w:after="80"/>
        <w:rPr>
          <w:sz w:val="26"/>
          <w:szCs w:val="26"/>
        </w:rPr>
      </w:pPr>
      <w:bookmarkStart w:id="15" w:name="_bnis7a3glqxh"/>
      <w:bookmarkEnd w:id="15"/>
      <w:r>
        <w:rPr>
          <w:sz w:val="26"/>
          <w:szCs w:val="26"/>
        </w:rPr>
        <w:t>2.6.2 Fluxo de Persistência e Visibilidade (Jaeger)</w:t>
      </w:r>
    </w:p>
    <w:p>
      <w:pPr>
        <w:pStyle w:val="normal1"/>
        <w:widowControl/>
        <w:spacing w:lineRule="auto" w:line="276" w:before="240" w:after="240"/>
        <w:rPr>
          <w:rFonts w:ascii="Arial" w:hAnsi="Arial" w:eastAsia="Arial" w:cs="Arial"/>
        </w:rPr>
      </w:pPr>
      <w:r>
        <w:rPr/>
        <w:t>A correlação final ocorre quando o rastro é visualizado em ferramentas como o Jaeger e confrontado com a base de dados PostgreSQL. Conforme Shkuro (2019, p. 42), "a visualização do rastro é o que permite ao operador entender a causalidade em sistemas complexos". No AuditGov, essa visualização técnica converte-se em prova de conformidade jurídica, atendendo integralmente ao dever de prestação de contas do administrador público.</w:t>
        <w:br/>
      </w:r>
    </w:p>
    <w:p>
      <w:pPr>
        <w:pStyle w:val="normal1"/>
        <w:shd w:val="clear" w:fill="auto"/>
        <w:spacing w:lineRule="auto" w:line="360" w:before="240" w:after="240"/>
        <w:jc w:val="both"/>
        <w:rPr>
          <w:b/>
          <w:bCs/>
          <w:sz w:val="36"/>
          <w:szCs w:val="36"/>
        </w:rPr>
      </w:pPr>
      <w:r>
        <w:rPr>
          <w:b/>
          <w:bCs/>
          <w:sz w:val="36"/>
          <w:szCs w:val="36"/>
        </w:rPr>
        <w:t>3. METODOLOGIA DA PESQUISA</w:t>
      </w:r>
    </w:p>
    <w:p>
      <w:pPr>
        <w:pStyle w:val="normal1"/>
        <w:shd w:val="clear" w:fill="auto"/>
        <w:spacing w:lineRule="auto" w:line="360" w:before="0" w:after="225"/>
        <w:jc w:val="both"/>
        <w:rPr>
          <w:rFonts w:ascii="Arial" w:hAnsi="Arial" w:eastAsia="Arial" w:cs="Arial"/>
        </w:rPr>
      </w:pPr>
      <w:r>
        <w:rPr>
          <w:rFonts w:eastAsia="Arial" w:cs="Arial"/>
        </w:rPr>
        <w:t>Este capítulo descreve o percurso metodológico adotado para a realização deste trabalho, detalhando a natureza da pesquisa, as estratégias de desenvolvimento da solução técnica e os recursos materiais utilizados para a construção e validação do framework AuditGov.</w:t>
      </w:r>
    </w:p>
    <w:p>
      <w:pPr>
        <w:pStyle w:val="Heading2"/>
        <w:shd w:val="clear" w:fill="auto"/>
        <w:spacing w:lineRule="auto" w:line="360" w:before="0" w:after="225"/>
        <w:jc w:val="both"/>
        <w:rPr>
          <w:rFonts w:ascii="Arial" w:hAnsi="Arial" w:eastAsia="Arial" w:cs="Arial"/>
          <w:sz w:val="32"/>
          <w:szCs w:val="32"/>
        </w:rPr>
      </w:pPr>
      <w:r>
        <w:rPr>
          <w:sz w:val="32"/>
          <w:szCs w:val="32"/>
        </w:rPr>
        <w:t>3</w:t>
      </w:r>
      <w:r>
        <w:rPr>
          <w:rFonts w:eastAsia="Arial" w:cs="Arial"/>
          <w:sz w:val="32"/>
          <w:szCs w:val="32"/>
        </w:rPr>
        <w:t>.1 Natureza e Abordagem da Pesquisa</w:t>
      </w:r>
    </w:p>
    <w:p>
      <w:pPr>
        <w:pStyle w:val="normal1"/>
        <w:shd w:val="clear" w:fill="auto"/>
        <w:spacing w:lineRule="auto" w:line="360"/>
        <w:jc w:val="both"/>
        <w:rPr/>
      </w:pPr>
      <w:r>
        <w:rPr/>
        <w:t>No que tange à sua natureza, esta investigação é classificada como uma pesquisa aplicada, uma vez que se dedica à produção de conhecimentos voltados à resolução de problemas concretos identificados no processo de auditoria de dados em GovTechs. Segundo a definição de Prodanov e Freitas (2013), a pesquisa aplicada busca a aplicação prática de verdades e leis para solucionar problemas específicos, o que se alinha à proposta de automação da conformidade com a LGPD através de ferramentas de observabilidade.</w:t>
      </w:r>
    </w:p>
    <w:p>
      <w:pPr>
        <w:pStyle w:val="normal1"/>
        <w:shd w:val="clear" w:fill="auto"/>
        <w:spacing w:lineRule="auto" w:line="360" w:before="0" w:after="225"/>
        <w:jc w:val="both"/>
        <w:rPr/>
      </w:pPr>
      <w:r>
        <w:rPr/>
        <w:t>Quanto à abordagem do problema, o estudo define-se como uma pesquisa qualitativa. Esta escolha justifica-se pelo fato de que a eficácia do framework proposto não é mensurada apenas por métricas quantitativas de performance, mas primordialmente pela integridade e pela validade jurídica das evidências geradas. A análise qualitativa permite avaliar se o rastro técnico produzido atende aos requisitos de transparência e não-repúdio estabelecidos pela legislação brasileira vigente.</w:t>
        <w:br/>
      </w:r>
    </w:p>
    <w:p>
      <w:pPr>
        <w:pStyle w:val="Heading2"/>
        <w:shd w:val="clear" w:fill="auto"/>
        <w:spacing w:lineRule="auto" w:line="360" w:before="0" w:after="225"/>
        <w:jc w:val="both"/>
        <w:rPr>
          <w:rFonts w:ascii="Arial" w:hAnsi="Arial" w:eastAsia="Arial" w:cs="Arial"/>
          <w:sz w:val="32"/>
          <w:szCs w:val="32"/>
        </w:rPr>
      </w:pPr>
      <w:r>
        <w:rPr>
          <w:sz w:val="32"/>
          <w:szCs w:val="32"/>
        </w:rPr>
        <w:t>3</w:t>
      </w:r>
      <w:r>
        <w:rPr>
          <w:rFonts w:eastAsia="Arial" w:cs="Arial"/>
          <w:sz w:val="32"/>
          <w:szCs w:val="32"/>
        </w:rPr>
        <w:t>.2 Procedimentos Técnicos e Fases do Projeto</w:t>
      </w:r>
    </w:p>
    <w:p>
      <w:pPr>
        <w:pStyle w:val="normal1"/>
        <w:shd w:val="clear" w:fill="auto"/>
        <w:spacing w:lineRule="auto" w:line="360"/>
        <w:jc w:val="both"/>
        <w:rPr>
          <w:rFonts w:ascii="Arial" w:hAnsi="Arial" w:eastAsia="Arial" w:cs="Arial"/>
        </w:rPr>
      </w:pPr>
      <w:r>
        <w:rPr/>
        <w:t>A estratégia de execução deste trabalho baseia-se no desenvolvimento de uma Prova de Conceito (PoC), estruturada em fases sequenciais que garantem a evolução lógica da solução, conforme descrito a seguir</w:t>
      </w:r>
      <w:r>
        <w:rPr>
          <w:rFonts w:eastAsia="Arial" w:cs="Arial"/>
        </w:rPr>
        <w:t>:</w:t>
      </w:r>
    </w:p>
    <w:p>
      <w:pPr>
        <w:pStyle w:val="normal1"/>
        <w:numPr>
          <w:ilvl w:val="0"/>
          <w:numId w:val="4"/>
        </w:numPr>
        <w:shd w:val="clear" w:fill="auto"/>
        <w:spacing w:lineRule="auto" w:line="360"/>
        <w:ind w:hanging="360" w:left="600"/>
        <w:jc w:val="both"/>
        <w:rPr/>
      </w:pPr>
      <w:r>
        <w:rPr>
          <w:rFonts w:eastAsia="Arial" w:cs="Arial"/>
          <w:b/>
          <w:bCs/>
        </w:rPr>
        <w:t>Fase de Levantamento e Análise Técnica:</w:t>
      </w:r>
      <w:r>
        <w:rPr>
          <w:rFonts w:eastAsia="Arial" w:cs="Arial"/>
        </w:rPr>
        <w:t xml:space="preserve"> compreende o estudo aprofundado das especificações de rastreamento distribuído e das normativas da ANPD. Esta etapa é fundamental para identificar quais metadados são imprescindíveis para a composição de uma trilha de auditoria válida.</w:t>
      </w:r>
    </w:p>
    <w:p>
      <w:pPr>
        <w:pStyle w:val="normal1"/>
        <w:numPr>
          <w:ilvl w:val="0"/>
          <w:numId w:val="4"/>
        </w:numPr>
        <w:shd w:val="clear" w:fill="auto"/>
        <w:spacing w:lineRule="auto" w:line="360"/>
        <w:ind w:hanging="360" w:left="600"/>
        <w:jc w:val="both"/>
        <w:rPr/>
      </w:pPr>
      <w:r>
        <w:rPr>
          <w:rFonts w:eastAsia="Arial" w:cs="Arial"/>
          <w:b/>
          <w:bCs/>
        </w:rPr>
        <w:t>Modelagem Arquitetural:</w:t>
      </w:r>
      <w:r>
        <w:rPr>
          <w:rFonts w:eastAsia="Arial" w:cs="Arial"/>
        </w:rPr>
        <w:t xml:space="preserve"> consiste na definição da estrutura do interceptor Quarkus e na elaboração de diagramas que orientam a captura do contexto de segurança. O foco nesta fase reside em garantir que a auditoria seja tratada como uma preocupação transversal, mantendo o código da aplicação de negócio preservado.</w:t>
      </w:r>
    </w:p>
    <w:p>
      <w:pPr>
        <w:pStyle w:val="normal1"/>
        <w:numPr>
          <w:ilvl w:val="0"/>
          <w:numId w:val="4"/>
        </w:numPr>
        <w:shd w:val="clear" w:fill="auto"/>
        <w:spacing w:lineRule="auto" w:line="360"/>
        <w:ind w:hanging="360" w:left="600"/>
        <w:jc w:val="both"/>
        <w:rPr/>
      </w:pPr>
      <w:r>
        <w:rPr>
          <w:rFonts w:eastAsia="Arial" w:cs="Arial"/>
          <w:b/>
          <w:bCs/>
        </w:rPr>
        <w:t>Desenvolvimento e Implementação:</w:t>
      </w:r>
      <w:r>
        <w:rPr>
          <w:rFonts w:eastAsia="Arial" w:cs="Arial"/>
        </w:rPr>
        <w:t xml:space="preserve"> envolve a codificação do framework AuditGov utilizando padrões de Programação Orientada a Aspectos. Nesta fase, as tecnologias Java e OpenTelemetry são integradas para assegurar a propagação imutável da identidade do operador durante todo o ciclo de vida da requisição.</w:t>
      </w:r>
    </w:p>
    <w:p>
      <w:pPr>
        <w:pStyle w:val="normal1"/>
        <w:numPr>
          <w:ilvl w:val="0"/>
          <w:numId w:val="4"/>
        </w:numPr>
        <w:shd w:val="clear" w:fill="auto"/>
        <w:spacing w:lineRule="auto" w:line="360"/>
        <w:ind w:hanging="360" w:left="600"/>
        <w:jc w:val="both"/>
        <w:rPr/>
      </w:pPr>
      <w:r>
        <w:rPr>
          <w:rFonts w:eastAsia="Arial" w:cs="Arial"/>
          <w:b/>
          <w:bCs/>
        </w:rPr>
        <w:t>Ciclo de Testes e Validação:</w:t>
      </w:r>
      <w:r>
        <w:rPr>
          <w:rFonts w:eastAsia="Arial" w:cs="Arial"/>
        </w:rPr>
        <w:t xml:space="preserve"> representa a etapa final, na qual o framework é submetido a cenários de uso real em um ecossistema de microsserviços. O objetivo é confrontar os dados persistidos com as operações realizadas, validando a eficácia do sistema na produção de provas técnicas de conformidade.</w:t>
      </w:r>
    </w:p>
    <w:p>
      <w:pPr>
        <w:pStyle w:val="Heading2"/>
        <w:shd w:val="clear" w:fill="auto"/>
        <w:spacing w:lineRule="auto" w:line="360"/>
        <w:jc w:val="both"/>
        <w:rPr>
          <w:rFonts w:ascii="Arial" w:hAnsi="Arial" w:eastAsia="Arial" w:cs="Arial"/>
          <w:sz w:val="32"/>
          <w:szCs w:val="32"/>
        </w:rPr>
      </w:pPr>
      <w:r>
        <w:rPr>
          <w:sz w:val="32"/>
          <w:szCs w:val="32"/>
        </w:rPr>
        <w:t>3</w:t>
      </w:r>
      <w:r>
        <w:rPr>
          <w:rFonts w:eastAsia="Arial" w:cs="Arial"/>
          <w:sz w:val="32"/>
          <w:szCs w:val="32"/>
        </w:rPr>
        <w:t>.3 Materiais e Recursos Tecnológicos</w:t>
      </w:r>
    </w:p>
    <w:p>
      <w:pPr>
        <w:pStyle w:val="normal1"/>
        <w:shd w:val="clear" w:fill="auto"/>
        <w:spacing w:lineRule="auto" w:line="360" w:before="0" w:after="240"/>
        <w:jc w:val="both"/>
        <w:rPr>
          <w:rFonts w:ascii="Arial" w:hAnsi="Arial" w:eastAsia="Arial" w:cs="Arial"/>
        </w:rPr>
      </w:pPr>
      <w:r>
        <w:rPr>
          <w:rFonts w:eastAsia="Arial" w:cs="Arial"/>
        </w:rPr>
        <w:t>A materialização do framework exige a integração de uma série de recursos de software e ferramentas de infraestrutura que simulem os desafios de um ambiente de computação em nuvem moderno.</w:t>
      </w:r>
    </w:p>
    <w:p>
      <w:pPr>
        <w:pStyle w:val="Heading3"/>
        <w:shd w:val="clear" w:fill="auto"/>
        <w:spacing w:lineRule="auto" w:line="360" w:before="0" w:after="240"/>
        <w:jc w:val="both"/>
        <w:rPr>
          <w:rFonts w:ascii="Arial" w:hAnsi="Arial" w:eastAsia="Arial" w:cs="Arial"/>
        </w:rPr>
      </w:pPr>
      <w:r>
        <w:rPr/>
        <w:t>3</w:t>
      </w:r>
      <w:r>
        <w:rPr>
          <w:rFonts w:eastAsia="Arial" w:cs="Arial"/>
        </w:rPr>
        <w:t>.3.1 Componentes de Software e Linguagens</w:t>
      </w:r>
    </w:p>
    <w:p>
      <w:pPr>
        <w:pStyle w:val="normal1"/>
        <w:shd w:val="clear" w:fill="auto"/>
        <w:spacing w:lineRule="auto" w:line="360"/>
        <w:jc w:val="both"/>
        <w:rPr/>
      </w:pPr>
      <w:r>
        <w:rPr/>
        <w:t xml:space="preserve">Para o desenvolvimento da solução, utiliza-se o Java Development Kit (JDK) 21, aproveitando as funcionalidades avançadas de gerenciamento de contexto e imutabilidade de dados. O runtime principal é o framework Quarkus, escolhido por sua arquitetura </w:t>
      </w:r>
      <w:r>
        <w:rPr>
          <w:i/>
          <w:iCs/>
        </w:rPr>
        <w:t>Cloud Native</w:t>
      </w:r>
      <w:r>
        <w:rPr/>
        <w:t xml:space="preserve"> e pela capacidade de gerar executáveis nativos com baixo consumo de recursos, fator crítico para a eficiência no setor público.</w:t>
      </w:r>
    </w:p>
    <w:p>
      <w:pPr>
        <w:pStyle w:val="normal1"/>
        <w:shd w:val="clear" w:fill="auto"/>
        <w:spacing w:lineRule="auto" w:line="360" w:before="0" w:after="240"/>
        <w:jc w:val="both"/>
        <w:rPr/>
      </w:pPr>
      <w:r>
        <w:rPr/>
        <w:t>A instrumentação do sistema é realizada por meio das bibliotecas do OpenTelemetry SDK, que permitem a padronização das mensagens de telemetria no protocolo OTLP. Para a camada de persistência das evidências de auditoria, adota-se o sistema de gerenciamento de banco de dados PostgreSQL, garantindo que os registros de acesso sejam armazenados com segurança e integridade referencial.</w:t>
      </w:r>
    </w:p>
    <w:p>
      <w:pPr>
        <w:pStyle w:val="Heading3"/>
        <w:shd w:val="clear" w:fill="auto"/>
        <w:spacing w:lineRule="auto" w:line="360" w:before="0" w:after="240"/>
        <w:jc w:val="both"/>
        <w:rPr>
          <w:rFonts w:ascii="Arial" w:hAnsi="Arial" w:eastAsia="Arial" w:cs="Arial"/>
        </w:rPr>
      </w:pPr>
      <w:r>
        <w:rPr/>
        <w:t>3</w:t>
      </w:r>
      <w:r>
        <w:rPr>
          <w:rFonts w:eastAsia="Arial" w:cs="Arial"/>
        </w:rPr>
        <w:t>.3.2 Infraestrutura e Ferramentas de Suporte</w:t>
      </w:r>
    </w:p>
    <w:p>
      <w:pPr>
        <w:pStyle w:val="normal1"/>
        <w:shd w:val="clear" w:fill="auto"/>
        <w:spacing w:lineRule="auto" w:line="360"/>
        <w:jc w:val="both"/>
        <w:rPr/>
      </w:pPr>
      <w:r>
        <w:rPr/>
        <w:t>A infraestrutura de suporte à pesquisa é orquestrada por meio do Docker Compose, o que possibilita a emulação de um ambiente de microsserviços distribuídos em uma estação de trabalho local. Essa tecnologia permite que o framework seja testado em condições controladas, facilitando a observação do comportamento do sistema frente a diferentes fluxos de requisições.</w:t>
      </w:r>
    </w:p>
    <w:p>
      <w:pPr>
        <w:pStyle w:val="normal1"/>
        <w:shd w:val="clear" w:fill="auto"/>
        <w:spacing w:lineRule="auto" w:line="360"/>
        <w:jc w:val="both"/>
        <w:rPr>
          <w:rFonts w:ascii="Arial" w:hAnsi="Arial" w:eastAsia="Arial" w:cs="Arial"/>
        </w:rPr>
      </w:pPr>
      <w:r>
        <w:rPr/>
        <w:t xml:space="preserve">Como ferramenta de análise e visualização dos rastros gerados, emprega-se o Jaeger. Esta plataforma permite a inspeção visual do </w:t>
      </w:r>
      <w:r>
        <w:rPr>
          <w:i/>
          <w:iCs/>
        </w:rPr>
        <w:t>Trace ID</w:t>
      </w:r>
      <w:r>
        <w:rPr/>
        <w:t xml:space="preserve">, tornando possível verificar se a identidade do </w:t>
      </w:r>
      <w:r>
        <w:rPr>
          <w:rFonts w:eastAsia="Arial" w:cs="Arial"/>
        </w:rPr>
        <w:t>usuário e os dados de auditoria foram propagados corretamente através de todas as camadas do sistema. A utilização dessas ferramentas em conjunto assegura que a validação da Prova de Conceito ocorra sob um rigor técnico condizente com as exigências de arquitetura de software atuais.</w:t>
      </w:r>
    </w:p>
    <w:p>
      <w:pPr>
        <w:pStyle w:val="normal1"/>
        <w:shd w:val="clear" w:fill="auto"/>
        <w:spacing w:lineRule="auto" w:line="360"/>
        <w:jc w:val="both"/>
        <w:rPr>
          <w:rFonts w:ascii="Arial" w:hAnsi="Arial" w:eastAsia="Arial" w:cs="Arial"/>
        </w:rPr>
      </w:pPr>
      <w:r>
        <w:rPr>
          <w:rFonts w:eastAsia="Arial" w:cs="Arial"/>
        </w:rPr>
      </w:r>
    </w:p>
    <w:p>
      <w:pPr>
        <w:pStyle w:val="normal1"/>
        <w:shd w:val="clear" w:fill="auto"/>
        <w:spacing w:lineRule="auto" w:line="360" w:before="240" w:after="240"/>
        <w:jc w:val="both"/>
        <w:rPr>
          <w:b/>
          <w:bCs/>
          <w:sz w:val="36"/>
          <w:szCs w:val="36"/>
        </w:rPr>
      </w:pPr>
      <w:r>
        <w:rPr>
          <w:b/>
          <w:bCs/>
          <w:sz w:val="36"/>
          <w:szCs w:val="36"/>
        </w:rPr>
        <w:t>4</w:t>
      </w:r>
      <w:r>
        <w:rPr>
          <w:b/>
          <w:bCs/>
          <w:sz w:val="36"/>
          <w:szCs w:val="36"/>
        </w:rPr>
        <w:t xml:space="preserve">. </w:t>
      </w:r>
      <w:r>
        <w:rPr>
          <w:b/>
          <w:bCs/>
          <w:sz w:val="36"/>
          <w:szCs w:val="36"/>
        </w:rPr>
        <w:t>Cronograma de execução</w:t>
      </w:r>
    </w:p>
    <w:p>
      <w:pPr>
        <w:pStyle w:val="normal1"/>
        <w:shd w:val="clear" w:fill="auto"/>
        <w:spacing w:lineRule="auto" w:line="360" w:before="240" w:after="240"/>
        <w:jc w:val="both"/>
        <w:rPr>
          <w:b w:val="false"/>
          <w:bCs w:val="false"/>
          <w:sz w:val="22"/>
          <w:szCs w:val="22"/>
        </w:rPr>
      </w:pPr>
      <w:r>
        <w:rPr>
          <w:b w:val="false"/>
          <w:bCs w:val="false"/>
          <w:sz w:val="22"/>
          <w:szCs w:val="22"/>
        </w:rPr>
        <w:t xml:space="preserve">O planejamento das atividades para o período correspondente ao Trabalho de Graduação II (TG-II) foi estruturado de forma sequencial e lógica, visando garantir tempo hábil para o desenvolvimento de software, bateria de testes sob estresse de carga e análise de conformidade normativa. O desenvolvimento de soluções distribuídas exige uma abordagem iterativa, onde a estabilização da arquitetura antecede os testes empíricos de performance. A Tabela 2 apresenta a distribuição temporal das etapas planejadas. </w:t>
      </w:r>
    </w:p>
    <w:tbl>
      <w:tblPr>
        <w:tblStyle w:val="Table2"/>
        <w:tblW w:w="9075" w:type="dxa"/>
        <w:jc w:val="left"/>
        <w:tblInd w:w="46" w:type="dxa"/>
        <w:tblLayout w:type="fixed"/>
        <w:tblCellMar>
          <w:top w:w="40" w:type="dxa"/>
          <w:left w:w="40" w:type="dxa"/>
          <w:bottom w:w="40" w:type="dxa"/>
          <w:right w:w="40" w:type="dxa"/>
        </w:tblCellMar>
        <w:tblLook w:val="0600"/>
      </w:tblPr>
      <w:tblGrid>
        <w:gridCol w:w="4799"/>
        <w:gridCol w:w="691"/>
        <w:gridCol w:w="644"/>
        <w:gridCol w:w="735"/>
        <w:gridCol w:w="735"/>
        <w:gridCol w:w="705"/>
        <w:gridCol w:w="766"/>
      </w:tblGrid>
      <w:tr>
        <w:trPr>
          <w:trHeight w:val="320" w:hRule="atLeast"/>
        </w:trPr>
        <w:tc>
          <w:tcPr>
            <w:tcW w:w="4799" w:type="dxa"/>
            <w:tcBorders>
              <w:top w:val="single" w:sz="4" w:space="0" w:color="CCCCCC"/>
              <w:left w:val="single" w:sz="4" w:space="0" w:color="CCCCCC"/>
              <w:bottom w:val="single" w:sz="4" w:space="0" w:color="C4C7C5"/>
              <w:right w:val="single" w:sz="4" w:space="0" w:color="CCCCCC"/>
            </w:tcBorders>
            <w:vAlign w:val="bottom"/>
          </w:tcPr>
          <w:p>
            <w:pPr>
              <w:pStyle w:val="normal2"/>
              <w:keepNext w:val="false"/>
              <w:keepLines w:val="false"/>
              <w:widowControl w:val="false"/>
              <w:pBdr/>
              <w:shd w:val="clear" w:fill="auto"/>
              <w:spacing w:lineRule="auto" w:line="276" w:before="0" w:after="0"/>
              <w:ind w:hanging="0" w:left="0" w:right="0"/>
              <w:jc w:val="left"/>
              <w:rPr>
                <w:sz w:val="20"/>
                <w:szCs w:val="20"/>
              </w:rPr>
            </w:pPr>
            <w:r>
              <w:rPr>
                <w:b/>
                <w:bCs/>
                <w:color w:val="1F1F1F"/>
                <w:sz w:val="28"/>
                <w:szCs w:val="28"/>
              </w:rPr>
              <w:t>Atividade</w:t>
            </w:r>
          </w:p>
        </w:tc>
        <w:tc>
          <w:tcPr>
            <w:tcW w:w="691" w:type="dxa"/>
            <w:tcBorders>
              <w:top w:val="single" w:sz="4" w:space="0" w:color="C4C7C5"/>
              <w:left w:val="single" w:sz="4" w:space="0" w:color="CCCCCC"/>
              <w:bottom w:val="single" w:sz="4" w:space="0" w:color="CCCCCC"/>
              <w:right w:val="single" w:sz="4" w:space="0" w:color="CCCCCC"/>
            </w:tcBorders>
            <w:vAlign w:val="bottom"/>
          </w:tcPr>
          <w:p>
            <w:pPr>
              <w:pStyle w:val="normal2"/>
              <w:widowControl w:val="false"/>
              <w:rPr>
                <w:sz w:val="20"/>
                <w:szCs w:val="20"/>
              </w:rPr>
            </w:pPr>
            <w:r>
              <w:rPr>
                <w:b/>
                <w:bCs/>
                <w:color w:val="1F1F1F"/>
                <w:sz w:val="28"/>
                <w:szCs w:val="28"/>
              </w:rPr>
              <w:t>Mês 1</w:t>
            </w:r>
          </w:p>
        </w:tc>
        <w:tc>
          <w:tcPr>
            <w:tcW w:w="644" w:type="dxa"/>
            <w:tcBorders>
              <w:top w:val="single" w:sz="4" w:space="0" w:color="C4C7C5"/>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Mês 2</w:t>
            </w:r>
          </w:p>
        </w:tc>
        <w:tc>
          <w:tcPr>
            <w:tcW w:w="73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Mês 3</w:t>
            </w:r>
          </w:p>
        </w:tc>
        <w:tc>
          <w:tcPr>
            <w:tcW w:w="73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Mês 4</w:t>
            </w:r>
          </w:p>
        </w:tc>
        <w:tc>
          <w:tcPr>
            <w:tcW w:w="70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Mês 5</w:t>
            </w:r>
          </w:p>
        </w:tc>
        <w:tc>
          <w:tcPr>
            <w:tcW w:w="766"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Mês 6</w:t>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Refinamento de requisitos e alinhamento normativo</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b/>
                <w:bCs/>
                <w:color w:val="1F1F1F"/>
                <w:sz w:val="28"/>
                <w:szCs w:val="28"/>
              </w:rPr>
              <w:t>X</w:t>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66"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Modelagem da arquitetura e design dos interceptores</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b/>
                <w:bCs/>
                <w:color w:val="1F1F1F"/>
                <w:sz w:val="28"/>
                <w:szCs w:val="28"/>
              </w:rPr>
              <w:t>X</w:t>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66"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Desenvolvimento do core do framework (Quarkus/POA)</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X</w:t>
            </w:r>
          </w:p>
        </w:tc>
        <w:tc>
          <w:tcPr>
            <w:tcW w:w="735" w:type="dxa"/>
            <w:tcBorders>
              <w:top w:val="single" w:sz="4" w:space="0" w:color="CCCCCC"/>
              <w:left w:val="single" w:sz="4" w:space="0" w:color="CCCCCC"/>
              <w:bottom w:val="single" w:sz="4" w:space="0" w:color="CCCCCC"/>
              <w:right w:val="single" w:sz="4" w:space="0" w:color="C4C7C5"/>
            </w:tcBorders>
            <w:vAlign w:val="bottom"/>
          </w:tcPr>
          <w:p>
            <w:pPr>
              <w:pStyle w:val="normal2"/>
              <w:widowControl w:val="false"/>
              <w:rPr>
                <w:sz w:val="20"/>
                <w:szCs w:val="20"/>
              </w:rPr>
            </w:pPr>
            <w:r>
              <w:rPr>
                <w:b/>
                <w:bCs/>
                <w:color w:val="1F1F1F"/>
                <w:sz w:val="28"/>
                <w:szCs w:val="28"/>
              </w:rPr>
              <w:t>X</w:t>
            </w:r>
          </w:p>
        </w:tc>
        <w:tc>
          <w:tcPr>
            <w:tcW w:w="70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66"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Implementação do OpenTelemetry e Scoped Values</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X</w:t>
            </w:r>
          </w:p>
        </w:tc>
        <w:tc>
          <w:tcPr>
            <w:tcW w:w="705" w:type="dxa"/>
            <w:tcBorders>
              <w:top w:val="single" w:sz="4" w:space="0" w:color="CCCCCC"/>
              <w:left w:val="single" w:sz="4" w:space="0" w:color="CCCCCC"/>
              <w:bottom w:val="single" w:sz="4" w:space="0" w:color="CCCCCC"/>
              <w:right w:val="single" w:sz="4" w:space="0" w:color="C4C7C5"/>
            </w:tcBorders>
            <w:vAlign w:val="bottom"/>
          </w:tcPr>
          <w:p>
            <w:pPr>
              <w:pStyle w:val="normal2"/>
              <w:widowControl w:val="false"/>
              <w:rPr>
                <w:sz w:val="20"/>
                <w:szCs w:val="20"/>
              </w:rPr>
            </w:pPr>
            <w:r>
              <w:rPr>
                <w:b/>
                <w:bCs/>
                <w:color w:val="1F1F1F"/>
                <w:sz w:val="28"/>
                <w:szCs w:val="28"/>
              </w:rPr>
              <w:t>X</w:t>
            </w:r>
          </w:p>
        </w:tc>
        <w:tc>
          <w:tcPr>
            <w:tcW w:w="766"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Configuração de persistência (PostgreSQL/Docker)</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CCCCC"/>
              <w:right w:val="single" w:sz="4" w:space="0" w:color="C4C7C5"/>
            </w:tcBorders>
            <w:vAlign w:val="bottom"/>
          </w:tcPr>
          <w:p>
            <w:pPr>
              <w:pStyle w:val="normal2"/>
              <w:widowControl w:val="false"/>
              <w:rPr>
                <w:sz w:val="20"/>
                <w:szCs w:val="20"/>
              </w:rPr>
            </w:pPr>
            <w:r>
              <w:rPr>
                <w:b/>
                <w:bCs/>
                <w:color w:val="1F1F1F"/>
                <w:sz w:val="28"/>
                <w:szCs w:val="28"/>
              </w:rPr>
              <w:t>X</w:t>
            </w:r>
          </w:p>
        </w:tc>
        <w:tc>
          <w:tcPr>
            <w:tcW w:w="766"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Testes de carga e validação de rastro no Jaeger</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4C7C5"/>
              <w:right w:val="single" w:sz="4" w:space="0" w:color="CCCCCC"/>
            </w:tcBorders>
            <w:vAlign w:val="bottom"/>
          </w:tcPr>
          <w:p>
            <w:pPr>
              <w:pStyle w:val="normal2"/>
              <w:widowControl w:val="false"/>
              <w:rPr>
                <w:sz w:val="20"/>
                <w:szCs w:val="20"/>
              </w:rPr>
            </w:pPr>
            <w:r>
              <w:rPr>
                <w:b/>
                <w:bCs/>
                <w:color w:val="1F1F1F"/>
                <w:sz w:val="28"/>
                <w:szCs w:val="28"/>
              </w:rPr>
              <w:t>X</w:t>
            </w:r>
          </w:p>
        </w:tc>
        <w:tc>
          <w:tcPr>
            <w:tcW w:w="76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rPr>
                <w:sz w:val="20"/>
                <w:szCs w:val="20"/>
              </w:rPr>
            </w:pPr>
            <w:r>
              <w:rPr>
                <w:b/>
                <w:bCs/>
                <w:color w:val="1F1F1F"/>
                <w:sz w:val="28"/>
                <w:szCs w:val="28"/>
              </w:rPr>
              <w:t>X</w:t>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Avaliação de conformidade legal (Art. 37 da LGPD)</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6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rPr>
                <w:sz w:val="20"/>
                <w:szCs w:val="20"/>
              </w:rPr>
            </w:pPr>
            <w:r>
              <w:rPr>
                <w:b/>
                <w:bCs/>
                <w:color w:val="1F1F1F"/>
                <w:sz w:val="28"/>
                <w:szCs w:val="28"/>
              </w:rPr>
              <w:t>X</w:t>
            </w:r>
          </w:p>
        </w:tc>
      </w:tr>
      <w:tr>
        <w:trPr>
          <w:trHeight w:val="405" w:hRule="atLeast"/>
        </w:trPr>
        <w:tc>
          <w:tcPr>
            <w:tcW w:w="4799" w:type="dxa"/>
            <w:tcBorders>
              <w:top w:val="single" w:sz="4" w:space="0" w:color="CCCCCC"/>
              <w:left w:val="single" w:sz="4" w:space="0" w:color="C4C7C5"/>
              <w:bottom w:val="single" w:sz="4" w:space="0" w:color="C4C7C5"/>
              <w:right w:val="single" w:sz="4" w:space="0" w:color="C4C7C5"/>
            </w:tcBorders>
            <w:vAlign w:val="bottom"/>
          </w:tcPr>
          <w:p>
            <w:pPr>
              <w:pStyle w:val="normal2"/>
              <w:widowControl w:val="false"/>
              <w:rPr>
                <w:sz w:val="20"/>
                <w:szCs w:val="20"/>
              </w:rPr>
            </w:pPr>
            <w:r>
              <w:rPr>
                <w:color w:val="1F1F1F"/>
                <w:sz w:val="28"/>
                <w:szCs w:val="28"/>
              </w:rPr>
              <w:t>Elaboração do relatório final e preparação da defesa</w:t>
            </w:r>
          </w:p>
        </w:tc>
        <w:tc>
          <w:tcPr>
            <w:tcW w:w="691"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644"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3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05" w:type="dxa"/>
            <w:tcBorders>
              <w:top w:val="single" w:sz="4" w:space="0" w:color="CCCCCC"/>
              <w:left w:val="single" w:sz="4" w:space="0" w:color="CCCCCC"/>
              <w:bottom w:val="single" w:sz="4" w:space="0" w:color="C4C7C5"/>
              <w:right w:val="single" w:sz="4" w:space="0" w:color="C4C7C5"/>
            </w:tcBorders>
            <w:vAlign w:val="bottom"/>
          </w:tcPr>
          <w:p>
            <w:pPr>
              <w:pStyle w:val="normal2"/>
              <w:widowControl w:val="false"/>
              <w:rPr>
                <w:sz w:val="20"/>
                <w:szCs w:val="20"/>
              </w:rPr>
            </w:pPr>
            <w:r>
              <w:rPr>
                <w:sz w:val="20"/>
                <w:szCs w:val="20"/>
              </w:rPr>
            </w:r>
          </w:p>
        </w:tc>
        <w:tc>
          <w:tcPr>
            <w:tcW w:w="76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rPr>
                <w:sz w:val="20"/>
                <w:szCs w:val="20"/>
              </w:rPr>
            </w:pPr>
            <w:r>
              <w:rPr>
                <w:b/>
                <w:bCs/>
                <w:color w:val="1F1F1F"/>
                <w:sz w:val="28"/>
                <w:szCs w:val="28"/>
              </w:rPr>
              <w:t>X</w:t>
            </w:r>
          </w:p>
        </w:tc>
      </w:tr>
    </w:tbl>
    <w:p>
      <w:pPr>
        <w:pStyle w:val="Normal"/>
        <w:shd w:val="clear" w:fill="auto"/>
        <w:spacing w:lineRule="auto" w:line="360" w:before="240" w:after="240"/>
        <w:jc w:val="both"/>
        <w:rPr>
          <w:b/>
          <w:bCs/>
          <w:sz w:val="36"/>
          <w:szCs w:val="36"/>
        </w:rPr>
      </w:pPr>
      <w:r>
        <w:rPr>
          <w:b/>
          <w:bCs/>
          <w:sz w:val="22"/>
          <w:szCs w:val="22"/>
        </w:rPr>
        <w:t>Fonte: Elaborada pelo autor (2026).</w:t>
      </w:r>
      <w:r>
        <w:rPr>
          <w:b/>
          <w:bCs/>
          <w:sz w:val="36"/>
          <w:szCs w:val="36"/>
        </w:rPr>
        <w:t xml:space="preserve"> </w:t>
      </w:r>
    </w:p>
    <w:p>
      <w:pPr>
        <w:pStyle w:val="normal1"/>
        <w:shd w:val="clear" w:fill="auto"/>
        <w:spacing w:lineRule="auto" w:line="360"/>
        <w:jc w:val="both"/>
        <w:rPr>
          <w:rFonts w:ascii="Arial" w:hAnsi="Arial" w:eastAsia="Arial" w:cs="Arial"/>
        </w:rPr>
      </w:pPr>
      <w:r>
        <w:rPr>
          <w:rFonts w:eastAsia="Arial" w:cs="Arial"/>
        </w:rPr>
      </w:r>
    </w:p>
    <w:p>
      <w:pPr>
        <w:pStyle w:val="BodyText"/>
        <w:shd w:val="clear" w:fill="auto"/>
        <w:spacing w:lineRule="auto" w:line="360"/>
        <w:jc w:val="both"/>
        <w:rPr>
          <w:rFonts w:ascii="Arial" w:hAnsi="Arial" w:eastAsia="Arial" w:cs="Arial"/>
        </w:rPr>
      </w:pPr>
      <w:r>
        <w:rPr>
          <w:rFonts w:eastAsia="Arial" w:cs="Arial"/>
        </w:rPr>
        <w:t>Nos dois primeiros meses, as atividades focam no alinhamento das regras do Artigo 37 da LGPD com os diagramas de sequência arquiteturais. O bloco intermediário (Meses 3, 4 e 5) concentra o esforço técnico de engenharia de software, englobando a escrita dos interceptores via Programação Orientada a Aspectos (POA) e a amarração das threads de contexto imutável.</w:t>
      </w:r>
    </w:p>
    <w:p>
      <w:pPr>
        <w:pStyle w:val="BodyText"/>
        <w:suppressAutoHyphens w:val="true"/>
        <w:spacing w:lineRule="auto" w:line="360"/>
        <w:jc w:val="both"/>
        <w:rPr/>
      </w:pPr>
      <w:r>
        <w:rPr/>
        <w:t xml:space="preserve">O encerramento do cronograma (Meses 5 e 6) prevê a validação empírica da solução, onde ferramentas de injeção de carga simularão o comportamento de APIs públicas sob uso massivo. Essa etapa é vital para gerar as métricas de latência que serão confrontadas com o teto estabelecido de 5% de </w:t>
      </w:r>
      <w:r>
        <w:rPr>
          <w:i/>
        </w:rPr>
        <w:t>overhead</w:t>
      </w:r>
      <w:r>
        <w:rPr/>
        <w:t>. Os dados resultantes servirão como base empírica para a redação do relatório técnico final e a consolidação do Relatório de Impacto à Proteção de Dados (RIPD) apresentado na defesa perante a banca examinadora.</w:t>
      </w:r>
    </w:p>
    <w:p>
      <w:pPr>
        <w:pStyle w:val="normal1"/>
        <w:shd w:val="clear" w:fill="auto"/>
        <w:spacing w:lineRule="auto" w:line="360"/>
        <w:jc w:val="both"/>
        <w:rPr>
          <w:rFonts w:ascii="Arial" w:hAnsi="Arial" w:eastAsia="Arial" w:cs="Arial"/>
        </w:rPr>
      </w:pPr>
      <w:r>
        <w:rPr>
          <w:rFonts w:eastAsia="Arial" w:cs="Arial"/>
        </w:rPr>
      </w:r>
    </w:p>
    <w:p>
      <w:pPr>
        <w:pStyle w:val="normal1"/>
        <w:shd w:val="clear" w:fill="auto"/>
        <w:spacing w:lineRule="auto" w:line="360" w:before="240" w:after="240"/>
        <w:jc w:val="both"/>
        <w:rPr>
          <w:b/>
          <w:bCs/>
          <w:sz w:val="36"/>
          <w:szCs w:val="36"/>
        </w:rPr>
      </w:pPr>
      <w:r>
        <w:rPr>
          <w:b/>
          <w:bCs/>
          <w:sz w:val="36"/>
          <w:szCs w:val="36"/>
        </w:rPr>
        <w:t>5</w:t>
      </w:r>
      <w:r>
        <w:rPr>
          <w:b/>
          <w:bCs/>
          <w:sz w:val="36"/>
          <w:szCs w:val="36"/>
        </w:rPr>
        <w:t xml:space="preserve">. </w:t>
      </w:r>
      <w:r>
        <w:rPr>
          <w:b/>
          <w:bCs/>
          <w:sz w:val="36"/>
          <w:szCs w:val="36"/>
        </w:rPr>
        <w:t>Stack de Desenvolvimento</w:t>
      </w:r>
    </w:p>
    <w:p>
      <w:pPr>
        <w:pStyle w:val="normal1"/>
        <w:shd w:val="clear" w:fill="auto"/>
        <w:spacing w:lineRule="auto" w:line="360"/>
        <w:jc w:val="both"/>
        <w:rPr>
          <w:rFonts w:ascii="Arial" w:hAnsi="Arial" w:eastAsia="Arial" w:cs="Arial"/>
          <w:b w:val="false"/>
          <w:bCs w:val="false"/>
        </w:rPr>
      </w:pPr>
      <w:r>
        <w:rPr>
          <w:rFonts w:eastAsia="Arial" w:cs="Arial"/>
          <w:b w:val="false"/>
          <w:bCs w:val="false"/>
        </w:rPr>
        <w:t xml:space="preserve">A escolha dos componentes tecnológicos para a Prova de Conceito (PoC) do framework AuditGov foi guiada pelas premissas de alta performance, baixo consumo de recursos de infraestrutura e conformidade nativa com os princípios de </w:t>
      </w:r>
      <w:r>
        <w:rPr>
          <w:rFonts w:eastAsia="Arial" w:cs="Arial"/>
          <w:b w:val="false"/>
          <w:bCs w:val="false"/>
          <w:i/>
        </w:rPr>
        <w:t>Privacy by Design</w:t>
      </w:r>
      <w:r>
        <w:rPr>
          <w:rFonts w:eastAsia="Arial" w:cs="Arial"/>
          <w:b w:val="false"/>
          <w:bCs w:val="false"/>
        </w:rPr>
        <w:t>. Em ecossistemas públicos baseados em nuvem micro-orquestrada, o acoplamento de rotinas síncronas de auditoria tradicionalmente gera degradação do tempo de resposta (</w:t>
      </w:r>
      <w:r>
        <w:rPr>
          <w:rFonts w:eastAsia="Arial" w:cs="Arial"/>
          <w:b w:val="false"/>
          <w:bCs w:val="false"/>
          <w:i/>
        </w:rPr>
        <w:t>overhead</w:t>
      </w:r>
      <w:r>
        <w:rPr>
          <w:rFonts w:eastAsia="Arial" w:cs="Arial"/>
          <w:b w:val="false"/>
          <w:bCs w:val="false"/>
        </w:rPr>
        <w:t xml:space="preserve">). Portanto, a seleção priorizou tecnologias que viabilizam o processamento e a correlação assíncrona de dados, mitigando os gargalos clássicos de entrada e saída (I/O). A Tabela 1 detalha os componentes adotados e suas respectivas justificativas técnicas. </w:t>
        <w:br/>
      </w:r>
    </w:p>
    <w:tbl>
      <w:tblPr>
        <w:tblStyle w:val="Table1"/>
        <w:tblW w:w="9026" w:type="dxa"/>
        <w:jc w:val="left"/>
        <w:tblInd w:w="46" w:type="dxa"/>
        <w:tblLayout w:type="fixed"/>
        <w:tblCellMar>
          <w:top w:w="40" w:type="dxa"/>
          <w:left w:w="40" w:type="dxa"/>
          <w:bottom w:w="40" w:type="dxa"/>
          <w:right w:w="40" w:type="dxa"/>
        </w:tblCellMar>
        <w:tblLook w:val="0600"/>
      </w:tblPr>
      <w:tblGrid>
        <w:gridCol w:w="1882"/>
        <w:gridCol w:w="2038"/>
        <w:gridCol w:w="5106"/>
      </w:tblGrid>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Camada</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Tecnologia</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Justificativa</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Ambiente de Execução</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Java JDK 21</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Utilização de recursos modernos de concorrência e gerenciamento de contexto seguro.</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Core Framework</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Quarkus</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Arquitetura Cloud Native com compilação Ahead-of-Time (AOT) para baixo consumo de memória e CPU.</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Isolamento de Memória</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Scoped Values (JEP 464)</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Compartilhamento gerenciado de dados imutáveis na thread, impedindo a corrupção da telemetria.</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Rastreamento Distribuído</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OpenTelemetry (OTLP)</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Padrão global neutro que injeta o Trace ID nos cabeçalhos W3C, evitando o vendor lock-in.</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Banco de dados</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PostgreSQL</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Camada de persistência relacional para armazenamento de logs históricos com integridade referencial.</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Análise e Visibilidade</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Jaeger</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Empregado para inspeção visual do fluxo de chamadas e reconstrução gráfica da linhagem de dados.</w:t>
            </w:r>
          </w:p>
        </w:tc>
      </w:tr>
      <w:tr>
        <w:trPr>
          <w:trHeight w:val="315" w:hRule="atLeast"/>
        </w:trPr>
        <w:tc>
          <w:tcPr>
            <w:tcW w:w="1882"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Infraestrutura Local</w:t>
            </w:r>
          </w:p>
        </w:tc>
        <w:tc>
          <w:tcPr>
            <w:tcW w:w="2038"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Docker Compose</w:t>
            </w:r>
          </w:p>
        </w:tc>
        <w:tc>
          <w:tcPr>
            <w:tcW w:w="5106" w:type="dxa"/>
            <w:tcBorders>
              <w:top w:val="single" w:sz="4" w:space="0" w:color="CCCCCC"/>
              <w:left w:val="single" w:sz="4" w:space="0" w:color="CCCCCC"/>
              <w:bottom w:val="single" w:sz="4" w:space="0" w:color="CCCCCC"/>
              <w:right w:val="single" w:sz="4" w:space="0" w:color="CCCCCC"/>
            </w:tcBorders>
            <w:vAlign w:val="bottom"/>
          </w:tcPr>
          <w:p>
            <w:pPr>
              <w:pStyle w:val="normal2"/>
              <w:widowControl w:val="false"/>
              <w:jc w:val="center"/>
              <w:rPr>
                <w:sz w:val="20"/>
                <w:szCs w:val="20"/>
              </w:rPr>
            </w:pPr>
            <w:r>
              <w:rPr>
                <w:sz w:val="20"/>
                <w:szCs w:val="20"/>
              </w:rPr>
              <w:t>Emulação e orquestração isolada do ambiente de microsserviços distribuídos em tempo de teste.</w:t>
            </w:r>
          </w:p>
        </w:tc>
      </w:tr>
    </w:tbl>
    <w:p>
      <w:pPr>
        <w:pStyle w:val="Normal"/>
        <w:shd w:val="clear" w:fill="auto"/>
        <w:spacing w:lineRule="auto" w:line="360" w:before="240" w:after="240"/>
        <w:jc w:val="both"/>
        <w:rPr>
          <w:b/>
          <w:bCs/>
          <w:sz w:val="36"/>
          <w:szCs w:val="36"/>
        </w:rPr>
      </w:pPr>
      <w:r>
        <w:rPr>
          <w:b/>
          <w:bCs/>
          <w:sz w:val="22"/>
          <w:szCs w:val="22"/>
        </w:rPr>
        <w:t>Fonte: Elaborada pelo autor (2026).</w:t>
      </w:r>
    </w:p>
    <w:p>
      <w:pPr>
        <w:pStyle w:val="Normal"/>
        <w:shd w:val="clear" w:fill="auto"/>
        <w:spacing w:lineRule="auto" w:line="360" w:before="240" w:after="240"/>
        <w:jc w:val="both"/>
        <w:rPr>
          <w:b/>
          <w:bCs/>
          <w:sz w:val="36"/>
          <w:szCs w:val="36"/>
        </w:rPr>
      </w:pPr>
      <w:r>
        <w:rPr>
          <w:rFonts w:eastAsia="Arial" w:cs="Arial"/>
          <w:b w:val="false"/>
          <w:bCs w:val="false"/>
          <w:sz w:val="22"/>
          <w:szCs w:val="22"/>
        </w:rPr>
        <w:t xml:space="preserve">No ecossistema proposto, a integração do framework Quarkus com os Scoped Values do Java 21 permite que os metadados de identidade civil coletados fiquem confinados ao escopo de execução daquela requisição específica. Isso impede que outros fluxos concorrentes alterem as informações do log antes que elas sejam despachadas via protocolo OTLP para o servidor de coleta assíncrona, blindando o ecossistema contra falhas de concorrência e tentativas internas de adulteração de rastro. </w:t>
      </w:r>
      <w:r>
        <w:rPr>
          <w:rFonts w:eastAsia="Arial" w:cs="Arial"/>
        </w:rPr>
        <w:br/>
      </w:r>
    </w:p>
    <w:p>
      <w:pPr>
        <w:pStyle w:val="normal1"/>
        <w:shd w:val="clear" w:fill="auto"/>
        <w:spacing w:lineRule="auto" w:line="360" w:before="240" w:after="240"/>
        <w:jc w:val="both"/>
        <w:rPr>
          <w:b/>
          <w:bCs/>
          <w:sz w:val="32"/>
          <w:szCs w:val="32"/>
        </w:rPr>
      </w:pPr>
      <w:r>
        <w:rPr>
          <w:b/>
          <w:bCs/>
          <w:sz w:val="32"/>
          <w:szCs w:val="32"/>
        </w:rPr>
        <w:t>REFERÊNCIAS</w:t>
      </w:r>
    </w:p>
    <w:p>
      <w:pPr>
        <w:pStyle w:val="normal1"/>
        <w:widowControl/>
        <w:spacing w:lineRule="auto" w:line="276"/>
        <w:rPr/>
      </w:pPr>
      <w:r>
        <w:rPr/>
        <w:t xml:space="preserve">BEYER, Betsy </w:t>
      </w:r>
      <w:r>
        <w:rPr>
          <w:i/>
          <w:iCs/>
        </w:rPr>
        <w:t>et al.</w:t>
      </w:r>
      <w:r>
        <w:rPr/>
        <w:t xml:space="preserve"> </w:t>
      </w:r>
      <w:r>
        <w:rPr>
          <w:i/>
          <w:iCs/>
        </w:rPr>
        <w:t>Site reliability engineering: how Google runs production systems</w:t>
      </w:r>
      <w:r>
        <w:rPr/>
        <w:t>. Sebastopol, CA: O'Reilly Media, 2016.</w:t>
      </w:r>
    </w:p>
    <w:p>
      <w:pPr>
        <w:pStyle w:val="normal1"/>
        <w:widowControl/>
        <w:spacing w:lineRule="auto" w:line="276" w:before="240" w:after="240"/>
        <w:rPr/>
      </w:pPr>
      <w:r>
        <w:rPr/>
        <w:t xml:space="preserve">BRASIL. Lei nº 13.709, de 14 de agosto de 2018. </w:t>
      </w:r>
      <w:r>
        <w:rPr>
          <w:i/>
          <w:iCs/>
        </w:rPr>
        <w:t>Lei Geral de Proteção de Dados Pessoais (LGPD)</w:t>
      </w:r>
      <w:r>
        <w:rPr/>
        <w:t>. Brasília, DF: Presidência da República, 2018. Disponível em:</w:t>
      </w:r>
      <w:hyperlink r:id="rId2">
        <w:r>
          <w:rPr>
            <w:rStyle w:val="Style3"/>
          </w:rPr>
          <w:t xml:space="preserve"> </w:t>
        </w:r>
      </w:hyperlink>
      <w:hyperlink r:id="rId3">
        <w:r>
          <w:rPr>
            <w:rStyle w:val="Style3"/>
            <w:color w:val="1155CC"/>
            <w:u w:val="single"/>
          </w:rPr>
          <w:t>http://www.planalto.gov.br/ccivil_03/_ato2015-2018/2018/lei/l13709.htm</w:t>
        </w:r>
      </w:hyperlink>
      <w:r>
        <w:rPr/>
        <w:t>. Acesso em: 16 abr. 2026.</w:t>
      </w:r>
    </w:p>
    <w:p>
      <w:pPr>
        <w:pStyle w:val="normal1"/>
        <w:widowControl/>
        <w:spacing w:lineRule="auto" w:line="276" w:before="240" w:after="240"/>
        <w:rPr/>
      </w:pPr>
      <w:r>
        <w:rPr/>
        <w:t xml:space="preserve">FONTANA, Francesco; MUSCHELKNANTZ, Ken. </w:t>
      </w:r>
      <w:r>
        <w:rPr>
          <w:i/>
          <w:iCs/>
        </w:rPr>
        <w:t>Quarkus cookbook: Kubernetes-optimized Java solutions</w:t>
      </w:r>
      <w:r>
        <w:rPr/>
        <w:t>. Sebastopol, CA: O'Reilly Media, 2020.</w:t>
      </w:r>
    </w:p>
    <w:p>
      <w:pPr>
        <w:pStyle w:val="normal1"/>
        <w:widowControl/>
        <w:spacing w:lineRule="auto" w:line="276" w:before="240" w:after="240"/>
        <w:rPr/>
      </w:pPr>
      <w:r>
        <w:rPr/>
        <w:t xml:space="preserve">JUST ARBITRATION. </w:t>
      </w:r>
      <w:r>
        <w:rPr>
          <w:i/>
          <w:iCs/>
        </w:rPr>
        <w:t>O valor probatório da assinatura digital: técnica, cadeia de custódia e verdade processual</w:t>
      </w:r>
      <w:r>
        <w:rPr/>
        <w:t>. [S. l.], 2025. Disponível em:</w:t>
      </w:r>
      <w:hyperlink r:id="rId4">
        <w:r>
          <w:rPr>
            <w:rStyle w:val="Style3"/>
          </w:rPr>
          <w:t xml:space="preserve"> </w:t>
        </w:r>
      </w:hyperlink>
      <w:hyperlink r:id="rId5">
        <w:r>
          <w:rPr>
            <w:rStyle w:val="Style3"/>
            <w:color w:val="1155CC"/>
            <w:u w:val="single"/>
          </w:rPr>
          <w:t>https://justarbitration.com.br/2025/10/24/o-valor-probatorio-da-assinatura-digital-tecnica-cadeia-de-custodia-e-verdade-processual/</w:t>
        </w:r>
      </w:hyperlink>
      <w:r>
        <w:rPr/>
        <w:t>. Acesso em: 17 abr. 2026.</w:t>
      </w:r>
    </w:p>
    <w:p>
      <w:pPr>
        <w:pStyle w:val="normal1"/>
        <w:widowControl/>
        <w:spacing w:lineRule="auto" w:line="276" w:before="240" w:after="240"/>
        <w:rPr/>
      </w:pPr>
      <w:r>
        <w:rPr/>
        <w:t xml:space="preserve">KICZALES, Gregor </w:t>
      </w:r>
      <w:r>
        <w:rPr>
          <w:i/>
          <w:iCs/>
        </w:rPr>
        <w:t>et al.</w:t>
      </w:r>
      <w:r>
        <w:rPr/>
        <w:t xml:space="preserve"> Aspect-oriented programming. In: EUROPEAN CONFERENCE ON OBJECT-ORIENTED PROGRAMMING (ECOOP), 1997, Jyväskylä, Finland. </w:t>
      </w:r>
      <w:r>
        <w:rPr>
          <w:i/>
          <w:iCs/>
        </w:rPr>
        <w:t>Proceedings</w:t>
      </w:r>
      <w:r>
        <w:rPr/>
        <w:t>. Jyväskylä: Springer, 1997.</w:t>
      </w:r>
    </w:p>
    <w:p>
      <w:pPr>
        <w:pStyle w:val="normal1"/>
        <w:widowControl/>
        <w:spacing w:lineRule="auto" w:line="276" w:before="240" w:after="240"/>
        <w:rPr/>
      </w:pPr>
      <w:r>
        <w:rPr/>
        <w:t xml:space="preserve">MAJOR, Charity; FONDAHL, Liz; HART, George. </w:t>
      </w:r>
      <w:r>
        <w:rPr>
          <w:i/>
          <w:iCs/>
        </w:rPr>
        <w:t>Observability engineering: achieving production excellence of software</w:t>
      </w:r>
      <w:r>
        <w:rPr/>
        <w:t>. Sebastopol, CA: O'Reilly Media, 2022.</w:t>
      </w:r>
    </w:p>
    <w:p>
      <w:pPr>
        <w:pStyle w:val="normal1"/>
        <w:widowControl/>
        <w:spacing w:lineRule="auto" w:line="276" w:before="240" w:after="240"/>
        <w:rPr/>
      </w:pPr>
      <w:r>
        <w:rPr/>
        <w:t xml:space="preserve">NEWMAN, Sam. </w:t>
      </w:r>
      <w:r>
        <w:rPr>
          <w:i/>
          <w:iCs/>
        </w:rPr>
        <w:t>Building microservices: designing fine-grained systems</w:t>
      </w:r>
      <w:r>
        <w:rPr/>
        <w:t>. 2. ed. Sebastopol, CA: O'Reilly Media, 2021.</w:t>
      </w:r>
    </w:p>
    <w:p>
      <w:pPr>
        <w:pStyle w:val="normal1"/>
        <w:widowControl/>
        <w:spacing w:lineRule="auto" w:line="276" w:before="240" w:after="240"/>
        <w:rPr/>
      </w:pPr>
      <w:r>
        <w:rPr/>
        <w:t xml:space="preserve">OPENTELEMETRY. </w:t>
      </w:r>
      <w:r>
        <w:rPr>
          <w:i/>
          <w:iCs/>
        </w:rPr>
        <w:t>OpenTelemetry documentation</w:t>
      </w:r>
      <w:r>
        <w:rPr/>
        <w:t>. [S. l.]: CNCF, 2024. Disponível em:</w:t>
      </w:r>
      <w:hyperlink r:id="rId6">
        <w:r>
          <w:rPr>
            <w:rStyle w:val="Style3"/>
          </w:rPr>
          <w:t xml:space="preserve"> </w:t>
        </w:r>
      </w:hyperlink>
      <w:hyperlink r:id="rId7">
        <w:r>
          <w:rPr>
            <w:rStyle w:val="Style3"/>
            <w:color w:val="1155CC"/>
            <w:u w:val="single"/>
          </w:rPr>
          <w:t>https://opentelemetry.io/docs/</w:t>
        </w:r>
      </w:hyperlink>
      <w:r>
        <w:rPr/>
        <w:t>. Acesso em: 16 abr. 2026.</w:t>
      </w:r>
    </w:p>
    <w:p>
      <w:pPr>
        <w:pStyle w:val="normal1"/>
        <w:widowControl/>
        <w:spacing w:lineRule="auto" w:line="276" w:before="240" w:after="240"/>
        <w:rPr/>
      </w:pPr>
      <w:r>
        <w:rPr/>
        <w:t xml:space="preserve">ORACLE. </w:t>
      </w:r>
      <w:r>
        <w:rPr>
          <w:i/>
          <w:iCs/>
        </w:rPr>
        <w:t>JEP 464: scoped values (second preview)</w:t>
      </w:r>
      <w:r>
        <w:rPr/>
        <w:t>. [S. l.]: Oracle, 2024. Disponível em:</w:t>
      </w:r>
      <w:hyperlink r:id="rId8">
        <w:r>
          <w:rPr>
            <w:rStyle w:val="Style3"/>
          </w:rPr>
          <w:t xml:space="preserve"> </w:t>
        </w:r>
      </w:hyperlink>
      <w:hyperlink r:id="rId9">
        <w:r>
          <w:rPr>
            <w:rStyle w:val="Style3"/>
            <w:color w:val="1155CC"/>
            <w:u w:val="single"/>
          </w:rPr>
          <w:t>https://openjdk.org/jeps/464</w:t>
        </w:r>
      </w:hyperlink>
      <w:r>
        <w:rPr/>
        <w:t>. Acesso em: 16 abr. 2026.</w:t>
      </w:r>
    </w:p>
    <w:p>
      <w:pPr>
        <w:pStyle w:val="normal1"/>
        <w:widowControl/>
        <w:spacing w:lineRule="auto" w:line="276" w:before="240" w:after="240"/>
        <w:rPr/>
      </w:pPr>
      <w:r>
        <w:rPr/>
        <w:t xml:space="preserve">PINHEIRO, Patrícia Peck. </w:t>
      </w:r>
      <w:r>
        <w:rPr>
          <w:i/>
          <w:iCs/>
        </w:rPr>
        <w:t>Proteção de dados pessoais: comentários à Lei n. 13.709/2018 (LGPD)</w:t>
      </w:r>
      <w:r>
        <w:rPr/>
        <w:t>. 3. ed. São Paulo: Saraiva, 2021.</w:t>
      </w:r>
    </w:p>
    <w:p>
      <w:pPr>
        <w:pStyle w:val="normal1"/>
        <w:widowControl/>
        <w:spacing w:lineRule="auto" w:line="276" w:before="240" w:after="240"/>
        <w:rPr/>
      </w:pPr>
      <w:r>
        <w:rPr/>
        <w:t xml:space="preserve">QUARKUS. </w:t>
      </w:r>
      <w:r>
        <w:rPr>
          <w:i/>
          <w:iCs/>
        </w:rPr>
        <w:t>Quarkus – OpenTelemetry guide</w:t>
      </w:r>
      <w:r>
        <w:rPr/>
        <w:t>. [S. l.]: Red Hat, 2024. Disponível em:</w:t>
      </w:r>
      <w:hyperlink r:id="rId10">
        <w:r>
          <w:rPr>
            <w:rStyle w:val="Style3"/>
          </w:rPr>
          <w:t xml:space="preserve"> </w:t>
        </w:r>
      </w:hyperlink>
      <w:hyperlink r:id="rId11">
        <w:r>
          <w:rPr>
            <w:rStyle w:val="Style3"/>
            <w:color w:val="1155CC"/>
            <w:u w:val="single"/>
          </w:rPr>
          <w:t>https://quarkus.io/guides/opentelemetry</w:t>
        </w:r>
      </w:hyperlink>
      <w:r>
        <w:rPr/>
        <w:t>. Acesso em: 16 abr. 2026.</w:t>
      </w:r>
    </w:p>
    <w:p>
      <w:pPr>
        <w:pStyle w:val="normal1"/>
        <w:widowControl/>
        <w:spacing w:lineRule="auto" w:line="276" w:before="240" w:after="240"/>
        <w:rPr/>
      </w:pPr>
      <w:r>
        <w:rPr/>
        <w:t xml:space="preserve">W3C. </w:t>
      </w:r>
      <w:r>
        <w:rPr>
          <w:i/>
          <w:iCs/>
        </w:rPr>
        <w:t>Trace context: W3C recommendation</w:t>
      </w:r>
      <w:r>
        <w:rPr/>
        <w:t>. [S. l.]: W3C, 2021. Disponível em:</w:t>
      </w:r>
      <w:hyperlink r:id="rId12">
        <w:r>
          <w:rPr>
            <w:rStyle w:val="Style3"/>
          </w:rPr>
          <w:t xml:space="preserve"> </w:t>
        </w:r>
      </w:hyperlink>
      <w:hyperlink r:id="rId13">
        <w:r>
          <w:rPr>
            <w:rStyle w:val="Style3"/>
            <w:color w:val="1155CC"/>
            <w:u w:val="single"/>
          </w:rPr>
          <w:t>https://www.w3.org/TR/trace-context/</w:t>
        </w:r>
      </w:hyperlink>
      <w:r>
        <w:rPr/>
        <w:t>. Acesso em: 17 abr. 2026.</w:t>
      </w:r>
    </w:p>
    <w:p>
      <w:pPr>
        <w:pStyle w:val="normal1"/>
        <w:shd w:val="clear" w:fill="auto"/>
        <w:spacing w:lineRule="auto" w:line="360"/>
        <w:jc w:val="both"/>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Mono">
    <w:charset w:val="00"/>
    <w:family w:val="roman"/>
    <w:pitch w:val="variable"/>
    <w:embedRegular r:id="rId22" w:fontKey="{16014A78-CABC-4EF0-12AC-5CD89AEFDE16}"/>
  </w:font>
  <w:font w:name="Wingdings">
    <w:charset w:val="02"/>
    <w:family w:val="auto"/>
    <w:pitch w:val="variable"/>
    <w:embedRegular r:id="rId23" w:fontKey="{17014A78-CABC-4EF0-12AC-5CD89AEFDE17}"/>
  </w:font>
  <w:font w:name="Wingdings 2">
    <w:charset w:val="02"/>
    <w:family w:val="roman"/>
    <w:pitch w:val="variable"/>
    <w:embedRegular r:id="rId24" w:fontKey="{18014A78-CABC-4EF0-12AC-5CD89AEFDE18}"/>
  </w:font>
  <w:font w:name="OpenSymbol">
    <w:altName w:val="Arial Unicode MS"/>
    <w:charset w:val="01"/>
    <w:family w:val="auto"/>
    <w:pitch w:val="variable"/>
    <w:embedRegular r:id="rId25" w:fontKey="{19014A78-CABC-4EF0-12AC-5CD89AEFDE19}"/>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pt-BR" w:eastAsia="zh-CN" w:bidi="hi-IN"/>
    </w:rPr>
  </w:style>
  <w:style w:type="paragraph" w:styleId="Heading1">
    <w:name w:val="heading 1"/>
    <w:basedOn w:val="normal1"/>
    <w:next w:val="normal1"/>
    <w:qFormat/>
    <w:pPr>
      <w:shd w:val="clear" w:fill="auto"/>
      <w:spacing w:lineRule="auto" w:line="240" w:before="240" w:after="240"/>
    </w:pPr>
    <w:rPr>
      <w:b/>
      <w:bCs/>
      <w:i w:val="false"/>
      <w:iCs w:val="false"/>
      <w:sz w:val="48"/>
      <w:szCs w:val="48"/>
    </w:rPr>
  </w:style>
  <w:style w:type="paragraph" w:styleId="Heading2">
    <w:name w:val="heading 2"/>
    <w:basedOn w:val="normal1"/>
    <w:next w:val="normal1"/>
    <w:qFormat/>
    <w:pPr>
      <w:shd w:val="clear" w:fill="auto"/>
      <w:spacing w:lineRule="auto" w:line="240" w:before="225" w:after="225"/>
    </w:pPr>
    <w:rPr>
      <w:b/>
      <w:bCs/>
      <w:i w:val="false"/>
      <w:iCs w:val="false"/>
      <w:sz w:val="36"/>
      <w:szCs w:val="36"/>
    </w:rPr>
  </w:style>
  <w:style w:type="paragraph" w:styleId="Heading3">
    <w:name w:val="heading 3"/>
    <w:basedOn w:val="normal1"/>
    <w:next w:val="normal1"/>
    <w:qFormat/>
    <w:pPr>
      <w:shd w:val="clear" w:fill="auto"/>
      <w:spacing w:lineRule="auto" w:line="240" w:before="240" w:after="240"/>
    </w:pPr>
    <w:rPr>
      <w:b/>
      <w:bCs/>
      <w:i w:val="false"/>
      <w:iCs w:val="false"/>
      <w:sz w:val="28"/>
      <w:szCs w:val="28"/>
    </w:rPr>
  </w:style>
  <w:style w:type="paragraph" w:styleId="Heading4">
    <w:name w:val="heading 4"/>
    <w:basedOn w:val="normal1"/>
    <w:next w:val="normal1"/>
    <w:qFormat/>
    <w:pPr>
      <w:shd w:val="clear" w:fill="auto"/>
      <w:spacing w:lineRule="auto" w:line="240" w:before="255" w:after="255"/>
    </w:pPr>
    <w:rPr>
      <w:b/>
      <w:bCs/>
      <w:i w:val="false"/>
      <w:iCs w:val="false"/>
      <w:sz w:val="24"/>
      <w:szCs w:val="24"/>
    </w:rPr>
  </w:style>
  <w:style w:type="paragraph" w:styleId="Heading5">
    <w:name w:val="heading 5"/>
    <w:basedOn w:val="normal1"/>
    <w:next w:val="normal1"/>
    <w:qFormat/>
    <w:pPr>
      <w:shd w:val="clear" w:fill="auto"/>
      <w:spacing w:lineRule="auto" w:line="240" w:before="255" w:after="255"/>
    </w:pPr>
    <w:rPr>
      <w:b/>
      <w:bCs/>
      <w:i w:val="false"/>
      <w:iCs w:val="false"/>
      <w:sz w:val="18"/>
      <w:szCs w:val="18"/>
    </w:rPr>
  </w:style>
  <w:style w:type="paragraph" w:styleId="Heading6">
    <w:name w:val="heading 6"/>
    <w:basedOn w:val="normal1"/>
    <w:next w:val="normal1"/>
    <w:qFormat/>
    <w:pPr>
      <w:shd w:val="clear" w:fill="auto"/>
      <w:spacing w:lineRule="auto" w:line="240" w:before="360" w:after="360"/>
    </w:pPr>
    <w:rPr>
      <w:b/>
      <w:bCs/>
      <w:i w:val="false"/>
      <w:iCs w:val="false"/>
      <w:sz w:val="16"/>
      <w:szCs w:val="16"/>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pt-B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2">
    <w:name w:val="normal2"/>
    <w:qFormat/>
    <w:pPr>
      <w:widowControl/>
      <w:bidi w:val="0"/>
      <w:spacing w:lineRule="auto" w:line="276" w:before="0" w:after="0"/>
      <w:jc w:val="left"/>
    </w:pPr>
    <w:rPr>
      <w:rFonts w:ascii="Arial" w:hAnsi="Arial" w:eastAsia="Arial" w:cs="Arial"/>
      <w:color w:val="auto"/>
      <w:kern w:val="0"/>
      <w:sz w:val="22"/>
      <w:szCs w:val="22"/>
      <w:lang w:val="pt-BR"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lanalto.gov.br/ccivil_03/_ato2015-2018/2018/lei/l13709.htm" TargetMode="External"/><Relationship Id="rId3" Type="http://schemas.openxmlformats.org/officeDocument/2006/relationships/hyperlink" Target="http://www.planalto.gov.br/ccivil_03/_ato2015-2018/2018/lei/l13709.htm" TargetMode="External"/><Relationship Id="rId4" Type="http://schemas.openxmlformats.org/officeDocument/2006/relationships/hyperlink" Target="https://justarbitration.com.br/2025/10/24/o-valor-probatorio-da-assinatura-digital-tecnica-cadeia-de-custodia-e-verdade-processual/" TargetMode="External"/><Relationship Id="rId5" Type="http://schemas.openxmlformats.org/officeDocument/2006/relationships/hyperlink" Target="https://justarbitration.com.br/2025/10/24/o-valor-probatorio-da-assinatura-digital-tecnica-cadeia-de-custodia-e-verdade-processual/" TargetMode="External"/><Relationship Id="rId6" Type="http://schemas.openxmlformats.org/officeDocument/2006/relationships/hyperlink" Target="https://opentelemetry.io/docs/" TargetMode="External"/><Relationship Id="rId7" Type="http://schemas.openxmlformats.org/officeDocument/2006/relationships/hyperlink" Target="https://opentelemetry.io/docs/" TargetMode="External"/><Relationship Id="rId8" Type="http://schemas.openxmlformats.org/officeDocument/2006/relationships/hyperlink" Target="https://openjdk.org/jeps/464" TargetMode="External"/><Relationship Id="rId9" Type="http://schemas.openxmlformats.org/officeDocument/2006/relationships/hyperlink" Target="https://openjdk.org/jeps/464" TargetMode="External"/><Relationship Id="rId10" Type="http://schemas.openxmlformats.org/officeDocument/2006/relationships/hyperlink" Target="https://quarkus.io/guides/opentelemetry" TargetMode="External"/><Relationship Id="rId11" Type="http://schemas.openxmlformats.org/officeDocument/2006/relationships/hyperlink" Target="https://quarkus.io/guides/opentelemetry" TargetMode="External"/><Relationship Id="rId12" Type="http://schemas.openxmlformats.org/officeDocument/2006/relationships/hyperlink" Target="https://www.w3.org/TR/trace-context/" TargetMode="External"/><Relationship Id="rId13" Type="http://schemas.openxmlformats.org/officeDocument/2006/relationships/hyperlink" Target="https://www.w3.org/TR/trace-context/"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LibreOffice/25.2.7.2$Windows_X86_64 LibreOffice_project/5cbfd1ab6520636bb5f7b99185aa69bd7456825d</Application>
  <AppVersion>15.0000</AppVersion>
  <Pages>15</Pages>
  <Words>3994</Words>
  <Characters>23714</Characters>
  <CharactersWithSpaces>27535</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2026-05-31T16:46:42Z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