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3312F7" w:rsidP="003312F7">
      <w:pPr>
        <w:spacing w:after="160" w:line="259" w:lineRule="auto"/>
        <w:jc w:val="center"/>
        <w:rPr>
          <w:rFonts w:asciiTheme="minorHAnsi" w:hAnsiTheme="minorHAnsi"/>
          <w:b/>
          <w:sz w:val="96"/>
          <w:szCs w:val="96"/>
        </w:rPr>
      </w:pPr>
      <w:r w:rsidRPr="003312F7">
        <w:rPr>
          <w:rFonts w:asciiTheme="minorHAnsi" w:hAnsiTheme="minorHAnsi"/>
          <w:b/>
          <w:sz w:val="96"/>
          <w:szCs w:val="96"/>
        </w:rPr>
        <w:t>INDICE CAMBIOS ITEMS DE CONFIGURACION</w:t>
      </w:r>
      <w:r w:rsidR="00601134">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w:t>
            </w:r>
            <w:r w:rsidR="003312F7">
              <w:rPr>
                <w:rFonts w:ascii="Arial" w:hAnsi="Arial" w:cs="Arial"/>
                <w:color w:val="000000"/>
                <w:sz w:val="18"/>
                <w:szCs w:val="18"/>
                <w:lang w:val="es-PE"/>
              </w:rPr>
              <w:t>8</w:t>
            </w:r>
          </w:p>
        </w:tc>
        <w:tc>
          <w:tcPr>
            <w:tcW w:w="1755" w:type="dxa"/>
            <w:vAlign w:val="center"/>
          </w:tcPr>
          <w:p w:rsidR="00EA3041" w:rsidRPr="00F53F8F" w:rsidRDefault="003F4B32" w:rsidP="00D06F64">
            <w:pPr>
              <w:pStyle w:val="TableText"/>
              <w:rPr>
                <w:rFonts w:ascii="Arial" w:hAnsi="Arial" w:cs="Arial"/>
                <w:color w:val="000000"/>
                <w:sz w:val="18"/>
                <w:szCs w:val="18"/>
                <w:lang w:val="es-PE"/>
              </w:rPr>
            </w:pPr>
            <w:r>
              <w:rPr>
                <w:rFonts w:ascii="Arial" w:hAnsi="Arial" w:cs="Arial"/>
                <w:color w:val="000000"/>
                <w:sz w:val="18"/>
                <w:szCs w:val="18"/>
                <w:lang w:val="es-PE"/>
              </w:rPr>
              <w:t>Denisse Luque</w:t>
            </w:r>
          </w:p>
        </w:tc>
        <w:tc>
          <w:tcPr>
            <w:tcW w:w="1766" w:type="dxa"/>
            <w:vAlign w:val="center"/>
          </w:tcPr>
          <w:p w:rsidR="00EA3041" w:rsidRPr="00F53F8F" w:rsidRDefault="003F4B32" w:rsidP="00D06F64">
            <w:pPr>
              <w:jc w:val="center"/>
              <w:rPr>
                <w:rFonts w:ascii="Arial" w:hAnsi="Arial" w:cs="Arial"/>
                <w:color w:val="000000"/>
                <w:sz w:val="18"/>
                <w:szCs w:val="18"/>
                <w:lang w:val="es-PE"/>
              </w:rPr>
            </w:pPr>
            <w:r>
              <w:rPr>
                <w:rFonts w:ascii="Arial" w:hAnsi="Arial" w:cs="Arial"/>
                <w:sz w:val="18"/>
                <w:szCs w:val="18"/>
                <w:lang w:val="es-PE"/>
              </w:rPr>
              <w:t>Versión aprobada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3F4B32"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w:t>
            </w:r>
            <w:r w:rsidR="00F53F8F">
              <w:rPr>
                <w:rFonts w:ascii="Arial" w:hAnsi="Arial" w:cs="Arial"/>
                <w:color w:val="000000"/>
                <w:sz w:val="18"/>
                <w:szCs w:val="18"/>
                <w:lang w:val="es-PE"/>
              </w:rPr>
              <w:t xml:space="preserve"> </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w:t>
            </w:r>
            <w:r w:rsidR="00827251">
              <w:rPr>
                <w:rFonts w:ascii="Calibri" w:eastAsia="Calibri" w:hAnsi="Calibri"/>
                <w:b/>
                <w:sz w:val="28"/>
              </w:rPr>
              <w:t>ICIC</w:t>
            </w:r>
            <w:r w:rsidR="00601134">
              <w:rPr>
                <w:rFonts w:ascii="Calibri" w:eastAsia="Calibri" w:hAnsi="Calibri"/>
                <w:b/>
                <w:sz w:val="28"/>
              </w:rPr>
              <w:t>_V1.</w:t>
            </w:r>
            <w:r w:rsidR="00BF7D0F">
              <w:rPr>
                <w:rFonts w:ascii="Calibri" w:eastAsia="Calibri" w:hAnsi="Calibri"/>
                <w:b/>
                <w:sz w:val="28"/>
              </w:rPr>
              <w:t>0</w:t>
            </w:r>
            <w:r w:rsidR="00601134">
              <w:rPr>
                <w:rFonts w:ascii="Calibri" w:eastAsia="Calibri" w:hAnsi="Calibri"/>
                <w:b/>
                <w:sz w:val="28"/>
              </w:rPr>
              <w:t xml:space="preserve"> F</w:t>
            </w:r>
            <w:r w:rsidR="00601134" w:rsidRPr="0057137C">
              <w:rPr>
                <w:rFonts w:ascii="Calibri" w:eastAsia="Calibri" w:hAnsi="Calibri"/>
                <w:b/>
                <w:sz w:val="28"/>
              </w:rPr>
              <w:t xml:space="preserve">icha de Métricas </w:t>
            </w:r>
            <w:r w:rsidR="003312F7">
              <w:rPr>
                <w:rFonts w:ascii="Calibri" w:eastAsia="Calibri" w:hAnsi="Calibri"/>
                <w:b/>
                <w:sz w:val="28"/>
              </w:rPr>
              <w:t>de</w:t>
            </w:r>
            <w:r w:rsidR="003312F7" w:rsidRPr="003312F7">
              <w:rPr>
                <w:rFonts w:ascii="Calibri" w:eastAsia="Calibri" w:hAnsi="Calibri"/>
                <w:b/>
                <w:sz w:val="28"/>
              </w:rPr>
              <w:t xml:space="preserve"> Cambios Items de </w:t>
            </w:r>
            <w:r w:rsidR="003312F7" w:rsidRPr="003312F7">
              <w:rPr>
                <w:rFonts w:ascii="Calibri" w:eastAsia="Calibri" w:hAnsi="Calibri"/>
                <w:b/>
                <w:sz w:val="28"/>
              </w:rPr>
              <w:t>Configuración</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3F4B32" w:rsidP="00C2711E">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3F4B32" w:rsidP="00C03710">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3F4B32"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Denisse Luque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Ficha de Métricas</w:t>
            </w:r>
            <w:r w:rsidR="003312F7" w:rsidRPr="003312F7">
              <w:rPr>
                <w:rFonts w:asciiTheme="minorHAnsi" w:hAnsiTheme="minorHAnsi" w:cs="Arial"/>
                <w:color w:val="000000"/>
                <w:lang w:val="es-MX"/>
              </w:rPr>
              <w:t xml:space="preserve"> de Cambios </w:t>
            </w:r>
            <w:r w:rsidR="003312F7" w:rsidRPr="003312F7">
              <w:rPr>
                <w:rFonts w:asciiTheme="minorHAnsi" w:hAnsiTheme="minorHAnsi" w:cs="Arial"/>
                <w:color w:val="000000"/>
                <w:lang w:val="es-MX"/>
              </w:rPr>
              <w:t>Ítems</w:t>
            </w:r>
            <w:r w:rsidR="003312F7" w:rsidRPr="003312F7">
              <w:rPr>
                <w:rFonts w:asciiTheme="minorHAnsi" w:hAnsiTheme="minorHAnsi" w:cs="Arial"/>
                <w:color w:val="000000"/>
                <w:lang w:val="es-MX"/>
              </w:rPr>
              <w:t xml:space="preserve"> de Configuración</w:t>
            </w:r>
            <w:r w:rsidR="00AB6681">
              <w:rPr>
                <w:rFonts w:asciiTheme="minorHAnsi" w:hAnsiTheme="minorHAnsi" w:cs="Arial"/>
                <w:color w:val="000000"/>
                <w:lang w:val="es-MX"/>
              </w:rPr>
              <w:t xml:space="preserve">-- </w:t>
            </w:r>
            <w:r w:rsidR="002543FD" w:rsidRPr="002543FD">
              <w:rPr>
                <w:rFonts w:asciiTheme="minorHAnsi" w:hAnsiTheme="minorHAnsi" w:cs="Arial"/>
                <w:color w:val="000000"/>
                <w:lang w:val="es-MX"/>
              </w:rPr>
              <w:t>Métrica FM</w:t>
            </w:r>
            <w:r w:rsidR="00827251">
              <w:rPr>
                <w:rFonts w:asciiTheme="minorHAnsi" w:hAnsiTheme="minorHAnsi" w:cs="Arial"/>
                <w:color w:val="000000"/>
                <w:lang w:val="es-MX"/>
              </w:rPr>
              <w:t>ICIC</w:t>
            </w:r>
            <w:r w:rsidR="002543FD" w:rsidRPr="002543FD">
              <w:rPr>
                <w:rFonts w:asciiTheme="minorHAnsi" w:hAnsiTheme="minorHAnsi" w:cs="Arial"/>
                <w:color w:val="000000"/>
                <w:lang w:val="es-MX"/>
              </w:rPr>
              <w:t xml:space="preserve">_V1.0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w:t>
            </w:r>
            <w:r w:rsidR="00827251">
              <w:rPr>
                <w:rFonts w:asciiTheme="minorHAnsi" w:hAnsiTheme="minorHAnsi" w:cs="Arial"/>
                <w:color w:val="000000"/>
                <w:sz w:val="22"/>
                <w:szCs w:val="22"/>
                <w:lang w:val="es-MX"/>
              </w:rPr>
              <w:t>os cambios de Ítems de configuración</w:t>
            </w:r>
            <w:r w:rsidRPr="00C03710">
              <w:rPr>
                <w:rFonts w:asciiTheme="minorHAnsi" w:hAnsiTheme="minorHAnsi" w:cs="Arial"/>
                <w:color w:val="000000"/>
                <w:sz w:val="22"/>
                <w:szCs w:val="22"/>
                <w:lang w:val="es-MX"/>
              </w:rPr>
              <w:t xml:space="preserve"> del Proyecto </w:t>
            </w:r>
            <w:proofErr w:type="spellStart"/>
            <w:r w:rsidR="004B0B84" w:rsidRPr="00BF7D0F">
              <w:rPr>
                <w:rFonts w:asciiTheme="minorHAnsi" w:hAnsiTheme="minorHAnsi"/>
                <w:sz w:val="22"/>
                <w:lang w:val="es-PE"/>
              </w:rPr>
              <w:t>Peru</w:t>
            </w:r>
            <w:proofErr w:type="spellEnd"/>
            <w:r w:rsidR="004B0B84" w:rsidRPr="00BF7D0F">
              <w:rPr>
                <w:rFonts w:asciiTheme="minorHAnsi" w:hAnsiTheme="minorHAnsi"/>
                <w:sz w:val="22"/>
                <w:lang w:val="es-PE"/>
              </w:rPr>
              <w:t xml:space="preserve"> </w:t>
            </w:r>
            <w:proofErr w:type="spellStart"/>
            <w:r w:rsidR="004B0B84" w:rsidRPr="00BF7D0F">
              <w:rPr>
                <w:rFonts w:asciiTheme="minorHAnsi" w:hAnsiTheme="minorHAnsi"/>
                <w:sz w:val="22"/>
                <w:lang w:val="es-PE"/>
              </w:rPr>
              <w:t>Travel</w:t>
            </w:r>
            <w:proofErr w:type="spellEnd"/>
            <w:r w:rsidR="004B0B84" w:rsidRPr="00BF7D0F">
              <w:rPr>
                <w:rFonts w:asciiTheme="minorHAnsi" w:hAnsiTheme="minorHAnsi"/>
                <w:sz w:val="22"/>
                <w:lang w:val="es-PE"/>
              </w:rPr>
              <w:t xml:space="preserve"> Express</w:t>
            </w:r>
            <w:r w:rsidRPr="00C03710">
              <w:rPr>
                <w:rFonts w:asciiTheme="minorHAnsi" w:hAnsiTheme="minorHAnsi" w:cs="Arial"/>
                <w:color w:val="000000"/>
                <w:sz w:val="22"/>
                <w:szCs w:val="22"/>
                <w:lang w:val="es-MX"/>
              </w:rPr>
              <w:t xml:space="preserve">. Porcentaje de </w:t>
            </w:r>
            <w:r w:rsidR="00BF7D0F">
              <w:rPr>
                <w:rFonts w:asciiTheme="minorHAnsi" w:hAnsiTheme="minorHAnsi" w:cs="Arial"/>
                <w:color w:val="000000"/>
                <w:sz w:val="22"/>
                <w:szCs w:val="22"/>
                <w:lang w:val="es-MX"/>
              </w:rPr>
              <w:t>riesgo</w:t>
            </w:r>
            <w:r w:rsidRPr="00C03710">
              <w:rPr>
                <w:rFonts w:asciiTheme="minorHAnsi" w:hAnsiTheme="minorHAnsi" w:cs="Arial"/>
                <w:color w:val="000000"/>
                <w:sz w:val="22"/>
                <w:szCs w:val="22"/>
                <w:lang w:val="es-MX"/>
              </w:rPr>
              <w:t xml:space="preserve"> durante el ciclo de producción. Esta medición se hace a los </w:t>
            </w:r>
            <w:r w:rsidR="00BF7D0F">
              <w:rPr>
                <w:rFonts w:asciiTheme="minorHAnsi" w:hAnsiTheme="minorHAnsi" w:cs="Arial"/>
                <w:color w:val="000000"/>
                <w:sz w:val="22"/>
                <w:szCs w:val="22"/>
                <w:lang w:val="es-MX"/>
              </w:rPr>
              <w:t>riesgos</w:t>
            </w:r>
            <w:r w:rsidRPr="00C03710">
              <w:rPr>
                <w:rFonts w:asciiTheme="minorHAnsi" w:hAnsiTheme="minorHAnsi" w:cs="Arial"/>
                <w:color w:val="000000"/>
                <w:sz w:val="22"/>
                <w:szCs w:val="22"/>
                <w:lang w:val="es-MX"/>
              </w:rPr>
              <w:t xml:space="preserve">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BF7D0F" w:rsidP="00C03710">
            <w:pPr>
              <w:spacing w:line="360" w:lineRule="auto"/>
              <w:rPr>
                <w:rFonts w:asciiTheme="minorHAnsi" w:hAnsiTheme="minorHAnsi" w:cs="Arial"/>
                <w:color w:val="000000"/>
                <w:lang w:val="es-MX"/>
              </w:rPr>
            </w:pPr>
            <w:r>
              <w:rPr>
                <w:rFonts w:asciiTheme="minorHAnsi" w:hAnsiTheme="minorHAnsi" w:cs="Arial"/>
                <w:color w:val="000000"/>
                <w:lang w:val="es-MX"/>
              </w:rPr>
              <w:t xml:space="preserve">Control de </w:t>
            </w:r>
            <w:r w:rsidR="00827251">
              <w:rPr>
                <w:rFonts w:asciiTheme="minorHAnsi" w:hAnsiTheme="minorHAnsi" w:cs="Arial"/>
                <w:color w:val="000000"/>
                <w:lang w:val="es-MX"/>
              </w:rPr>
              <w:t>cambios de Ítems de configuración</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6063AF" w:rsidRPr="00C03710" w:rsidRDefault="002543FD"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Medición de </w:t>
            </w:r>
            <w:r w:rsidR="00827251">
              <w:rPr>
                <w:rFonts w:asciiTheme="minorHAnsi" w:hAnsiTheme="minorHAnsi" w:cs="Arial"/>
                <w:color w:val="000000"/>
                <w:lang w:val="es-MX"/>
              </w:rPr>
              <w:t>Ítems</w:t>
            </w:r>
            <w:r>
              <w:rPr>
                <w:rFonts w:asciiTheme="minorHAnsi" w:hAnsiTheme="minorHAnsi" w:cs="Arial"/>
                <w:color w:val="000000"/>
                <w:lang w:val="es-MX"/>
              </w:rPr>
              <w:t xml:space="preserve"> del 1-100</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rsidR="002543FD"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4600" w:type="dxa"/>
              <w:tblLayout w:type="fixed"/>
              <w:tblCellMar>
                <w:left w:w="70" w:type="dxa"/>
                <w:right w:w="70" w:type="dxa"/>
              </w:tblCellMar>
              <w:tblLook w:val="04A0" w:firstRow="1" w:lastRow="0" w:firstColumn="1" w:lastColumn="0" w:noHBand="0" w:noVBand="1"/>
            </w:tblPr>
            <w:tblGrid>
              <w:gridCol w:w="1520"/>
              <w:gridCol w:w="1620"/>
              <w:gridCol w:w="1460"/>
            </w:tblGrid>
            <w:tr w:rsidR="00827251" w:rsidRPr="00827251" w:rsidTr="00827251">
              <w:trPr>
                <w:trHeight w:val="525"/>
              </w:trPr>
              <w:tc>
                <w:tcPr>
                  <w:tcW w:w="1520" w:type="dxa"/>
                  <w:tcBorders>
                    <w:top w:val="nil"/>
                    <w:left w:val="single" w:sz="8" w:space="0" w:color="auto"/>
                    <w:bottom w:val="single" w:sz="8" w:space="0" w:color="auto"/>
                    <w:right w:val="single" w:sz="8" w:space="0" w:color="auto"/>
                  </w:tcBorders>
                  <w:shd w:val="clear" w:color="000000" w:fill="003366"/>
                  <w:hideMark/>
                </w:tcPr>
                <w:p w:rsidR="00827251" w:rsidRPr="00827251" w:rsidRDefault="00827251" w:rsidP="00827251">
                  <w:pPr>
                    <w:jc w:val="center"/>
                    <w:rPr>
                      <w:rFonts w:ascii="Arial" w:hAnsi="Arial" w:cs="Arial"/>
                      <w:color w:val="FFFFFF"/>
                      <w:sz w:val="20"/>
                      <w:szCs w:val="20"/>
                      <w:lang w:val="es-PE" w:eastAsia="es-PE"/>
                    </w:rPr>
                  </w:pPr>
                  <w:r w:rsidRPr="00827251">
                    <w:rPr>
                      <w:rFonts w:ascii="Arial" w:hAnsi="Arial" w:cs="Arial"/>
                      <w:color w:val="FFFFFF"/>
                      <w:sz w:val="20"/>
                      <w:szCs w:val="20"/>
                      <w:lang w:val="es-PE" w:eastAsia="es-PE"/>
                    </w:rPr>
                    <w:t>Semáforo</w:t>
                  </w:r>
                </w:p>
              </w:tc>
              <w:tc>
                <w:tcPr>
                  <w:tcW w:w="1620" w:type="dxa"/>
                  <w:tcBorders>
                    <w:top w:val="nil"/>
                    <w:left w:val="nil"/>
                    <w:bottom w:val="single" w:sz="8" w:space="0" w:color="auto"/>
                    <w:right w:val="single" w:sz="8" w:space="0" w:color="auto"/>
                  </w:tcBorders>
                  <w:shd w:val="clear" w:color="000000" w:fill="003366"/>
                  <w:hideMark/>
                </w:tcPr>
                <w:p w:rsidR="00827251" w:rsidRPr="00827251" w:rsidRDefault="00827251" w:rsidP="00827251">
                  <w:pPr>
                    <w:jc w:val="center"/>
                    <w:rPr>
                      <w:rFonts w:ascii="Arial" w:hAnsi="Arial" w:cs="Arial"/>
                      <w:color w:val="FFFFFF"/>
                      <w:sz w:val="20"/>
                      <w:szCs w:val="20"/>
                      <w:lang w:val="es-PE" w:eastAsia="es-PE"/>
                    </w:rPr>
                  </w:pPr>
                  <w:r w:rsidRPr="00827251">
                    <w:rPr>
                      <w:rFonts w:ascii="Arial" w:hAnsi="Arial" w:cs="Arial"/>
                      <w:color w:val="FFFFFF"/>
                      <w:sz w:val="20"/>
                      <w:szCs w:val="20"/>
                      <w:lang w:val="es-PE" w:eastAsia="es-PE"/>
                    </w:rPr>
                    <w:t>Margen Mínimo</w:t>
                  </w:r>
                </w:p>
              </w:tc>
              <w:tc>
                <w:tcPr>
                  <w:tcW w:w="1460" w:type="dxa"/>
                  <w:tcBorders>
                    <w:top w:val="nil"/>
                    <w:left w:val="nil"/>
                    <w:bottom w:val="single" w:sz="8" w:space="0" w:color="auto"/>
                    <w:right w:val="single" w:sz="8" w:space="0" w:color="auto"/>
                  </w:tcBorders>
                  <w:shd w:val="clear" w:color="000000" w:fill="003366"/>
                  <w:hideMark/>
                </w:tcPr>
                <w:p w:rsidR="00827251" w:rsidRPr="00827251" w:rsidRDefault="00827251" w:rsidP="00827251">
                  <w:pPr>
                    <w:jc w:val="center"/>
                    <w:rPr>
                      <w:rFonts w:ascii="Arial" w:hAnsi="Arial" w:cs="Arial"/>
                      <w:color w:val="FFFFFF"/>
                      <w:sz w:val="20"/>
                      <w:szCs w:val="20"/>
                      <w:lang w:val="es-PE" w:eastAsia="es-PE"/>
                    </w:rPr>
                  </w:pPr>
                  <w:r w:rsidRPr="00827251">
                    <w:rPr>
                      <w:rFonts w:ascii="Arial" w:hAnsi="Arial" w:cs="Arial"/>
                      <w:color w:val="FFFFFF"/>
                      <w:sz w:val="20"/>
                      <w:szCs w:val="20"/>
                      <w:lang w:val="es-PE" w:eastAsia="es-PE"/>
                    </w:rPr>
                    <w:t>Margen Máximo</w:t>
                  </w:r>
                </w:p>
              </w:tc>
            </w:tr>
            <w:tr w:rsidR="00827251" w:rsidRPr="00827251" w:rsidTr="00827251">
              <w:trPr>
                <w:trHeight w:val="315"/>
              </w:trPr>
              <w:tc>
                <w:tcPr>
                  <w:tcW w:w="1520" w:type="dxa"/>
                  <w:tcBorders>
                    <w:top w:val="nil"/>
                    <w:left w:val="single" w:sz="8" w:space="0" w:color="auto"/>
                    <w:bottom w:val="single" w:sz="8" w:space="0" w:color="auto"/>
                    <w:right w:val="single" w:sz="8" w:space="0" w:color="auto"/>
                  </w:tcBorders>
                  <w:shd w:val="clear" w:color="000000" w:fill="00B050"/>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Verde</w:t>
                  </w:r>
                </w:p>
              </w:tc>
              <w:tc>
                <w:tcPr>
                  <w:tcW w:w="162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0</w:t>
                  </w:r>
                </w:p>
              </w:tc>
              <w:tc>
                <w:tcPr>
                  <w:tcW w:w="146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0.5</w:t>
                  </w:r>
                </w:p>
              </w:tc>
            </w:tr>
            <w:tr w:rsidR="00827251" w:rsidRPr="00827251" w:rsidTr="00827251">
              <w:trPr>
                <w:trHeight w:val="315"/>
              </w:trPr>
              <w:tc>
                <w:tcPr>
                  <w:tcW w:w="1520" w:type="dxa"/>
                  <w:tcBorders>
                    <w:top w:val="nil"/>
                    <w:left w:val="single" w:sz="8" w:space="0" w:color="auto"/>
                    <w:bottom w:val="single" w:sz="8" w:space="0" w:color="auto"/>
                    <w:right w:val="single" w:sz="8" w:space="0" w:color="auto"/>
                  </w:tcBorders>
                  <w:shd w:val="clear" w:color="000000" w:fill="FFFF00"/>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Amarillo</w:t>
                  </w:r>
                </w:p>
              </w:tc>
              <w:tc>
                <w:tcPr>
                  <w:tcW w:w="162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&lt;0.5</w:t>
                  </w:r>
                </w:p>
              </w:tc>
              <w:tc>
                <w:tcPr>
                  <w:tcW w:w="146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1</w:t>
                  </w:r>
                </w:p>
              </w:tc>
            </w:tr>
            <w:tr w:rsidR="00827251" w:rsidRPr="00827251" w:rsidTr="00827251">
              <w:trPr>
                <w:trHeight w:val="315"/>
              </w:trPr>
              <w:tc>
                <w:tcPr>
                  <w:tcW w:w="1520" w:type="dxa"/>
                  <w:tcBorders>
                    <w:top w:val="nil"/>
                    <w:left w:val="single" w:sz="8" w:space="0" w:color="auto"/>
                    <w:bottom w:val="single" w:sz="8" w:space="0" w:color="auto"/>
                    <w:right w:val="single" w:sz="8" w:space="0" w:color="auto"/>
                  </w:tcBorders>
                  <w:shd w:val="clear" w:color="000000" w:fill="FF0000"/>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Rojo</w:t>
                  </w:r>
                </w:p>
              </w:tc>
              <w:tc>
                <w:tcPr>
                  <w:tcW w:w="162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1</w:t>
                  </w:r>
                </w:p>
              </w:tc>
              <w:tc>
                <w:tcPr>
                  <w:tcW w:w="146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2</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827251" w:rsidP="00C03710">
            <w:pPr>
              <w:spacing w:line="360" w:lineRule="auto"/>
              <w:jc w:val="both"/>
              <w:rPr>
                <w:rFonts w:asciiTheme="minorHAnsi" w:hAnsiTheme="minorHAnsi" w:cs="Arial"/>
                <w:color w:val="000000"/>
                <w:lang w:val="es-MX"/>
              </w:rPr>
            </w:pPr>
            <w:proofErr w:type="spellStart"/>
            <w:r>
              <w:rPr>
                <w:rFonts w:asciiTheme="minorHAnsi" w:hAnsiTheme="minorHAnsi" w:cs="Arial"/>
                <w:b/>
                <w:color w:val="000000"/>
                <w:lang w:val="es-MX"/>
              </w:rPr>
              <w:t>Items</w:t>
            </w:r>
            <w:proofErr w:type="spellEnd"/>
            <w:r>
              <w:rPr>
                <w:rFonts w:asciiTheme="minorHAnsi" w:hAnsiTheme="minorHAnsi" w:cs="Arial"/>
                <w:b/>
                <w:color w:val="000000"/>
                <w:lang w:val="es-MX"/>
              </w:rPr>
              <w:t xml:space="preserve"> de </w:t>
            </w:r>
            <w:proofErr w:type="spellStart"/>
            <w:r>
              <w:rPr>
                <w:rFonts w:asciiTheme="minorHAnsi" w:hAnsiTheme="minorHAnsi" w:cs="Arial"/>
                <w:b/>
                <w:color w:val="000000"/>
                <w:lang w:val="es-MX"/>
              </w:rPr>
              <w:t>configuracion</w:t>
            </w:r>
            <w:proofErr w:type="spellEnd"/>
            <w:r w:rsidR="00C751D7" w:rsidRPr="00C03710">
              <w:rPr>
                <w:rFonts w:asciiTheme="minorHAnsi" w:hAnsiTheme="minorHAnsi" w:cs="Arial"/>
                <w:b/>
                <w:color w:val="000000"/>
                <w:lang w:val="es-MX"/>
              </w:rPr>
              <w:t>:</w:t>
            </w:r>
            <w:r w:rsidR="00C751D7"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 xml:space="preserve">Este Dato se Obtiene de repositorio de Datos </w:t>
            </w:r>
            <w:proofErr w:type="spellStart"/>
            <w:r w:rsidR="004B0B84">
              <w:rPr>
                <w:rFonts w:asciiTheme="minorHAnsi" w:hAnsiTheme="minorHAnsi" w:cs="Arial"/>
                <w:color w:val="000000"/>
                <w:lang w:val="es-MX"/>
              </w:rPr>
              <w:t>One</w:t>
            </w:r>
            <w:proofErr w:type="spellEnd"/>
            <w:r w:rsidR="004B0B84">
              <w:rPr>
                <w:rFonts w:asciiTheme="minorHAnsi" w:hAnsiTheme="minorHAnsi" w:cs="Arial"/>
                <w:color w:val="000000"/>
                <w:lang w:val="es-MX"/>
              </w:rPr>
              <w:t xml:space="preserve"> Drive</w:t>
            </w:r>
            <w:r w:rsidR="005432BD" w:rsidRPr="00C03710">
              <w:rPr>
                <w:rFonts w:asciiTheme="minorHAnsi" w:hAnsiTheme="minorHAnsi" w:cs="Arial"/>
                <w:color w:val="000000"/>
                <w:lang w:val="es-MX"/>
              </w:rPr>
              <w:t xml:space="preserve"> en el siguiente </w:t>
            </w:r>
            <w:proofErr w:type="gramStart"/>
            <w:r w:rsidR="005432BD" w:rsidRPr="00C03710">
              <w:rPr>
                <w:rFonts w:asciiTheme="minorHAnsi" w:hAnsiTheme="minorHAnsi" w:cs="Arial"/>
                <w:color w:val="000000"/>
                <w:lang w:val="es-MX"/>
              </w:rPr>
              <w:t>link</w:t>
            </w:r>
            <w:proofErr w:type="gramEnd"/>
            <w:r w:rsidR="005432BD" w:rsidRPr="00C03710">
              <w:rPr>
                <w:rFonts w:asciiTheme="minorHAnsi" w:hAnsiTheme="minorHAnsi" w:cs="Arial"/>
                <w:color w:val="000000"/>
                <w:lang w:val="es-MX"/>
              </w:rPr>
              <w:t>:</w:t>
            </w:r>
          </w:p>
          <w:p w:rsidR="00827251" w:rsidRDefault="00827251" w:rsidP="00C03710">
            <w:pPr>
              <w:spacing w:line="360" w:lineRule="auto"/>
              <w:jc w:val="both"/>
              <w:rPr>
                <w:rStyle w:val="Hipervnculo"/>
                <w:b/>
              </w:rPr>
            </w:pPr>
            <w:hyperlink r:id="rId8" w:history="1">
              <w:r w:rsidRPr="006769A9">
                <w:rPr>
                  <w:rStyle w:val="Hipervnculo"/>
                  <w:b/>
                </w:rPr>
                <w:t>https://utpedupe-my.sharepoint.com/personal/0721169_utp_edu_pe/_layouts/15/Doc.aspx?sourcedoc=%7Bc8e1d4d2-3f53-4324-bb7b-</w:t>
              </w:r>
              <w:r w:rsidRPr="006769A9">
                <w:rPr>
                  <w:rStyle w:val="Hipervnculo"/>
                  <w:b/>
                </w:rPr>
                <w:lastRenderedPageBreak/>
                <w:t>7473c22dca35%7D&amp;action=edit&amp;uid=%7BC8E1D4D2-3F53-4324-BB7B-7473C22DCA35%7D&amp;ListItemId=2331&amp;ListId=%7BE6CC07F8-BFA5-4455-9AAD-5801C42FC5ED%7D&amp;odsp=1&amp;env=prod&amp;CT=1539544914883&amp;OR=DocLib</w:t>
              </w:r>
            </w:hyperlink>
          </w:p>
          <w:p w:rsidR="00C80AA2" w:rsidRPr="00827251" w:rsidRDefault="00C80AA2" w:rsidP="00C03710">
            <w:pPr>
              <w:spacing w:line="360" w:lineRule="auto"/>
              <w:jc w:val="both"/>
              <w:rPr>
                <w:rFonts w:asciiTheme="minorHAnsi" w:hAnsiTheme="minorHAnsi" w:cs="Arial"/>
                <w:b/>
                <w:color w:val="000000"/>
                <w:lang w:val="es-MX"/>
              </w:rPr>
            </w:pPr>
            <w:proofErr w:type="gramStart"/>
            <w:r w:rsidRPr="00C03710">
              <w:rPr>
                <w:rFonts w:asciiTheme="minorHAnsi" w:hAnsiTheme="minorHAnsi" w:cs="Arial"/>
                <w:color w:val="000000"/>
                <w:lang w:val="es-MX"/>
              </w:rPr>
              <w:t xml:space="preserve">Documento </w:t>
            </w:r>
            <w:r w:rsidR="002543FD">
              <w:rPr>
                <w:rFonts w:asciiTheme="minorHAnsi" w:hAnsiTheme="minorHAnsi" w:cs="Arial"/>
                <w:color w:val="000000"/>
                <w:lang w:val="es-MX"/>
              </w:rPr>
              <w:t>:</w:t>
            </w:r>
            <w:proofErr w:type="gramEnd"/>
            <w:r w:rsidR="002543FD">
              <w:rPr>
                <w:rFonts w:asciiTheme="minorHAnsi" w:hAnsiTheme="minorHAnsi" w:cs="Arial"/>
                <w:color w:val="000000"/>
                <w:lang w:val="es-MX"/>
              </w:rPr>
              <w:t xml:space="preserve"> </w:t>
            </w:r>
            <w:r w:rsidR="00827251">
              <w:rPr>
                <w:rFonts w:asciiTheme="minorHAnsi" w:hAnsiTheme="minorHAnsi" w:cs="Arial"/>
                <w:color w:val="000000"/>
                <w:lang w:val="es-MX"/>
              </w:rPr>
              <w:t>Proceso de Gestión de Configuración</w:t>
            </w:r>
            <w:r w:rsidR="002543FD">
              <w:rPr>
                <w:rFonts w:asciiTheme="minorHAnsi" w:hAnsiTheme="minorHAnsi" w:cs="Arial"/>
                <w:color w:val="000000"/>
                <w:lang w:val="es-MX"/>
              </w:rPr>
              <w:t xml:space="preserve"> </w:t>
            </w:r>
            <w:r w:rsidR="00827251" w:rsidRPr="00827251">
              <w:rPr>
                <w:rFonts w:asciiTheme="minorHAnsi" w:hAnsiTheme="minorHAnsi" w:cs="Arial"/>
                <w:b/>
                <w:color w:val="000000"/>
                <w:lang w:val="es-MX"/>
              </w:rPr>
              <w:t xml:space="preserve">Proceso de Gestión de Configuración </w:t>
            </w:r>
            <w:r w:rsidR="00827251" w:rsidRPr="00827251">
              <w:rPr>
                <w:rFonts w:asciiTheme="minorHAnsi" w:hAnsiTheme="minorHAnsi" w:cs="Arial"/>
                <w:b/>
                <w:color w:val="000000"/>
                <w:lang w:val="es-MX"/>
              </w:rPr>
              <w:t>.</w:t>
            </w:r>
            <w:proofErr w:type="spellStart"/>
            <w:r w:rsidR="00827251" w:rsidRPr="00827251">
              <w:rPr>
                <w:rFonts w:asciiTheme="minorHAnsi" w:hAnsiTheme="minorHAnsi" w:cs="Arial"/>
                <w:b/>
                <w:color w:val="000000"/>
                <w:lang w:val="es-MX"/>
              </w:rPr>
              <w:t>pptx</w:t>
            </w:r>
            <w:proofErr w:type="spellEnd"/>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PROCEDIMIENTO DE RECOLECCION Y REGISTRO</w:t>
            </w:r>
          </w:p>
        </w:tc>
        <w:tc>
          <w:tcPr>
            <w:tcW w:w="7088" w:type="dxa"/>
            <w:vAlign w:val="center"/>
          </w:tcPr>
          <w:p w:rsidR="00131529" w:rsidRDefault="003957BA" w:rsidP="00131529">
            <w:pPr>
              <w:spacing w:line="360" w:lineRule="auto"/>
              <w:jc w:val="both"/>
              <w:rPr>
                <w:rFonts w:asciiTheme="minorHAnsi" w:hAnsiTheme="minorHAnsi" w:cs="Arial"/>
                <w:color w:val="000000"/>
              </w:rPr>
            </w:pPr>
            <w:r w:rsidRPr="00C03710">
              <w:rPr>
                <w:rFonts w:asciiTheme="minorHAnsi" w:hAnsiTheme="minorHAnsi" w:cs="Arial"/>
                <w:color w:val="000000"/>
              </w:rPr>
              <w:t xml:space="preserve">El resultado se registrará </w:t>
            </w:r>
            <w:proofErr w:type="gramStart"/>
            <w:r w:rsidRPr="00C03710">
              <w:rPr>
                <w:rFonts w:asciiTheme="minorHAnsi" w:hAnsiTheme="minorHAnsi" w:cs="Arial"/>
                <w:color w:val="000000"/>
              </w:rPr>
              <w:t>en :</w:t>
            </w:r>
            <w:proofErr w:type="gramEnd"/>
          </w:p>
          <w:p w:rsidR="00131529" w:rsidRDefault="00131529" w:rsidP="00131529">
            <w:pPr>
              <w:spacing w:line="360" w:lineRule="auto"/>
              <w:jc w:val="both"/>
              <w:rPr>
                <w:rStyle w:val="Hipervnculo"/>
                <w:b/>
              </w:rPr>
            </w:pPr>
            <w:r w:rsidRPr="00131529">
              <w:rPr>
                <w:rStyle w:val="Hipervnculo"/>
                <w:b/>
              </w:rPr>
              <w:t>https://utpedupe-my.sharepoint.com/:x:/r/personal/0721169_utp_edu_pe/_layouts/15/Doc.aspx?sourcedoc=%7B1f937f42-f145-4862-b89b-de2d1fd5d7e9%7D&amp;action=default&amp;uid=%7B1F937F42-F145-4862-B89B-DE2D1FD5D7E9%7D&amp;ListItemId=2327&amp;ListId=%7BE6CC07F8-BFA5-4455-9AAD-5801C42FC5ED%7D&amp;odsp=1&amp;env=prod</w:t>
            </w:r>
          </w:p>
          <w:p w:rsidR="003957BA" w:rsidRPr="00C03710" w:rsidRDefault="00131529" w:rsidP="00131529">
            <w:pPr>
              <w:spacing w:line="360" w:lineRule="auto"/>
              <w:jc w:val="both"/>
              <w:rPr>
                <w:rFonts w:asciiTheme="minorHAnsi" w:hAnsiTheme="minorHAnsi" w:cs="Arial"/>
                <w:b/>
              </w:rPr>
            </w:pPr>
            <w:r w:rsidRPr="00131529">
              <w:rPr>
                <w:rFonts w:asciiTheme="minorHAnsi" w:hAnsiTheme="minorHAnsi" w:cs="Arial"/>
                <w:b/>
              </w:rPr>
              <w:t>TABME_V1.0</w:t>
            </w:r>
            <w:r>
              <w:rPr>
                <w:rFonts w:asciiTheme="minorHAnsi" w:hAnsiTheme="minorHAnsi" w:cs="Arial"/>
                <w:b/>
              </w:rPr>
              <w:t>.xlsx</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w:t>
            </w:r>
            <w:r w:rsidR="00827251">
              <w:rPr>
                <w:rFonts w:asciiTheme="minorHAnsi" w:hAnsiTheme="minorHAnsi" w:cs="Arial"/>
              </w:rPr>
              <w:t>ICIC</w:t>
            </w:r>
            <w:r w:rsidRPr="00C03710">
              <w:rPr>
                <w:rFonts w:asciiTheme="minorHAnsi" w:hAnsiTheme="minorHAnsi" w:cs="Arial"/>
              </w:rPr>
              <w:t>”</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 xml:space="preserve">Luego de eso nos vamos a la Tabla de </w:t>
            </w:r>
            <w:proofErr w:type="gramStart"/>
            <w:r w:rsidRPr="00C03710">
              <w:rPr>
                <w:rFonts w:asciiTheme="minorHAnsi" w:hAnsiTheme="minorHAnsi" w:cs="Arial"/>
              </w:rPr>
              <w:t>nombre</w:t>
            </w:r>
            <w:r w:rsidR="00827251">
              <w:rPr>
                <w:rFonts w:asciiTheme="minorHAnsi" w:hAnsiTheme="minorHAnsi" w:cs="Arial"/>
              </w:rPr>
              <w:t xml:space="preserve"> </w:t>
            </w:r>
            <w:r w:rsidRPr="00C03710">
              <w:rPr>
                <w:rFonts w:asciiTheme="minorHAnsi" w:hAnsiTheme="minorHAnsi" w:cs="Arial"/>
              </w:rPr>
              <w:t>”</w:t>
            </w:r>
            <w:r w:rsidR="00827251" w:rsidRPr="00827251">
              <w:rPr>
                <w:rFonts w:asciiTheme="minorHAnsi" w:hAnsiTheme="minorHAnsi" w:cs="Arial"/>
              </w:rPr>
              <w:t>TABLERO</w:t>
            </w:r>
            <w:proofErr w:type="gramEnd"/>
            <w:r w:rsidR="00827251" w:rsidRPr="00827251">
              <w:rPr>
                <w:rFonts w:asciiTheme="minorHAnsi" w:hAnsiTheme="minorHAnsi" w:cs="Arial"/>
              </w:rPr>
              <w:t xml:space="preserve"> DE METRICAS DE INDICE DE CAMBIOS DE ITEMS DE CONFIGURACIÓN</w:t>
            </w:r>
            <w:r w:rsidR="00750C7B" w:rsidRPr="00C03710">
              <w:rPr>
                <w:rFonts w:asciiTheme="minorHAnsi" w:hAnsiTheme="minorHAnsi" w:cs="Arial"/>
              </w:rPr>
              <w:t>”, de</w:t>
            </w:r>
            <w:r w:rsidRPr="00C03710">
              <w:rPr>
                <w:rFonts w:asciiTheme="minorHAnsi" w:hAnsiTheme="minorHAnsi" w:cs="Arial"/>
              </w:rPr>
              <w:t xml:space="preserve"> ahí registramos l</w:t>
            </w:r>
            <w:r w:rsidR="00F27FF1">
              <w:rPr>
                <w:rFonts w:asciiTheme="minorHAnsi" w:hAnsiTheme="minorHAnsi" w:cs="Arial"/>
              </w:rPr>
              <w:t xml:space="preserve">os </w:t>
            </w:r>
            <w:r w:rsidR="00827251">
              <w:rPr>
                <w:rFonts w:asciiTheme="minorHAnsi" w:hAnsiTheme="minorHAnsi" w:cs="Arial"/>
              </w:rPr>
              <w:t>cambios</w:t>
            </w:r>
            <w:r w:rsidR="00F27FF1">
              <w:rPr>
                <w:rFonts w:asciiTheme="minorHAnsi" w:hAnsiTheme="minorHAnsi" w:cs="Arial"/>
              </w:rPr>
              <w:t xml:space="preserve"> </w:t>
            </w:r>
            <w:r w:rsidRPr="00C03710">
              <w:rPr>
                <w:rFonts w:asciiTheme="minorHAnsi" w:hAnsiTheme="minorHAnsi" w:cs="Arial"/>
              </w:rPr>
              <w:t>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w:t>
                  </w:r>
                  <w:r w:rsidR="00131529">
                    <w:rPr>
                      <w:rFonts w:ascii="Calibri" w:hAnsi="Calibri"/>
                      <w:lang w:eastAsia="es-PE"/>
                    </w:rPr>
                    <w:t>0</w:t>
                  </w:r>
                  <w:r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lastRenderedPageBreak/>
                    <w:t xml:space="preserve">Ficha de </w:t>
                  </w:r>
                  <w:r w:rsidR="00750C7B" w:rsidRPr="00C03710">
                    <w:rPr>
                      <w:rFonts w:ascii="Calibri" w:hAnsi="Calibri"/>
                      <w:lang w:eastAsia="es-PE"/>
                    </w:rPr>
                    <w:t>Métricas</w:t>
                  </w:r>
                  <w:r w:rsidRPr="00C03710">
                    <w:rPr>
                      <w:rFonts w:ascii="Calibri" w:hAnsi="Calibri"/>
                      <w:lang w:eastAsia="es-PE"/>
                    </w:rPr>
                    <w:t xml:space="preserve"> de </w:t>
                  </w:r>
                  <w:r w:rsidR="00827251" w:rsidRPr="00827251">
                    <w:rPr>
                      <w:rFonts w:ascii="Calibri" w:hAnsi="Calibri"/>
                      <w:lang w:eastAsia="es-PE"/>
                    </w:rPr>
                    <w:t>Cambios Ítems de Configuración</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w:t>
                  </w:r>
                  <w:r w:rsidR="00827251">
                    <w:rPr>
                      <w:rFonts w:ascii="Calibri" w:hAnsi="Calibri"/>
                      <w:lang w:val="es-PE" w:eastAsia="es-PE"/>
                    </w:rPr>
                    <w:t>ICIC</w:t>
                  </w:r>
                  <w:r>
                    <w:rPr>
                      <w:rFonts w:ascii="Calibri" w:hAnsi="Calibri"/>
                      <w:lang w:val="es-PE" w:eastAsia="es-PE"/>
                    </w:rPr>
                    <w:t>_V1</w:t>
                  </w:r>
                  <w:r w:rsidR="00131529">
                    <w:rPr>
                      <w:rFonts w:ascii="Calibri" w:hAnsi="Calibri"/>
                      <w:lang w:val="es-PE" w:eastAsia="es-PE"/>
                    </w:rPr>
                    <w:t>.0</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0442C5">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131529" w:rsidRDefault="00E131F9" w:rsidP="00C03710">
            <w:pPr>
              <w:spacing w:before="120"/>
              <w:jc w:val="both"/>
              <w:rPr>
                <w:rFonts w:asciiTheme="minorHAnsi" w:hAnsiTheme="minorHAnsi"/>
              </w:rPr>
            </w:pPr>
            <w:r>
              <w:rPr>
                <w:noProof/>
              </w:rPr>
              <w:drawing>
                <wp:inline distT="0" distB="0" distL="0" distR="0" wp14:anchorId="1CA94955" wp14:editId="73CD219E">
                  <wp:extent cx="3984481" cy="1390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6" t="24847" r="42693" b="49373"/>
                          <a:stretch/>
                        </pic:blipFill>
                        <pic:spPr bwMode="auto">
                          <a:xfrm>
                            <a:off x="0" y="0"/>
                            <a:ext cx="3993412" cy="1393927"/>
                          </a:xfrm>
                          <a:prstGeom prst="rect">
                            <a:avLst/>
                          </a:prstGeom>
                          <a:ln>
                            <a:noFill/>
                          </a:ln>
                          <a:extLst>
                            <a:ext uri="{53640926-AAD7-44D8-BBD7-CCE9431645EC}">
                              <a14:shadowObscured xmlns:a14="http://schemas.microsoft.com/office/drawing/2010/main"/>
                            </a:ext>
                          </a:extLst>
                        </pic:spPr>
                      </pic:pic>
                    </a:graphicData>
                  </a:graphic>
                </wp:inline>
              </w:drawing>
            </w:r>
          </w:p>
          <w:p w:rsidR="00131529" w:rsidRDefault="00131529" w:rsidP="00C03710">
            <w:pPr>
              <w:spacing w:before="120"/>
              <w:jc w:val="both"/>
              <w:rPr>
                <w:rFonts w:asciiTheme="minorHAnsi" w:hAnsiTheme="minorHAnsi"/>
              </w:rPr>
            </w:pP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bookmarkStart w:id="0" w:name="_GoBack"/>
            <w:bookmarkEnd w:id="0"/>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Setiembre, </w:t>
            </w:r>
            <w:proofErr w:type="gramStart"/>
            <w:r w:rsidRPr="00C03710">
              <w:rPr>
                <w:rFonts w:asciiTheme="minorHAnsi" w:hAnsiTheme="minorHAnsi"/>
              </w:rPr>
              <w:t>Octubre</w:t>
            </w:r>
            <w:proofErr w:type="gramEnd"/>
            <w:r w:rsidRPr="00C03710">
              <w:rPr>
                <w:rFonts w:asciiTheme="minorHAnsi" w:hAnsiTheme="minorHAnsi"/>
              </w:rPr>
              <w:t>,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sidRPr="00C03710">
              <w:rPr>
                <w:rFonts w:asciiTheme="minorHAnsi" w:hAnsiTheme="minorHAnsi" w:cs="Arial"/>
                <w:color w:val="000000"/>
                <w:lang w:val="es-MX"/>
              </w:rPr>
              <w:t>ende</w:t>
            </w:r>
            <w:proofErr w:type="gramEnd"/>
            <w:r w:rsidRPr="00C03710">
              <w:rPr>
                <w:rFonts w:asciiTheme="minorHAnsi" w:hAnsiTheme="minorHAnsi" w:cs="Arial"/>
                <w:color w:val="000000"/>
                <w:lang w:val="es-MX"/>
              </w:rPr>
              <w:t xml:space="preserv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E131F9">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827251" w:rsidP="00BC088B">
            <w:pPr>
              <w:spacing w:line="360" w:lineRule="auto"/>
              <w:jc w:val="center"/>
              <w:rPr>
                <w:rFonts w:asciiTheme="minorHAnsi" w:hAnsiTheme="minorHAnsi" w:cs="Arial"/>
                <w:color w:val="FF0000"/>
                <w:sz w:val="18"/>
                <w:szCs w:val="18"/>
              </w:rPr>
            </w:pPr>
            <w:r>
              <w:rPr>
                <w:noProof/>
              </w:rPr>
              <w:drawing>
                <wp:inline distT="0" distB="0" distL="0" distR="0" wp14:anchorId="659E817E" wp14:editId="46BF91C8">
                  <wp:extent cx="4233842" cy="111418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68" t="22525" r="42175" b="57735"/>
                          <a:stretch/>
                        </pic:blipFill>
                        <pic:spPr bwMode="auto">
                          <a:xfrm>
                            <a:off x="0" y="0"/>
                            <a:ext cx="4246219" cy="1117441"/>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827251" w:rsidP="00C751D7">
            <w:pPr>
              <w:spacing w:line="360" w:lineRule="auto"/>
              <w:rPr>
                <w:rFonts w:asciiTheme="minorHAnsi" w:hAnsiTheme="minorHAnsi" w:cs="Arial"/>
                <w:color w:val="FF0000"/>
                <w:sz w:val="18"/>
                <w:szCs w:val="18"/>
              </w:rPr>
            </w:pPr>
            <w:r>
              <w:rPr>
                <w:noProof/>
              </w:rPr>
              <w:drawing>
                <wp:inline distT="0" distB="0" distL="0" distR="0" wp14:anchorId="162872B3" wp14:editId="4DF76E10">
                  <wp:extent cx="4077430" cy="1060397"/>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68" t="45515" r="42173" b="34977"/>
                          <a:stretch/>
                        </pic:blipFill>
                        <pic:spPr bwMode="auto">
                          <a:xfrm>
                            <a:off x="0" y="0"/>
                            <a:ext cx="4113060" cy="1069663"/>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0442C5" w:rsidRDefault="00BC088B" w:rsidP="000442C5">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827251" w:rsidP="00C751D7">
            <w:pPr>
              <w:spacing w:line="360" w:lineRule="auto"/>
              <w:rPr>
                <w:rFonts w:asciiTheme="minorHAnsi" w:hAnsiTheme="minorHAnsi" w:cs="Arial"/>
                <w:color w:val="FF0000"/>
                <w:sz w:val="18"/>
                <w:szCs w:val="18"/>
              </w:rPr>
            </w:pPr>
            <w:r>
              <w:rPr>
                <w:noProof/>
              </w:rPr>
              <w:drawing>
                <wp:inline distT="0" distB="0" distL="0" distR="0" wp14:anchorId="0C83B553" wp14:editId="1EF220D0">
                  <wp:extent cx="4034118" cy="1014794"/>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89" t="68504" r="41776" b="12669"/>
                          <a:stretch/>
                        </pic:blipFill>
                        <pic:spPr bwMode="auto">
                          <a:xfrm>
                            <a:off x="0" y="0"/>
                            <a:ext cx="4049061" cy="1018553"/>
                          </a:xfrm>
                          <a:prstGeom prst="rect">
                            <a:avLst/>
                          </a:prstGeom>
                          <a:ln>
                            <a:noFill/>
                          </a:ln>
                          <a:extLst>
                            <a:ext uri="{53640926-AAD7-44D8-BBD7-CCE9431645EC}">
                              <a14:shadowObscured xmlns:a14="http://schemas.microsoft.com/office/drawing/2010/main"/>
                            </a:ext>
                          </a:extLst>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lastRenderedPageBreak/>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 xml:space="preserve">Gráfico de </w:t>
            </w:r>
            <w:r w:rsidR="00E131F9">
              <w:rPr>
                <w:rFonts w:asciiTheme="minorHAnsi" w:hAnsiTheme="minorHAnsi" w:cs="Arial"/>
                <w:b/>
                <w:sz w:val="22"/>
                <w:szCs w:val="18"/>
              </w:rPr>
              <w:t>Numero de Ítems Modificados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E131F9" w:rsidP="00BC088B">
            <w:pPr>
              <w:spacing w:line="360" w:lineRule="auto"/>
              <w:jc w:val="center"/>
              <w:rPr>
                <w:rFonts w:asciiTheme="minorHAnsi" w:hAnsiTheme="minorHAnsi" w:cs="Arial"/>
                <w:color w:val="FF0000"/>
                <w:sz w:val="18"/>
                <w:szCs w:val="18"/>
              </w:rPr>
            </w:pPr>
            <w:r>
              <w:rPr>
                <w:noProof/>
              </w:rPr>
              <w:drawing>
                <wp:inline distT="0" distB="0" distL="0" distR="0" wp14:anchorId="0B5D7F27" wp14:editId="66ACB63B">
                  <wp:extent cx="4314825" cy="2109786"/>
                  <wp:effectExtent l="0" t="0" r="9525" b="5080"/>
                  <wp:docPr id="23" name="Gráfico 23">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 xml:space="preserve">Gráfico de Barras </w:t>
            </w:r>
            <w:r w:rsidR="00E131F9">
              <w:rPr>
                <w:rFonts w:asciiTheme="minorHAnsi" w:hAnsiTheme="minorHAnsi" w:cs="Arial"/>
                <w:b/>
                <w:sz w:val="18"/>
                <w:szCs w:val="18"/>
              </w:rPr>
              <w:t>de conformidades de producto</w:t>
            </w:r>
          </w:p>
          <w:p w:rsidR="00BC088B" w:rsidRDefault="00BC088B" w:rsidP="00C751D7">
            <w:pPr>
              <w:spacing w:line="360" w:lineRule="auto"/>
              <w:rPr>
                <w:rFonts w:asciiTheme="minorHAnsi" w:hAnsiTheme="minorHAnsi" w:cs="Arial"/>
                <w:color w:val="FF0000"/>
                <w:sz w:val="18"/>
                <w:szCs w:val="18"/>
              </w:rPr>
            </w:pPr>
          </w:p>
          <w:p w:rsidR="00BC088B" w:rsidRPr="00C751D7" w:rsidRDefault="00E131F9" w:rsidP="00BC088B">
            <w:pPr>
              <w:spacing w:line="360" w:lineRule="auto"/>
              <w:jc w:val="center"/>
              <w:rPr>
                <w:rFonts w:asciiTheme="minorHAnsi" w:hAnsiTheme="minorHAnsi" w:cs="Arial"/>
                <w:color w:val="FF0000"/>
                <w:sz w:val="18"/>
                <w:szCs w:val="18"/>
              </w:rPr>
            </w:pPr>
            <w:r>
              <w:rPr>
                <w:noProof/>
              </w:rPr>
              <w:drawing>
                <wp:inline distT="0" distB="0" distL="0" distR="0" wp14:anchorId="20BF908F" wp14:editId="5C0549FC">
                  <wp:extent cx="4019550" cy="2028585"/>
                  <wp:effectExtent l="19050" t="19050" r="19050" b="10160"/>
                  <wp:docPr id="24" name="Gráfico 24">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 xml:space="preserve">Los </w:t>
            </w:r>
            <w:r w:rsidR="00E131F9">
              <w:rPr>
                <w:rFonts w:asciiTheme="minorHAnsi" w:hAnsiTheme="minorHAnsi" w:cs="Arial"/>
                <w:color w:val="000000"/>
              </w:rPr>
              <w:t xml:space="preserve">cambios de </w:t>
            </w:r>
            <w:proofErr w:type="spellStart"/>
            <w:r w:rsidR="00E131F9">
              <w:rPr>
                <w:rFonts w:asciiTheme="minorHAnsi" w:hAnsiTheme="minorHAnsi" w:cs="Arial"/>
                <w:color w:val="000000"/>
              </w:rPr>
              <w:t>items</w:t>
            </w:r>
            <w:proofErr w:type="spellEnd"/>
            <w:r w:rsidRPr="00C03710">
              <w:rPr>
                <w:rFonts w:asciiTheme="minorHAnsi" w:hAnsiTheme="minorHAnsi" w:cs="Arial"/>
                <w:color w:val="000000"/>
              </w:rPr>
              <w:t xml:space="preserve"> ha</w:t>
            </w:r>
            <w:r w:rsidR="000442C5">
              <w:rPr>
                <w:rFonts w:asciiTheme="minorHAnsi" w:hAnsiTheme="minorHAnsi" w:cs="Arial"/>
                <w:color w:val="000000"/>
              </w:rPr>
              <w:t>n</w:t>
            </w:r>
            <w:r w:rsidRPr="00C03710">
              <w:rPr>
                <w:rFonts w:asciiTheme="minorHAnsi" w:hAnsiTheme="minorHAnsi" w:cs="Arial"/>
                <w:color w:val="000000"/>
              </w:rPr>
              <w:t xml:space="preserve"> sido algo común en el Ciclo de Producción y posiblemente hayan afectado acuerdos de nivel de </w:t>
            </w:r>
            <w:r w:rsidRPr="00C03710">
              <w:rPr>
                <w:rFonts w:asciiTheme="minorHAnsi" w:hAnsiTheme="minorHAnsi" w:cs="Arial"/>
                <w:color w:val="000000"/>
              </w:rPr>
              <w:lastRenderedPageBreak/>
              <w:t>servicio establecidos o que se haya incurrido en penalidades. Bajo este escenario hay que identificar las causas que originan los cambios y proponerlas como Lecciones Aprendidas y, cuando sea el caso, Oportunidades de Mejora</w:t>
            </w:r>
            <w:r w:rsidR="000442C5">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sidR="004E1565">
              <w:rPr>
                <w:rFonts w:asciiTheme="minorHAnsi" w:hAnsiTheme="minorHAnsi" w:cs="Arial"/>
                <w:color w:val="000000"/>
              </w:rPr>
              <w:t xml:space="preserve">Nivel medio de </w:t>
            </w:r>
            <w:r w:rsidR="00E131F9">
              <w:rPr>
                <w:rFonts w:asciiTheme="minorHAnsi" w:hAnsiTheme="minorHAnsi" w:cs="Arial"/>
                <w:color w:val="000000"/>
              </w:rPr>
              <w:t>cambios</w:t>
            </w:r>
            <w:r w:rsidR="004E1565">
              <w:rPr>
                <w:rFonts w:asciiTheme="minorHAnsi" w:hAnsiTheme="minorHAnsi" w:cs="Arial"/>
                <w:color w:val="000000"/>
              </w:rPr>
              <w:t>.</w:t>
            </w:r>
            <w:r w:rsidRPr="00C03710">
              <w:rPr>
                <w:rFonts w:asciiTheme="minorHAnsi" w:hAnsiTheme="minorHAnsi" w:cs="Arial"/>
                <w:color w:val="000000"/>
              </w:rPr>
              <w:t xml:space="preserve"> Hay que identificar las causas que originaron los </w:t>
            </w:r>
            <w:r w:rsidR="004E1565">
              <w:rPr>
                <w:rFonts w:asciiTheme="minorHAnsi" w:hAnsiTheme="minorHAnsi" w:cs="Arial"/>
                <w:color w:val="000000"/>
              </w:rPr>
              <w:t>riesgo</w:t>
            </w:r>
            <w:r w:rsidRPr="00C03710">
              <w:rPr>
                <w:rFonts w:asciiTheme="minorHAnsi" w:hAnsiTheme="minorHAnsi" w:cs="Arial"/>
                <w:color w:val="000000"/>
              </w:rPr>
              <w:t>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Normal (Verde</w:t>
            </w:r>
            <w:proofErr w:type="gramStart"/>
            <w:r w:rsidRPr="00C03710">
              <w:rPr>
                <w:rFonts w:asciiTheme="minorHAnsi" w:hAnsiTheme="minorHAnsi" w:cs="Arial"/>
                <w:color w:val="00B050"/>
              </w:rPr>
              <w:t>).-</w:t>
            </w:r>
            <w:proofErr w:type="gramEnd"/>
            <w:r w:rsidRPr="00C03710">
              <w:rPr>
                <w:rFonts w:asciiTheme="minorHAnsi" w:hAnsiTheme="minorHAnsi" w:cs="Arial"/>
                <w:color w:val="00B050"/>
              </w:rPr>
              <w:t xml:space="preserve"> </w:t>
            </w:r>
            <w:r w:rsidRPr="00C03710">
              <w:rPr>
                <w:rFonts w:asciiTheme="minorHAnsi" w:hAnsiTheme="minorHAnsi" w:cs="Arial"/>
                <w:color w:val="000000"/>
              </w:rPr>
              <w:t xml:space="preserve">Se establece este como el rango normal de </w:t>
            </w:r>
            <w:r w:rsidR="00E131F9">
              <w:rPr>
                <w:rFonts w:asciiTheme="minorHAnsi" w:hAnsiTheme="minorHAnsi" w:cs="Arial"/>
                <w:color w:val="000000"/>
              </w:rPr>
              <w:t>cambios</w:t>
            </w:r>
            <w:r w:rsidR="004E1565">
              <w:rPr>
                <w:rFonts w:asciiTheme="minorHAnsi" w:hAnsiTheme="minorHAnsi" w:cs="Arial"/>
                <w:color w:val="000000"/>
              </w:rPr>
              <w:t xml:space="preserve">, </w:t>
            </w:r>
            <w:r w:rsidRPr="00C03710">
              <w:rPr>
                <w:rFonts w:asciiTheme="minorHAnsi" w:hAnsiTheme="minorHAnsi" w:cs="Arial"/>
                <w:color w:val="000000"/>
              </w:rPr>
              <w:t>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982" w:rsidRDefault="00980982" w:rsidP="00EA3041">
      <w:r>
        <w:separator/>
      </w:r>
    </w:p>
  </w:endnote>
  <w:endnote w:type="continuationSeparator" w:id="0">
    <w:p w:rsidR="00980982" w:rsidRDefault="00980982"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982" w:rsidRDefault="00980982" w:rsidP="00EA3041">
      <w:r>
        <w:separator/>
      </w:r>
    </w:p>
  </w:footnote>
  <w:footnote w:type="continuationSeparator" w:id="0">
    <w:p w:rsidR="00980982" w:rsidRDefault="00980982"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3F4B32" w:rsidP="00601134">
          <w:pPr>
            <w:pStyle w:val="Encabezado"/>
            <w:tabs>
              <w:tab w:val="clear" w:pos="8838"/>
            </w:tabs>
            <w:jc w:val="center"/>
            <w:rPr>
              <w:rFonts w:ascii="Calibri" w:eastAsia="Calibri" w:hAnsi="Calibri"/>
              <w:sz w:val="22"/>
              <w:szCs w:val="22"/>
            </w:rPr>
          </w:pPr>
          <w:r>
            <w:rPr>
              <w:i/>
              <w:noProof/>
            </w:rPr>
            <w:drawing>
              <wp:inline distT="0" distB="0" distL="0" distR="0">
                <wp:extent cx="1097280" cy="914400"/>
                <wp:effectExtent l="0" t="0" r="7620" b="0"/>
                <wp:docPr id="2" name="Imagen 2"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w:t>
          </w:r>
          <w:r w:rsidR="002543FD">
            <w:rPr>
              <w:rFonts w:ascii="Calibri" w:eastAsia="Calibri" w:hAnsi="Calibri"/>
              <w:b/>
              <w:sz w:val="28"/>
            </w:rPr>
            <w:t>EXRI</w:t>
          </w:r>
          <w:r>
            <w:rPr>
              <w:rFonts w:ascii="Calibri" w:eastAsia="Calibri" w:hAnsi="Calibri"/>
              <w:b/>
              <w:sz w:val="28"/>
            </w:rPr>
            <w:t xml:space="preserve"> F</w:t>
          </w:r>
          <w:r w:rsidR="00EA3041" w:rsidRPr="0057137C">
            <w:rPr>
              <w:rFonts w:ascii="Calibri" w:eastAsia="Calibri" w:hAnsi="Calibri"/>
              <w:b/>
              <w:sz w:val="28"/>
            </w:rPr>
            <w:t xml:space="preserve">icha de Métricas </w:t>
          </w:r>
          <w:r w:rsidR="003312F7" w:rsidRPr="003312F7">
            <w:rPr>
              <w:rFonts w:ascii="Calibri" w:eastAsia="Calibri" w:hAnsi="Calibri"/>
              <w:b/>
              <w:sz w:val="28"/>
            </w:rPr>
            <w:t xml:space="preserve"> Cambios </w:t>
          </w:r>
          <w:r w:rsidR="003312F7" w:rsidRPr="003312F7">
            <w:rPr>
              <w:rFonts w:ascii="Calibri" w:eastAsia="Calibri" w:hAnsi="Calibri"/>
              <w:b/>
              <w:sz w:val="28"/>
            </w:rPr>
            <w:t>Ítems</w:t>
          </w:r>
          <w:r w:rsidR="003312F7" w:rsidRPr="003312F7">
            <w:rPr>
              <w:rFonts w:ascii="Calibri" w:eastAsia="Calibri" w:hAnsi="Calibri"/>
              <w:b/>
              <w:sz w:val="28"/>
            </w:rPr>
            <w:t xml:space="preserve"> de </w:t>
          </w:r>
          <w:r w:rsidR="003312F7" w:rsidRPr="003312F7">
            <w:rPr>
              <w:rFonts w:ascii="Calibri" w:eastAsia="Calibri" w:hAnsi="Calibri"/>
              <w:b/>
              <w:sz w:val="28"/>
            </w:rPr>
            <w:t>Configuración</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0442C5"/>
    <w:rsid w:val="000A0B2B"/>
    <w:rsid w:val="001110A2"/>
    <w:rsid w:val="00131529"/>
    <w:rsid w:val="0016411F"/>
    <w:rsid w:val="001E0F4E"/>
    <w:rsid w:val="002543FD"/>
    <w:rsid w:val="003312F7"/>
    <w:rsid w:val="00354BFC"/>
    <w:rsid w:val="003957BA"/>
    <w:rsid w:val="003F4B32"/>
    <w:rsid w:val="003F663E"/>
    <w:rsid w:val="00431153"/>
    <w:rsid w:val="004836D4"/>
    <w:rsid w:val="004A371D"/>
    <w:rsid w:val="004B0B84"/>
    <w:rsid w:val="004E1565"/>
    <w:rsid w:val="004F11EE"/>
    <w:rsid w:val="00512DBD"/>
    <w:rsid w:val="005432BD"/>
    <w:rsid w:val="0058786A"/>
    <w:rsid w:val="005F4395"/>
    <w:rsid w:val="00601134"/>
    <w:rsid w:val="006063AF"/>
    <w:rsid w:val="0062511D"/>
    <w:rsid w:val="00642051"/>
    <w:rsid w:val="006E5581"/>
    <w:rsid w:val="006F41B4"/>
    <w:rsid w:val="00750C7B"/>
    <w:rsid w:val="007C0A26"/>
    <w:rsid w:val="00827251"/>
    <w:rsid w:val="008A1C26"/>
    <w:rsid w:val="008E297E"/>
    <w:rsid w:val="0091454A"/>
    <w:rsid w:val="00925FB1"/>
    <w:rsid w:val="00980982"/>
    <w:rsid w:val="009C63D0"/>
    <w:rsid w:val="00A363BF"/>
    <w:rsid w:val="00AB6681"/>
    <w:rsid w:val="00AC27E6"/>
    <w:rsid w:val="00AF4459"/>
    <w:rsid w:val="00B2225A"/>
    <w:rsid w:val="00B563B6"/>
    <w:rsid w:val="00BB30E9"/>
    <w:rsid w:val="00BC088B"/>
    <w:rsid w:val="00BF7D0F"/>
    <w:rsid w:val="00C03710"/>
    <w:rsid w:val="00C063EF"/>
    <w:rsid w:val="00C751D7"/>
    <w:rsid w:val="00C80AA2"/>
    <w:rsid w:val="00D27211"/>
    <w:rsid w:val="00D77B61"/>
    <w:rsid w:val="00DA44EF"/>
    <w:rsid w:val="00E131F9"/>
    <w:rsid w:val="00EA3041"/>
    <w:rsid w:val="00EB54D0"/>
    <w:rsid w:val="00F20FE7"/>
    <w:rsid w:val="00F27FF1"/>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596C"/>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character" w:styleId="Mencinsinresolver">
    <w:name w:val="Unresolved Mention"/>
    <w:basedOn w:val="Fuentedeprrafopredeter"/>
    <w:uiPriority w:val="99"/>
    <w:semiHidden/>
    <w:unhideWhenUsed/>
    <w:rsid w:val="0025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586231281">
      <w:bodyDiv w:val="1"/>
      <w:marLeft w:val="0"/>
      <w:marRight w:val="0"/>
      <w:marTop w:val="0"/>
      <w:marBottom w:val="0"/>
      <w:divBdr>
        <w:top w:val="none" w:sz="0" w:space="0" w:color="auto"/>
        <w:left w:val="none" w:sz="0" w:space="0" w:color="auto"/>
        <w:bottom w:val="none" w:sz="0" w:space="0" w:color="auto"/>
        <w:right w:val="none" w:sz="0" w:space="0" w:color="auto"/>
      </w:divBdr>
    </w:div>
    <w:div w:id="606929225">
      <w:bodyDiv w:val="1"/>
      <w:marLeft w:val="0"/>
      <w:marRight w:val="0"/>
      <w:marTop w:val="0"/>
      <w:marBottom w:val="0"/>
      <w:divBdr>
        <w:top w:val="none" w:sz="0" w:space="0" w:color="auto"/>
        <w:left w:val="none" w:sz="0" w:space="0" w:color="auto"/>
        <w:bottom w:val="none" w:sz="0" w:space="0" w:color="auto"/>
        <w:right w:val="none" w:sz="0" w:space="0" w:color="auto"/>
      </w:divBdr>
    </w:div>
    <w:div w:id="789544875">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38565329">
      <w:bodyDiv w:val="1"/>
      <w:marLeft w:val="0"/>
      <w:marRight w:val="0"/>
      <w:marTop w:val="0"/>
      <w:marBottom w:val="0"/>
      <w:divBdr>
        <w:top w:val="none" w:sz="0" w:space="0" w:color="auto"/>
        <w:left w:val="none" w:sz="0" w:space="0" w:color="auto"/>
        <w:bottom w:val="none" w:sz="0" w:space="0" w:color="auto"/>
        <w:right w:val="none" w:sz="0" w:space="0" w:color="auto"/>
      </w:divBdr>
    </w:div>
    <w:div w:id="987435299">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049720776">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pedupe-my.sharepoint.com/personal/0721169_utp_edu_pe/_layouts/15/Doc.aspx?sourcedoc=%7Bc8e1d4d2-3f53-4324-bb7b-7473c22dca35%7D&amp;action=edit&amp;uid=%7BC8E1D4D2-3F53-4324-BB7B-7473C22DCA35%7D&amp;ListItemId=2331&amp;ListId=%7BE6CC07F8-BFA5-4455-9AAD-5801C42FC5ED%7D&amp;odsp=1&amp;env=prod&amp;CT=1539544914883&amp;OR=DocLi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528213774602677"/>
          <c:y val="2.314818013685536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lineChart>
        <c:grouping val="stacked"/>
        <c:varyColors val="0"/>
        <c:ser>
          <c:idx val="0"/>
          <c:order val="0"/>
          <c:tx>
            <c:strRef>
              <c:f>FMICIC!$B$31:$C$31</c:f>
              <c:strCache>
                <c:ptCount val="2"/>
                <c:pt idx="0">
                  <c:v>CM</c:v>
                </c:pt>
                <c:pt idx="1">
                  <c:v>Numero de Items Modificados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FMICIC!$D$30:$F$30</c:f>
              <c:strCache>
                <c:ptCount val="3"/>
                <c:pt idx="0">
                  <c:v>SETIEMBRE</c:v>
                </c:pt>
                <c:pt idx="1">
                  <c:v>OCTUBRE</c:v>
                </c:pt>
                <c:pt idx="2">
                  <c:v>NOVIEMBRE</c:v>
                </c:pt>
              </c:strCache>
            </c:strRef>
          </c:cat>
          <c:val>
            <c:numRef>
              <c:f>FMICIC!$D$31:$F$31</c:f>
              <c:numCache>
                <c:formatCode>General</c:formatCode>
                <c:ptCount val="3"/>
                <c:pt idx="0">
                  <c:v>0</c:v>
                </c:pt>
                <c:pt idx="1">
                  <c:v>2</c:v>
                </c:pt>
                <c:pt idx="2">
                  <c:v>0</c:v>
                </c:pt>
              </c:numCache>
            </c:numRef>
          </c:val>
          <c:smooth val="0"/>
          <c:extLst>
            <c:ext xmlns:c16="http://schemas.microsoft.com/office/drawing/2014/chart" uri="{C3380CC4-5D6E-409C-BE32-E72D297353CC}">
              <c16:uniqueId val="{00000000-6FCF-4E93-ACE6-CB4D9F403ECA}"/>
            </c:ext>
          </c:extLst>
        </c:ser>
        <c:dLbls>
          <c:dLblPos val="ctr"/>
          <c:showLegendKey val="0"/>
          <c:showVal val="1"/>
          <c:showCatName val="0"/>
          <c:showSerName val="0"/>
          <c:showPercent val="0"/>
          <c:showBubbleSize val="0"/>
        </c:dLbls>
        <c:marker val="1"/>
        <c:smooth val="0"/>
        <c:axId val="169897120"/>
        <c:axId val="169897680"/>
      </c:lineChart>
      <c:catAx>
        <c:axId val="1698971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MES DE REVISION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69897680"/>
        <c:crosses val="autoZero"/>
        <c:auto val="1"/>
        <c:lblAlgn val="ctr"/>
        <c:lblOffset val="100"/>
        <c:noMultiLvlLbl val="0"/>
      </c:catAx>
      <c:valAx>
        <c:axId val="1698976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 CONFORMIDADES QA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crossAx val="169897120"/>
        <c:crosses val="autoZero"/>
        <c:crossBetween val="between"/>
      </c:valAx>
      <c:spPr>
        <a:noFill/>
        <a:ln>
          <a:noFill/>
        </a:ln>
        <a:effectLst/>
      </c:spPr>
    </c:plotArea>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NUMERO DE N CONFORMIDADES QA DE PRODUCTO</a:t>
            </a:r>
          </a:p>
        </c:rich>
      </c:tx>
      <c:layout>
        <c:manualLayout>
          <c:xMode val="edge"/>
          <c:yMode val="edge"/>
          <c:x val="0.10591666666666667"/>
          <c:y val="4.166666666666666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barChart>
        <c:barDir val="col"/>
        <c:grouping val="clustered"/>
        <c:varyColors val="0"/>
        <c:ser>
          <c:idx val="0"/>
          <c:order val="0"/>
          <c:tx>
            <c:strRef>
              <c:f>FMICIC!$C$39:$C$40</c:f>
              <c:strCache>
                <c:ptCount val="2"/>
                <c:pt idx="0">
                  <c:v>TABLERO DE METRICAS DE N CONFORMIDADES QA DE PRODUCTO</c:v>
                </c:pt>
                <c:pt idx="1">
                  <c:v>VALORES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FMICIC!$B$41:$B$43</c:f>
              <c:strCache>
                <c:ptCount val="3"/>
                <c:pt idx="0">
                  <c:v>SETIEMBRE</c:v>
                </c:pt>
                <c:pt idx="1">
                  <c:v>OCTUBRE</c:v>
                </c:pt>
                <c:pt idx="2">
                  <c:v>NOVIEMBRE</c:v>
                </c:pt>
              </c:strCache>
            </c:strRef>
          </c:cat>
          <c:val>
            <c:numRef>
              <c:f>FMICIC!$C$41:$C$43</c:f>
              <c:numCache>
                <c:formatCode>0.000</c:formatCode>
                <c:ptCount val="3"/>
                <c:pt idx="0">
                  <c:v>0</c:v>
                </c:pt>
                <c:pt idx="1">
                  <c:v>5.4054054054054057E-2</c:v>
                </c:pt>
                <c:pt idx="2">
                  <c:v>0</c:v>
                </c:pt>
              </c:numCache>
            </c:numRef>
          </c:val>
          <c:extLst>
            <c:ext xmlns:c16="http://schemas.microsoft.com/office/drawing/2014/chart" uri="{C3380CC4-5D6E-409C-BE32-E72D297353CC}">
              <c16:uniqueId val="{00000000-555B-4143-B964-925ECF5B819E}"/>
            </c:ext>
          </c:extLst>
        </c:ser>
        <c:dLbls>
          <c:dLblPos val="inEnd"/>
          <c:showLegendKey val="0"/>
          <c:showVal val="1"/>
          <c:showCatName val="0"/>
          <c:showSerName val="0"/>
          <c:showPercent val="0"/>
          <c:showBubbleSize val="0"/>
        </c:dLbls>
        <c:gapWidth val="65"/>
        <c:axId val="169899920"/>
        <c:axId val="169900480"/>
      </c:barChart>
      <c:catAx>
        <c:axId val="1698999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69900480"/>
        <c:crosses val="autoZero"/>
        <c:auto val="1"/>
        <c:lblAlgn val="ctr"/>
        <c:lblOffset val="100"/>
        <c:noMultiLvlLbl val="0"/>
      </c:catAx>
      <c:valAx>
        <c:axId val="169900480"/>
        <c:scaling>
          <c:orientation val="minMax"/>
        </c:scaling>
        <c:delete val="1"/>
        <c:axPos val="l"/>
        <c:majorGridlines>
          <c:spPr>
            <a:ln w="9525" cap="flat" cmpd="sng" algn="ctr">
              <a:solidFill>
                <a:srgbClr val="00B050"/>
              </a:solidFill>
              <a:round/>
            </a:ln>
            <a:effectLst/>
          </c:spPr>
        </c:majorGridlines>
        <c:numFmt formatCode="0.000" sourceLinked="1"/>
        <c:majorTickMark val="none"/>
        <c:minorTickMark val="none"/>
        <c:tickLblPos val="nextTo"/>
        <c:crossAx val="1698999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28575"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521A2-B520-4614-A8D9-25C4CD58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DENISSE REBECA LUQUE CONDORI</cp:lastModifiedBy>
  <cp:revision>3</cp:revision>
  <dcterms:created xsi:type="dcterms:W3CDTF">2018-10-14T19:15:00Z</dcterms:created>
  <dcterms:modified xsi:type="dcterms:W3CDTF">2018-10-14T19:29:00Z</dcterms:modified>
</cp:coreProperties>
</file>