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7B3E" w:rsidRDefault="00EC7B3E" w:rsidP="00EC7B3E">
      <w:pPr>
        <w:pStyle w:val="a0"/>
        <w:rPr>
          <w:rFonts w:ascii="Times New Roman"/>
          <w:sz w:val="20"/>
        </w:rPr>
      </w:pPr>
      <w:bookmarkStart w:id="0" w:name="header-n99"/>
    </w:p>
    <w:p w:rsidR="00EC7B3E" w:rsidRDefault="00EC7B3E" w:rsidP="00EC7B3E">
      <w:pPr>
        <w:pStyle w:val="a0"/>
        <w:rPr>
          <w:rFonts w:ascii="Times New Roman"/>
          <w:sz w:val="20"/>
        </w:rPr>
      </w:pPr>
    </w:p>
    <w:p w:rsidR="00EC7B3E" w:rsidRDefault="00EC7B3E" w:rsidP="00EC7B3E">
      <w:pPr>
        <w:pStyle w:val="a0"/>
        <w:rPr>
          <w:rFonts w:ascii="Times New Roman"/>
          <w:sz w:val="20"/>
        </w:rPr>
      </w:pPr>
    </w:p>
    <w:p w:rsidR="00EC7B3E" w:rsidRDefault="00EC7B3E" w:rsidP="00EC7B3E">
      <w:pPr>
        <w:pStyle w:val="a0"/>
        <w:spacing w:before="1"/>
        <w:rPr>
          <w:rFonts w:ascii="Times New Roman"/>
          <w:sz w:val="26"/>
        </w:rPr>
      </w:pPr>
    </w:p>
    <w:p w:rsidR="00EC7B3E" w:rsidRDefault="00EC7B3E" w:rsidP="00EC7B3E">
      <w:pPr>
        <w:pStyle w:val="a4"/>
        <w:rPr>
          <w:lang w:eastAsia="ja-JP"/>
        </w:rPr>
      </w:pPr>
      <w:r>
        <w:rPr>
          <w:lang w:eastAsia="ja-JP"/>
        </w:rPr>
        <w:t>データの利活用とプライバシー</w:t>
      </w:r>
    </w:p>
    <w:p w:rsidR="00EC7B3E" w:rsidRDefault="00EC7B3E" w:rsidP="00EC7B3E">
      <w:pPr>
        <w:pStyle w:val="a0"/>
        <w:spacing w:before="11"/>
        <w:rPr>
          <w:sz w:val="20"/>
          <w:lang w:eastAsia="ja-JP"/>
        </w:rPr>
      </w:pPr>
    </w:p>
    <w:p w:rsidR="00EC7B3E" w:rsidRDefault="00EC7B3E" w:rsidP="00EC7B3E">
      <w:pPr>
        <w:pStyle w:val="2"/>
        <w:ind w:left="2495" w:right="2495"/>
        <w:jc w:val="center"/>
        <w:rPr>
          <w:rFonts w:ascii="PMingLiU" w:eastAsia="PMingLiU"/>
        </w:rPr>
      </w:pPr>
      <w:proofErr w:type="spellStart"/>
      <w:r>
        <w:rPr>
          <w:rFonts w:ascii="PMingLiU" w:eastAsia="PMingLiU" w:hint="eastAsia"/>
        </w:rPr>
        <w:t>芝池亮弥</w:t>
      </w:r>
      <w:proofErr w:type="spellEnd"/>
    </w:p>
    <w:p w:rsidR="00EC7B3E" w:rsidRDefault="00EC7B3E" w:rsidP="00EC7B3E">
      <w:pPr>
        <w:pStyle w:val="a0"/>
        <w:rPr>
          <w:sz w:val="22"/>
        </w:rPr>
      </w:pPr>
    </w:p>
    <w:p w:rsidR="00EC7B3E" w:rsidRDefault="00EC7B3E" w:rsidP="00EC7B3E">
      <w:pPr>
        <w:pStyle w:val="a0"/>
        <w:rPr>
          <w:sz w:val="22"/>
        </w:rPr>
      </w:pPr>
    </w:p>
    <w:p w:rsidR="00EC7B3E" w:rsidRDefault="00EC7B3E" w:rsidP="00EC7B3E">
      <w:pPr>
        <w:pStyle w:val="a0"/>
        <w:spacing w:before="6"/>
        <w:rPr>
          <w:sz w:val="19"/>
        </w:rPr>
      </w:pPr>
    </w:p>
    <w:p w:rsidR="00EC7B3E" w:rsidRDefault="00EC7B3E" w:rsidP="00EC7B3E">
      <w:pPr>
        <w:spacing w:before="1"/>
        <w:ind w:left="238"/>
        <w:rPr>
          <w:rFonts w:ascii="SimSun" w:eastAsia="SimSun"/>
          <w:sz w:val="26"/>
        </w:rPr>
      </w:pPr>
      <w:proofErr w:type="spellStart"/>
      <w:r>
        <w:rPr>
          <w:rFonts w:ascii="SimSun" w:eastAsia="SimSun" w:hint="eastAsia"/>
          <w:sz w:val="26"/>
        </w:rPr>
        <w:t>目次</w:t>
      </w:r>
      <w:proofErr w:type="spellEnd"/>
    </w:p>
    <w:sdt>
      <w:sdtPr>
        <w:rPr>
          <w:b/>
          <w:bCs/>
          <w:i/>
          <w:sz w:val="22"/>
          <w:szCs w:val="22"/>
        </w:rPr>
        <w:id w:val="181177574"/>
        <w:docPartObj>
          <w:docPartGallery w:val="Table of Contents"/>
          <w:docPartUnique/>
        </w:docPartObj>
      </w:sdtPr>
      <w:sdtEndPr>
        <w:rPr>
          <w:b w:val="0"/>
          <w:bCs w:val="0"/>
          <w:i w:val="0"/>
          <w:sz w:val="24"/>
          <w:szCs w:val="24"/>
        </w:rPr>
      </w:sdtEndPr>
      <w:sdtContent>
        <w:p w:rsidR="00EC7B3E" w:rsidRDefault="00EC7B3E" w:rsidP="00EC7B3E">
          <w:pPr>
            <w:pStyle w:val="10"/>
            <w:widowControl w:val="0"/>
            <w:numPr>
              <w:ilvl w:val="0"/>
              <w:numId w:val="22"/>
            </w:numPr>
            <w:tabs>
              <w:tab w:val="left" w:pos="975"/>
              <w:tab w:val="left" w:pos="976"/>
              <w:tab w:val="right" w:pos="9266"/>
            </w:tabs>
            <w:autoSpaceDE w:val="0"/>
            <w:autoSpaceDN w:val="0"/>
            <w:spacing w:before="244" w:after="0"/>
            <w:ind w:hanging="738"/>
            <w:rPr>
              <w:rFonts w:ascii="Tahoma" w:eastAsia="Tahoma"/>
              <w:sz w:val="20"/>
            </w:rPr>
          </w:pPr>
          <w:hyperlink w:anchor="_TOC_250013" w:history="1">
            <w:r>
              <w:t>はじめに</w:t>
            </w:r>
            <w:r>
              <w:tab/>
            </w:r>
            <w:r>
              <w:rPr>
                <w:rFonts w:ascii="Tahoma" w:eastAsia="Tahoma"/>
                <w:sz w:val="20"/>
              </w:rPr>
              <w:t>2</w:t>
            </w:r>
          </w:hyperlink>
        </w:p>
        <w:p w:rsidR="00EC7B3E" w:rsidRDefault="00EC7B3E" w:rsidP="00EC7B3E">
          <w:pPr>
            <w:pStyle w:val="30"/>
            <w:widowControl w:val="0"/>
            <w:numPr>
              <w:ilvl w:val="1"/>
              <w:numId w:val="22"/>
            </w:numPr>
            <w:tabs>
              <w:tab w:val="left" w:pos="975"/>
              <w:tab w:val="left" w:pos="976"/>
              <w:tab w:val="right" w:leader="dot" w:pos="9266"/>
            </w:tabs>
            <w:autoSpaceDE w:val="0"/>
            <w:autoSpaceDN w:val="0"/>
            <w:spacing w:before="71" w:after="0"/>
            <w:ind w:leftChars="0" w:hanging="554"/>
            <w:rPr>
              <w:rFonts w:ascii="Century" w:eastAsia="Century"/>
              <w:sz w:val="20"/>
            </w:rPr>
          </w:pPr>
          <w:hyperlink w:anchor="_TOC_250012" w:history="1">
            <w:r>
              <w:t>問題の所在</w:t>
            </w:r>
            <w:r>
              <w:tab/>
            </w:r>
            <w:r>
              <w:rPr>
                <w:rFonts w:ascii="Century" w:eastAsia="Century"/>
                <w:sz w:val="20"/>
              </w:rPr>
              <w:t>2</w:t>
            </w:r>
          </w:hyperlink>
        </w:p>
        <w:p w:rsidR="00EC7B3E" w:rsidRDefault="00EC7B3E" w:rsidP="00EC7B3E">
          <w:pPr>
            <w:pStyle w:val="30"/>
            <w:widowControl w:val="0"/>
            <w:numPr>
              <w:ilvl w:val="1"/>
              <w:numId w:val="22"/>
            </w:numPr>
            <w:tabs>
              <w:tab w:val="left" w:pos="975"/>
              <w:tab w:val="left" w:pos="976"/>
              <w:tab w:val="right" w:leader="dot" w:pos="9266"/>
            </w:tabs>
            <w:autoSpaceDE w:val="0"/>
            <w:autoSpaceDN w:val="0"/>
            <w:spacing w:before="50" w:after="0"/>
            <w:ind w:leftChars="0" w:hanging="554"/>
            <w:rPr>
              <w:rFonts w:ascii="Century" w:eastAsia="Century"/>
              <w:sz w:val="20"/>
            </w:rPr>
          </w:pPr>
          <w:hyperlink w:anchor="_TOC_250011" w:history="1">
            <w:r>
              <w:t>本レポートの構成</w:t>
            </w:r>
            <w:r>
              <w:tab/>
            </w:r>
            <w:r>
              <w:rPr>
                <w:rFonts w:ascii="Century" w:eastAsia="Century"/>
                <w:sz w:val="20"/>
              </w:rPr>
              <w:t>2</w:t>
            </w:r>
          </w:hyperlink>
        </w:p>
        <w:p w:rsidR="00EC7B3E" w:rsidRDefault="00EC7B3E" w:rsidP="00EC7B3E">
          <w:pPr>
            <w:pStyle w:val="10"/>
            <w:widowControl w:val="0"/>
            <w:numPr>
              <w:ilvl w:val="0"/>
              <w:numId w:val="22"/>
            </w:numPr>
            <w:tabs>
              <w:tab w:val="left" w:pos="975"/>
              <w:tab w:val="left" w:pos="976"/>
              <w:tab w:val="right" w:pos="9266"/>
            </w:tabs>
            <w:autoSpaceDE w:val="0"/>
            <w:autoSpaceDN w:val="0"/>
            <w:spacing w:before="246" w:after="0"/>
            <w:ind w:hanging="738"/>
            <w:rPr>
              <w:rFonts w:ascii="Tahoma" w:eastAsia="Tahoma"/>
              <w:sz w:val="20"/>
              <w:lang w:eastAsia="ja-JP"/>
            </w:rPr>
          </w:pPr>
          <w:hyperlink w:anchor="_TOC_250010" w:history="1">
            <w:r>
              <w:rPr>
                <w:lang w:eastAsia="ja-JP"/>
              </w:rPr>
              <w:t>プライバシーとは何か</w:t>
            </w:r>
            <w:r>
              <w:rPr>
                <w:lang w:eastAsia="ja-JP"/>
              </w:rPr>
              <w:tab/>
            </w:r>
            <w:r>
              <w:rPr>
                <w:rFonts w:ascii="Tahoma" w:eastAsia="Tahoma"/>
                <w:sz w:val="20"/>
                <w:lang w:eastAsia="ja-JP"/>
              </w:rPr>
              <w:t>2</w:t>
            </w:r>
          </w:hyperlink>
        </w:p>
        <w:p w:rsidR="00EC7B3E" w:rsidRDefault="00EC7B3E" w:rsidP="00EC7B3E">
          <w:pPr>
            <w:pStyle w:val="30"/>
            <w:widowControl w:val="0"/>
            <w:numPr>
              <w:ilvl w:val="1"/>
              <w:numId w:val="22"/>
            </w:numPr>
            <w:tabs>
              <w:tab w:val="left" w:pos="975"/>
              <w:tab w:val="left" w:pos="976"/>
              <w:tab w:val="right" w:leader="dot" w:pos="9266"/>
            </w:tabs>
            <w:autoSpaceDE w:val="0"/>
            <w:autoSpaceDN w:val="0"/>
            <w:spacing w:before="71" w:after="0"/>
            <w:ind w:leftChars="0" w:hanging="554"/>
            <w:rPr>
              <w:rFonts w:ascii="Century" w:eastAsia="Century"/>
              <w:sz w:val="20"/>
              <w:lang w:eastAsia="ja-JP"/>
            </w:rPr>
          </w:pPr>
          <w:hyperlink w:anchor="_TOC_250009" w:history="1">
            <w:r>
              <w:rPr>
                <w:lang w:eastAsia="ja-JP"/>
              </w:rPr>
              <w:t>自己情報コントロール権</w:t>
            </w:r>
            <w:r>
              <w:rPr>
                <w:lang w:eastAsia="ja-JP"/>
              </w:rPr>
              <w:tab/>
            </w:r>
            <w:r>
              <w:rPr>
                <w:rFonts w:ascii="Century" w:eastAsia="Century"/>
                <w:sz w:val="20"/>
                <w:lang w:eastAsia="ja-JP"/>
              </w:rPr>
              <w:t>3</w:t>
            </w:r>
          </w:hyperlink>
        </w:p>
        <w:p w:rsidR="00EC7B3E" w:rsidRDefault="00EC7B3E" w:rsidP="00EC7B3E">
          <w:pPr>
            <w:pStyle w:val="30"/>
            <w:widowControl w:val="0"/>
            <w:numPr>
              <w:ilvl w:val="1"/>
              <w:numId w:val="22"/>
            </w:numPr>
            <w:tabs>
              <w:tab w:val="left" w:pos="975"/>
              <w:tab w:val="left" w:pos="976"/>
              <w:tab w:val="right" w:leader="dot" w:pos="9266"/>
            </w:tabs>
            <w:autoSpaceDE w:val="0"/>
            <w:autoSpaceDN w:val="0"/>
            <w:spacing w:before="50" w:after="0"/>
            <w:ind w:leftChars="0" w:hanging="554"/>
            <w:rPr>
              <w:rFonts w:ascii="Century" w:eastAsia="Century"/>
              <w:sz w:val="20"/>
            </w:rPr>
          </w:pPr>
          <w:hyperlink w:anchor="_TOC_250008" w:history="1">
            <w:r>
              <w:t>情報自己決定権</w:t>
            </w:r>
            <w:r>
              <w:tab/>
            </w:r>
            <w:r>
              <w:rPr>
                <w:rFonts w:ascii="Century" w:eastAsia="Century"/>
                <w:sz w:val="20"/>
              </w:rPr>
              <w:t>3</w:t>
            </w:r>
          </w:hyperlink>
        </w:p>
        <w:p w:rsidR="00EC7B3E" w:rsidRDefault="00EC7B3E" w:rsidP="00EC7B3E">
          <w:pPr>
            <w:pStyle w:val="30"/>
            <w:widowControl w:val="0"/>
            <w:numPr>
              <w:ilvl w:val="1"/>
              <w:numId w:val="22"/>
            </w:numPr>
            <w:tabs>
              <w:tab w:val="left" w:pos="975"/>
              <w:tab w:val="left" w:pos="976"/>
              <w:tab w:val="right" w:leader="dot" w:pos="9266"/>
            </w:tabs>
            <w:autoSpaceDE w:val="0"/>
            <w:autoSpaceDN w:val="0"/>
            <w:spacing w:before="50" w:after="0"/>
            <w:ind w:leftChars="0" w:hanging="554"/>
            <w:rPr>
              <w:rFonts w:ascii="Century" w:eastAsia="Century"/>
              <w:sz w:val="20"/>
              <w:lang w:eastAsia="ja-JP"/>
            </w:rPr>
          </w:pPr>
          <w:hyperlink w:anchor="_TOC_250007" w:history="1">
            <w:r>
              <w:rPr>
                <w:lang w:eastAsia="ja-JP"/>
              </w:rPr>
              <w:t>自己情報コントロール権と情報自己決定権の違い</w:t>
            </w:r>
            <w:r>
              <w:rPr>
                <w:lang w:eastAsia="ja-JP"/>
              </w:rPr>
              <w:tab/>
            </w:r>
            <w:r>
              <w:rPr>
                <w:rFonts w:ascii="Century" w:eastAsia="Century"/>
                <w:sz w:val="20"/>
                <w:lang w:eastAsia="ja-JP"/>
              </w:rPr>
              <w:t>4</w:t>
            </w:r>
          </w:hyperlink>
        </w:p>
        <w:p w:rsidR="00EC7B3E" w:rsidRDefault="00EC7B3E" w:rsidP="00EC7B3E">
          <w:pPr>
            <w:pStyle w:val="10"/>
            <w:widowControl w:val="0"/>
            <w:numPr>
              <w:ilvl w:val="0"/>
              <w:numId w:val="22"/>
            </w:numPr>
            <w:tabs>
              <w:tab w:val="left" w:pos="975"/>
              <w:tab w:val="left" w:pos="976"/>
              <w:tab w:val="right" w:pos="9266"/>
            </w:tabs>
            <w:autoSpaceDE w:val="0"/>
            <w:autoSpaceDN w:val="0"/>
            <w:spacing w:before="246" w:after="0"/>
            <w:ind w:hanging="738"/>
            <w:rPr>
              <w:rFonts w:ascii="Tahoma" w:eastAsia="Tahoma"/>
              <w:sz w:val="20"/>
              <w:lang w:eastAsia="ja-JP"/>
            </w:rPr>
          </w:pPr>
          <w:hyperlink w:anchor="_TOC_250006" w:history="1">
            <w:r>
              <w:rPr>
                <w:lang w:eastAsia="ja-JP"/>
              </w:rPr>
              <w:t>日本のプライバシー保護法制</w:t>
            </w:r>
            <w:r>
              <w:rPr>
                <w:lang w:eastAsia="ja-JP"/>
              </w:rPr>
              <w:tab/>
            </w:r>
            <w:r>
              <w:rPr>
                <w:rFonts w:ascii="Tahoma" w:eastAsia="Tahoma"/>
                <w:sz w:val="20"/>
                <w:lang w:eastAsia="ja-JP"/>
              </w:rPr>
              <w:t>5</w:t>
            </w:r>
          </w:hyperlink>
        </w:p>
        <w:p w:rsidR="00EC7B3E" w:rsidRDefault="00EC7B3E" w:rsidP="00EC7B3E">
          <w:pPr>
            <w:pStyle w:val="30"/>
            <w:widowControl w:val="0"/>
            <w:numPr>
              <w:ilvl w:val="1"/>
              <w:numId w:val="22"/>
            </w:numPr>
            <w:tabs>
              <w:tab w:val="left" w:pos="975"/>
              <w:tab w:val="left" w:pos="976"/>
              <w:tab w:val="right" w:leader="dot" w:pos="9266"/>
            </w:tabs>
            <w:autoSpaceDE w:val="0"/>
            <w:autoSpaceDN w:val="0"/>
            <w:spacing w:before="71" w:after="0"/>
            <w:ind w:leftChars="0" w:hanging="554"/>
            <w:rPr>
              <w:rFonts w:ascii="Century" w:eastAsia="Century"/>
              <w:sz w:val="20"/>
              <w:lang w:eastAsia="ja-JP"/>
            </w:rPr>
          </w:pPr>
          <w:hyperlink w:anchor="_TOC_250005" w:history="1">
            <w:r>
              <w:rPr>
                <w:lang w:eastAsia="ja-JP"/>
              </w:rPr>
              <w:t>個人情報の定義について</w:t>
            </w:r>
            <w:r>
              <w:rPr>
                <w:lang w:eastAsia="ja-JP"/>
              </w:rPr>
              <w:tab/>
            </w:r>
            <w:r>
              <w:rPr>
                <w:rFonts w:ascii="Century" w:eastAsia="Century"/>
                <w:sz w:val="20"/>
                <w:lang w:eastAsia="ja-JP"/>
              </w:rPr>
              <w:t>5</w:t>
            </w:r>
          </w:hyperlink>
        </w:p>
        <w:p w:rsidR="00EC7B3E" w:rsidRDefault="00EC7B3E" w:rsidP="00EC7B3E">
          <w:pPr>
            <w:pStyle w:val="30"/>
            <w:widowControl w:val="0"/>
            <w:numPr>
              <w:ilvl w:val="1"/>
              <w:numId w:val="22"/>
            </w:numPr>
            <w:tabs>
              <w:tab w:val="left" w:pos="975"/>
              <w:tab w:val="left" w:pos="976"/>
              <w:tab w:val="right" w:leader="dot" w:pos="9266"/>
            </w:tabs>
            <w:autoSpaceDE w:val="0"/>
            <w:autoSpaceDN w:val="0"/>
            <w:spacing w:before="50" w:after="0"/>
            <w:ind w:leftChars="0" w:hanging="554"/>
            <w:rPr>
              <w:rFonts w:ascii="Century" w:eastAsia="Century"/>
              <w:sz w:val="20"/>
            </w:rPr>
          </w:pPr>
          <w:hyperlink w:anchor="_TOC_250004" w:history="1">
            <w:r>
              <w:t>同意の条件について</w:t>
            </w:r>
            <w:r>
              <w:tab/>
            </w:r>
            <w:r>
              <w:rPr>
                <w:rFonts w:ascii="Century" w:eastAsia="Century"/>
                <w:sz w:val="20"/>
              </w:rPr>
              <w:t>7</w:t>
            </w:r>
          </w:hyperlink>
        </w:p>
        <w:p w:rsidR="00EC7B3E" w:rsidRDefault="00EC7B3E" w:rsidP="00EC7B3E">
          <w:pPr>
            <w:pStyle w:val="10"/>
            <w:widowControl w:val="0"/>
            <w:numPr>
              <w:ilvl w:val="0"/>
              <w:numId w:val="22"/>
            </w:numPr>
            <w:tabs>
              <w:tab w:val="left" w:pos="975"/>
              <w:tab w:val="left" w:pos="976"/>
              <w:tab w:val="right" w:pos="9266"/>
            </w:tabs>
            <w:autoSpaceDE w:val="0"/>
            <w:autoSpaceDN w:val="0"/>
            <w:spacing w:before="246" w:after="0"/>
            <w:ind w:hanging="738"/>
            <w:rPr>
              <w:rFonts w:ascii="Tahoma" w:eastAsia="Tahoma"/>
              <w:sz w:val="20"/>
            </w:rPr>
          </w:pPr>
          <w:hyperlink w:anchor="_TOC_250003" w:history="1">
            <w:r>
              <w:t>現行法による解決</w:t>
            </w:r>
            <w:r>
              <w:tab/>
            </w:r>
            <w:r>
              <w:rPr>
                <w:rFonts w:ascii="Tahoma" w:eastAsia="Tahoma"/>
                <w:sz w:val="20"/>
              </w:rPr>
              <w:t>8</w:t>
            </w:r>
          </w:hyperlink>
        </w:p>
        <w:p w:rsidR="00EC7B3E" w:rsidRDefault="00EC7B3E" w:rsidP="00EC7B3E">
          <w:pPr>
            <w:pStyle w:val="30"/>
            <w:widowControl w:val="0"/>
            <w:numPr>
              <w:ilvl w:val="1"/>
              <w:numId w:val="22"/>
            </w:numPr>
            <w:tabs>
              <w:tab w:val="left" w:pos="975"/>
              <w:tab w:val="left" w:pos="976"/>
              <w:tab w:val="right" w:leader="dot" w:pos="9266"/>
            </w:tabs>
            <w:autoSpaceDE w:val="0"/>
            <w:autoSpaceDN w:val="0"/>
            <w:spacing w:before="71" w:after="0"/>
            <w:ind w:leftChars="0" w:hanging="554"/>
            <w:rPr>
              <w:rFonts w:ascii="Century" w:eastAsia="Century"/>
              <w:sz w:val="20"/>
              <w:lang w:eastAsia="ja-JP"/>
            </w:rPr>
          </w:pPr>
          <w:hyperlink w:anchor="_TOC_250002" w:history="1">
            <w:r>
              <w:rPr>
                <w:lang w:eastAsia="ja-JP"/>
              </w:rPr>
              <w:t>民法の定型約款による解決</w:t>
            </w:r>
            <w:r>
              <w:rPr>
                <w:lang w:eastAsia="ja-JP"/>
              </w:rPr>
              <w:tab/>
            </w:r>
            <w:r>
              <w:rPr>
                <w:rFonts w:ascii="Century" w:eastAsia="Century"/>
                <w:sz w:val="20"/>
                <w:lang w:eastAsia="ja-JP"/>
              </w:rPr>
              <w:t>8</w:t>
            </w:r>
          </w:hyperlink>
        </w:p>
        <w:p w:rsidR="00EC7B3E" w:rsidRDefault="00EC7B3E" w:rsidP="00EC7B3E">
          <w:pPr>
            <w:pStyle w:val="30"/>
            <w:widowControl w:val="0"/>
            <w:numPr>
              <w:ilvl w:val="1"/>
              <w:numId w:val="22"/>
            </w:numPr>
            <w:tabs>
              <w:tab w:val="left" w:pos="975"/>
              <w:tab w:val="left" w:pos="976"/>
              <w:tab w:val="right" w:leader="dot" w:pos="9266"/>
            </w:tabs>
            <w:autoSpaceDE w:val="0"/>
            <w:autoSpaceDN w:val="0"/>
            <w:spacing w:before="50" w:after="0"/>
            <w:ind w:leftChars="0" w:hanging="554"/>
            <w:rPr>
              <w:rFonts w:ascii="Century" w:eastAsia="Century"/>
              <w:sz w:val="20"/>
              <w:lang w:eastAsia="ja-JP"/>
            </w:rPr>
          </w:pPr>
          <w:hyperlink w:anchor="_TOC_250001" w:history="1">
            <w:r>
              <w:rPr>
                <w:lang w:eastAsia="ja-JP"/>
              </w:rPr>
              <w:t>独占禁止法による解決</w:t>
            </w:r>
            <w:r>
              <w:rPr>
                <w:lang w:eastAsia="ja-JP"/>
              </w:rPr>
              <w:tab/>
            </w:r>
            <w:r>
              <w:rPr>
                <w:rFonts w:ascii="Century" w:eastAsia="Century"/>
                <w:sz w:val="20"/>
                <w:lang w:eastAsia="ja-JP"/>
              </w:rPr>
              <w:t>9</w:t>
            </w:r>
          </w:hyperlink>
        </w:p>
        <w:p w:rsidR="00EC7B3E" w:rsidRDefault="00EC7B3E" w:rsidP="00EC7B3E">
          <w:pPr>
            <w:pStyle w:val="20"/>
            <w:widowControl w:val="0"/>
            <w:numPr>
              <w:ilvl w:val="0"/>
              <w:numId w:val="22"/>
            </w:numPr>
            <w:tabs>
              <w:tab w:val="left" w:pos="975"/>
              <w:tab w:val="left" w:pos="976"/>
              <w:tab w:val="right" w:pos="9266"/>
            </w:tabs>
            <w:autoSpaceDE w:val="0"/>
            <w:autoSpaceDN w:val="0"/>
            <w:spacing w:before="246" w:after="0"/>
            <w:ind w:leftChars="0" w:hanging="738"/>
            <w:rPr>
              <w:rFonts w:ascii="Tahoma" w:eastAsia="Tahoma"/>
              <w:b/>
              <w:i/>
              <w:sz w:val="20"/>
            </w:rPr>
          </w:pPr>
          <w:hyperlink w:anchor="_TOC_250000" w:history="1">
            <w:r>
              <w:rPr>
                <w:sz w:val="18"/>
              </w:rPr>
              <w:t>まとめ</w:t>
            </w:r>
            <w:r>
              <w:rPr>
                <w:sz w:val="18"/>
              </w:rPr>
              <w:tab/>
            </w:r>
            <w:r>
              <w:rPr>
                <w:rFonts w:ascii="Tahoma" w:eastAsia="Tahoma"/>
                <w:sz w:val="20"/>
              </w:rPr>
              <w:t>10</w:t>
            </w:r>
          </w:hyperlink>
        </w:p>
      </w:sdtContent>
    </w:sdt>
    <w:p w:rsidR="00EC7B3E" w:rsidRDefault="00EC7B3E" w:rsidP="00EC7B3E">
      <w:pPr>
        <w:rPr>
          <w:rFonts w:ascii="Tahoma" w:eastAsia="Tahoma"/>
          <w:sz w:val="20"/>
        </w:rPr>
        <w:sectPr w:rsidR="00EC7B3E" w:rsidSect="00EC7B3E">
          <w:footerReference w:type="default" r:id="rId8"/>
          <w:pgSz w:w="11910" w:h="16840"/>
          <w:pgMar w:top="1580" w:right="1200" w:bottom="1760" w:left="1200" w:header="720" w:footer="1560" w:gutter="0"/>
          <w:pgNumType w:start="1"/>
          <w:cols w:space="720"/>
        </w:sectPr>
      </w:pPr>
    </w:p>
    <w:p w:rsidR="00B84B15" w:rsidRDefault="00B84B15" w:rsidP="00EC7B3E">
      <w:pPr>
        <w:pStyle w:val="1"/>
        <w:keepNext w:val="0"/>
        <w:keepLines w:val="0"/>
        <w:widowControl w:val="0"/>
        <w:numPr>
          <w:ilvl w:val="0"/>
          <w:numId w:val="3"/>
        </w:numPr>
        <w:tabs>
          <w:tab w:val="left" w:pos="666"/>
          <w:tab w:val="left" w:pos="667"/>
        </w:tabs>
        <w:autoSpaceDE w:val="0"/>
        <w:autoSpaceDN w:val="0"/>
        <w:spacing w:before="349"/>
      </w:pPr>
      <w:bookmarkStart w:id="1" w:name="_Hlk60342501"/>
      <w:bookmarkEnd w:id="0"/>
      <w:proofErr w:type="spellStart"/>
      <w:r>
        <w:lastRenderedPageBreak/>
        <w:t>はじめに</w:t>
      </w:r>
      <w:proofErr w:type="spellEnd"/>
    </w:p>
    <w:p w:rsidR="00B84B15" w:rsidRPr="00B84B15" w:rsidRDefault="00B84B15" w:rsidP="00B84B15">
      <w:pPr>
        <w:pStyle w:val="2"/>
        <w:keepNext w:val="0"/>
        <w:keepLines w:val="0"/>
        <w:widowControl w:val="0"/>
        <w:numPr>
          <w:ilvl w:val="1"/>
          <w:numId w:val="3"/>
        </w:numPr>
        <w:tabs>
          <w:tab w:val="left" w:pos="776"/>
          <w:tab w:val="left" w:pos="778"/>
        </w:tabs>
        <w:autoSpaceDE w:val="0"/>
        <w:autoSpaceDN w:val="0"/>
        <w:spacing w:before="194"/>
        <w:rPr>
          <w:rFonts w:hint="eastAsia"/>
        </w:rPr>
      </w:pPr>
      <w:bookmarkStart w:id="2" w:name="_TOC_250012"/>
      <w:bookmarkEnd w:id="2"/>
      <w:proofErr w:type="spellStart"/>
      <w:r>
        <w:t>問題の所在</w:t>
      </w:r>
      <w:bookmarkEnd w:id="1"/>
      <w:proofErr w:type="spellEnd"/>
    </w:p>
    <w:p w:rsidR="007101D0" w:rsidRDefault="00C2699F" w:rsidP="007101D0">
      <w:pPr>
        <w:pStyle w:val="FirstParagraph"/>
        <w:ind w:firstLine="210"/>
        <w:rPr>
          <w:lang w:eastAsia="ja-JP"/>
        </w:rPr>
      </w:pPr>
      <w:r>
        <w:rPr>
          <w:lang w:eastAsia="ja-JP"/>
        </w:rPr>
        <w:t>データは「</w:t>
      </w:r>
      <w:r>
        <w:rPr>
          <w:lang w:eastAsia="ja-JP"/>
        </w:rPr>
        <w:t>21</w:t>
      </w:r>
      <w:r>
        <w:rPr>
          <w:lang w:eastAsia="ja-JP"/>
        </w:rPr>
        <w:t>世紀の石油」と呼ばれているほど、データの利活用の需要が高まっている。一方でデータが大量に流通し、また収集されることで当然プライバシーの侵害のリスクは高まる。そのため、現代におけるプライバシー保護は大変重要である。</w:t>
      </w:r>
    </w:p>
    <w:p w:rsidR="007101D0" w:rsidRDefault="00C2699F" w:rsidP="007101D0">
      <w:pPr>
        <w:pStyle w:val="FirstParagraph"/>
        <w:ind w:firstLine="210"/>
        <w:rPr>
          <w:lang w:eastAsia="ja-JP"/>
        </w:rPr>
      </w:pPr>
      <w:r>
        <w:rPr>
          <w:lang w:eastAsia="ja-JP"/>
        </w:rPr>
        <w:t>データを利活用しようとする事業者と個人のプライバシー権は対立すると思われがちだが、双方に利益があるという考え方もある。カナダのアン・カブキアン博士が提案したプライバシーの取扱いに関する基本的な考え方であるプライバシー・バイ・デザインの原則４によると、「プライバシー保護はゼロサムで</w:t>
      </w:r>
      <w:r>
        <w:rPr>
          <w:lang w:eastAsia="ja-JP"/>
        </w:rPr>
        <w:t>はなくポジティブサムである」とある。これは、プライバシー漏洩などにより、事業者の評価が落ちて客離れを招くといった可能性を考えると、プライバシー保護対策は事業者と個人双方に利益があるという意味である</w:t>
      </w:r>
      <w:r>
        <w:rPr>
          <w:rStyle w:val="ac"/>
        </w:rPr>
        <w:footnoteReference w:id="1"/>
      </w:r>
      <w:r>
        <w:rPr>
          <w:lang w:eastAsia="ja-JP"/>
        </w:rPr>
        <w:t>。</w:t>
      </w:r>
    </w:p>
    <w:p w:rsidR="007101D0" w:rsidRDefault="00C2699F" w:rsidP="007101D0">
      <w:pPr>
        <w:pStyle w:val="FirstParagraph"/>
        <w:ind w:firstLine="210"/>
        <w:rPr>
          <w:lang w:eastAsia="ja-JP"/>
        </w:rPr>
      </w:pPr>
      <w:r>
        <w:rPr>
          <w:lang w:eastAsia="ja-JP"/>
        </w:rPr>
        <w:t>また、現実問題として、日本のプライバシー保護の水準が低いと、他国が個人情報の取引に応じてくれなくなるといった問題がある。実際に、</w:t>
      </w:r>
      <w:r>
        <w:rPr>
          <w:lang w:eastAsia="ja-JP"/>
        </w:rPr>
        <w:t>2018</w:t>
      </w:r>
      <w:r>
        <w:rPr>
          <w:lang w:eastAsia="ja-JP"/>
        </w:rPr>
        <w:t>年に日本が、</w:t>
      </w:r>
      <w:r>
        <w:rPr>
          <w:lang w:eastAsia="ja-JP"/>
        </w:rPr>
        <w:t>EU</w:t>
      </w:r>
      <w:r>
        <w:rPr>
          <w:lang w:eastAsia="ja-JP"/>
        </w:rPr>
        <w:t>一般データ保護規則（</w:t>
      </w:r>
      <w:r>
        <w:rPr>
          <w:lang w:eastAsia="ja-JP"/>
        </w:rPr>
        <w:t xml:space="preserve">General Data Protection Regulation. </w:t>
      </w:r>
      <w:r>
        <w:rPr>
          <w:lang w:eastAsia="ja-JP"/>
        </w:rPr>
        <w:t>日本の個人情報保護法にあたるものである。以下</w:t>
      </w:r>
      <w:r>
        <w:rPr>
          <w:lang w:eastAsia="ja-JP"/>
        </w:rPr>
        <w:t>GDPR</w:t>
      </w:r>
      <w:r>
        <w:rPr>
          <w:lang w:eastAsia="ja-JP"/>
        </w:rPr>
        <w:t>と略。）</w:t>
      </w:r>
      <w:r>
        <w:rPr>
          <w:lang w:eastAsia="ja-JP"/>
        </w:rPr>
        <w:t>45</w:t>
      </w:r>
      <w:r>
        <w:rPr>
          <w:lang w:eastAsia="ja-JP"/>
        </w:rPr>
        <w:t>条に基づく十分性認定を受けるまでは、日本は</w:t>
      </w:r>
      <w:r>
        <w:rPr>
          <w:lang w:eastAsia="ja-JP"/>
        </w:rPr>
        <w:t>EU</w:t>
      </w:r>
      <w:r>
        <w:rPr>
          <w:lang w:eastAsia="ja-JP"/>
        </w:rPr>
        <w:t>と個人情報のやり取りができなかった。</w:t>
      </w:r>
    </w:p>
    <w:p w:rsidR="00983EF9" w:rsidRDefault="00C2699F" w:rsidP="007101D0">
      <w:pPr>
        <w:pStyle w:val="FirstParagraph"/>
        <w:ind w:firstLine="210"/>
        <w:rPr>
          <w:lang w:eastAsia="ja-JP"/>
        </w:rPr>
      </w:pPr>
      <w:r>
        <w:rPr>
          <w:lang w:eastAsia="ja-JP"/>
        </w:rPr>
        <w:t>以上のようにプライバシー保護をないがしろにすることで、むしろデータの利活用を阻害することもある。そのため、プライバシー保護は人権の観点からもデータの利活用の観点からも重要である</w:t>
      </w:r>
    </w:p>
    <w:p w:rsidR="00B84B15" w:rsidRPr="00B84B15" w:rsidRDefault="00B84B15" w:rsidP="00B84B15">
      <w:pPr>
        <w:pStyle w:val="2"/>
        <w:keepNext w:val="0"/>
        <w:keepLines w:val="0"/>
        <w:widowControl w:val="0"/>
        <w:numPr>
          <w:ilvl w:val="1"/>
          <w:numId w:val="4"/>
        </w:numPr>
        <w:tabs>
          <w:tab w:val="left" w:pos="776"/>
          <w:tab w:val="left" w:pos="778"/>
        </w:tabs>
        <w:autoSpaceDE w:val="0"/>
        <w:autoSpaceDN w:val="0"/>
        <w:spacing w:before="1"/>
        <w:rPr>
          <w:rFonts w:hint="eastAsia"/>
        </w:rPr>
      </w:pPr>
      <w:proofErr w:type="spellStart"/>
      <w:r>
        <w:t>本レポートの構成</w:t>
      </w:r>
      <w:proofErr w:type="spellEnd"/>
    </w:p>
    <w:p w:rsidR="00983EF9" w:rsidRDefault="00C2699F">
      <w:pPr>
        <w:pStyle w:val="FirstParagraph"/>
        <w:ind w:firstLine="210"/>
        <w:rPr>
          <w:lang w:eastAsia="ja-JP"/>
        </w:rPr>
      </w:pPr>
      <w:r>
        <w:rPr>
          <w:lang w:eastAsia="ja-JP"/>
        </w:rPr>
        <w:t>以</w:t>
      </w:r>
      <w:r>
        <w:rPr>
          <w:lang w:eastAsia="ja-JP"/>
        </w:rPr>
        <w:t>上のように重要であるプライバシー保護であるが、本レポートでは日本のプライバシー保護法制について検討していきたい。そのため、第２章ではまず、そもそもプライバシーとは何であるかということを考察する。そして第３章では、日本においてプライ</w:t>
      </w:r>
      <w:r>
        <w:rPr>
          <w:lang w:eastAsia="ja-JP"/>
        </w:rPr>
        <w:t>バシーを保護する法である、個人情報の保護に関する法律（以下個人情報保護法）の問題点を検討する。その際、世界的に進んでいる</w:t>
      </w:r>
      <w:r>
        <w:rPr>
          <w:lang w:eastAsia="ja-JP"/>
        </w:rPr>
        <w:t>EU</w:t>
      </w:r>
      <w:r>
        <w:rPr>
          <w:lang w:eastAsia="ja-JP"/>
        </w:rPr>
        <w:t>の</w:t>
      </w:r>
      <w:r>
        <w:rPr>
          <w:lang w:eastAsia="ja-JP"/>
        </w:rPr>
        <w:t>GDPR</w:t>
      </w:r>
      <w:r>
        <w:rPr>
          <w:lang w:eastAsia="ja-JP"/>
        </w:rPr>
        <w:t>との比較を取り入れる。最後に第４章では、日本の個人情報保護法の大きな問題点の１つである、同意の条件について、現行法によりできる限りプライバシーを保護する方法がないか模索する。</w:t>
      </w:r>
    </w:p>
    <w:p w:rsidR="00B84B15" w:rsidRDefault="00B84B15" w:rsidP="00C219C5">
      <w:pPr>
        <w:pStyle w:val="1"/>
        <w:keepNext w:val="0"/>
        <w:keepLines w:val="0"/>
        <w:widowControl w:val="0"/>
        <w:numPr>
          <w:ilvl w:val="0"/>
          <w:numId w:val="4"/>
        </w:numPr>
        <w:tabs>
          <w:tab w:val="left" w:pos="666"/>
          <w:tab w:val="left" w:pos="667"/>
        </w:tabs>
        <w:autoSpaceDE w:val="0"/>
        <w:autoSpaceDN w:val="0"/>
        <w:spacing w:before="0"/>
        <w:rPr>
          <w:rFonts w:hint="eastAsia"/>
        </w:rPr>
      </w:pPr>
      <w:proofErr w:type="spellStart"/>
      <w:r>
        <w:t>プライバシーとは何か</w:t>
      </w:r>
      <w:proofErr w:type="spellEnd"/>
    </w:p>
    <w:p w:rsidR="00983EF9" w:rsidRDefault="00C2699F">
      <w:pPr>
        <w:pStyle w:val="FirstParagraph"/>
        <w:ind w:firstLine="210"/>
        <w:rPr>
          <w:lang w:eastAsia="ja-JP"/>
        </w:rPr>
      </w:pPr>
      <w:r>
        <w:rPr>
          <w:lang w:eastAsia="ja-JP"/>
        </w:rPr>
        <w:t>そ</w:t>
      </w:r>
      <w:r>
        <w:rPr>
          <w:lang w:eastAsia="ja-JP"/>
        </w:rPr>
        <w:t>もそもプライバシーとは何かということをはっきりさせないとプライバシー保護のためにどのような法制度が必要なのか見えてこない。そのため、この章ではプライバシーとは何かということを検討</w:t>
      </w:r>
      <w:r>
        <w:rPr>
          <w:lang w:eastAsia="ja-JP"/>
        </w:rPr>
        <w:t>する。第１節ではプライバシーの定義として有名な、佐藤幸治の「自己情報コントロール権」と、それを発展させた山本龍彦の「第３期プライバシー権論」に触れる。第２</w:t>
      </w:r>
      <w:r>
        <w:rPr>
          <w:lang w:eastAsia="ja-JP"/>
        </w:rPr>
        <w:lastRenderedPageBreak/>
        <w:t>節ではこれらと少し違う方向から論じる「情報自己決定権」について述べ、第３節ではプライバシーの定義として、情報自己決定権の方が説得的であることを論じる。</w:t>
      </w:r>
    </w:p>
    <w:p w:rsidR="00EC7B3E" w:rsidRPr="00EC7B3E" w:rsidRDefault="00EC7B3E" w:rsidP="00EC7B3E">
      <w:pPr>
        <w:pStyle w:val="af3"/>
        <w:numPr>
          <w:ilvl w:val="0"/>
          <w:numId w:val="21"/>
        </w:numPr>
        <w:tabs>
          <w:tab w:val="left" w:pos="776"/>
          <w:tab w:val="left" w:pos="778"/>
        </w:tabs>
        <w:spacing w:before="148"/>
        <w:outlineLvl w:val="1"/>
        <w:rPr>
          <w:rFonts w:asciiTheme="majorHAnsi" w:hAnsiTheme="majorHAnsi" w:cstheme="majorBidi"/>
          <w:bCs/>
          <w:vanish/>
          <w:sz w:val="24"/>
          <w:szCs w:val="32"/>
        </w:rPr>
      </w:pPr>
    </w:p>
    <w:p w:rsidR="00EC7B3E" w:rsidRPr="00EC7B3E" w:rsidRDefault="00EC7B3E" w:rsidP="00EC7B3E">
      <w:pPr>
        <w:pStyle w:val="af3"/>
        <w:numPr>
          <w:ilvl w:val="0"/>
          <w:numId w:val="21"/>
        </w:numPr>
        <w:tabs>
          <w:tab w:val="left" w:pos="776"/>
          <w:tab w:val="left" w:pos="778"/>
        </w:tabs>
        <w:spacing w:before="148"/>
        <w:outlineLvl w:val="1"/>
        <w:rPr>
          <w:rFonts w:asciiTheme="majorHAnsi" w:hAnsiTheme="majorHAnsi" w:cstheme="majorBidi"/>
          <w:bCs/>
          <w:vanish/>
          <w:sz w:val="24"/>
          <w:szCs w:val="32"/>
        </w:rPr>
      </w:pPr>
    </w:p>
    <w:p w:rsidR="00C219C5" w:rsidRDefault="00C219C5" w:rsidP="00EC7B3E">
      <w:pPr>
        <w:pStyle w:val="2"/>
        <w:keepNext w:val="0"/>
        <w:keepLines w:val="0"/>
        <w:widowControl w:val="0"/>
        <w:numPr>
          <w:ilvl w:val="1"/>
          <w:numId w:val="21"/>
        </w:numPr>
        <w:tabs>
          <w:tab w:val="left" w:pos="776"/>
          <w:tab w:val="left" w:pos="778"/>
        </w:tabs>
        <w:autoSpaceDE w:val="0"/>
        <w:autoSpaceDN w:val="0"/>
        <w:spacing w:before="148"/>
        <w:rPr>
          <w:lang w:eastAsia="ja-JP"/>
        </w:rPr>
      </w:pPr>
      <w:r>
        <w:rPr>
          <w:lang w:eastAsia="ja-JP"/>
        </w:rPr>
        <w:t>自己情報コントロール権</w:t>
      </w:r>
    </w:p>
    <w:p w:rsidR="00C219C5" w:rsidRPr="0027270F" w:rsidRDefault="00C219C5" w:rsidP="00EC7B3E">
      <w:pPr>
        <w:pStyle w:val="af3"/>
        <w:numPr>
          <w:ilvl w:val="2"/>
          <w:numId w:val="21"/>
        </w:numPr>
        <w:tabs>
          <w:tab w:val="left" w:pos="848"/>
        </w:tabs>
        <w:spacing w:before="213"/>
        <w:ind w:hanging="610"/>
        <w:rPr>
          <w:szCs w:val="21"/>
        </w:rPr>
      </w:pPr>
      <w:r w:rsidRPr="0027270F">
        <w:rPr>
          <w:szCs w:val="21"/>
        </w:rPr>
        <w:t>佐藤幸治の自己情報コントロール権</w:t>
      </w:r>
    </w:p>
    <w:p w:rsidR="007101D0" w:rsidRDefault="00C2699F">
      <w:pPr>
        <w:pStyle w:val="FirstParagraph"/>
        <w:ind w:firstLine="210"/>
        <w:rPr>
          <w:lang w:eastAsia="ja-JP"/>
        </w:rPr>
      </w:pPr>
      <w:r>
        <w:rPr>
          <w:lang w:eastAsia="ja-JP"/>
        </w:rPr>
        <w:t>佐</w:t>
      </w:r>
      <w:r>
        <w:rPr>
          <w:lang w:eastAsia="ja-JP"/>
        </w:rPr>
        <w:t>藤幸治はプライバシー権を、「個人が道徳的自律の存在として、自ら善であると判断する目的を追求して、他者とコミュニケートし、自己の存在にかかわる情報を</w:t>
      </w:r>
      <w:r>
        <w:rPr>
          <w:lang w:eastAsia="ja-JP"/>
        </w:rPr>
        <w:t>開示する範囲を選択できる権利」と捉える。そして、個人の道徳的自律の存在にかかわる情報である、「プライバシー固有情報」と、個人の道徳的自律の存在に直接かかわらない外的事項に関する個別的情報である、「プライバシー外延情報」とに分け、前者の利用ないし対外的開示は原則的に禁止とする一方で、後者は適正な方法を通じて取得・保有・利用しても、直ちにはプライバシーの権利を侵害したとはいえないとする</w:t>
      </w:r>
      <w:r>
        <w:rPr>
          <w:rStyle w:val="ac"/>
        </w:rPr>
        <w:footnoteReference w:id="2"/>
      </w:r>
      <w:r>
        <w:rPr>
          <w:lang w:eastAsia="ja-JP"/>
        </w:rPr>
        <w:t>。</w:t>
      </w:r>
    </w:p>
    <w:p w:rsidR="00983EF9" w:rsidRDefault="00C2699F">
      <w:pPr>
        <w:pStyle w:val="FirstParagraph"/>
        <w:ind w:firstLine="210"/>
        <w:rPr>
          <w:lang w:eastAsia="ja-JP"/>
        </w:rPr>
      </w:pPr>
      <w:r>
        <w:rPr>
          <w:lang w:eastAsia="ja-JP"/>
        </w:rPr>
        <w:t>しかしながら、山本龍彦はこの考えでは、情報の連結可能性・検索可能性・解析可能性等を飛躍的に高めるデータベースが登場した現代</w:t>
      </w:r>
      <w:r>
        <w:rPr>
          <w:lang w:eastAsia="ja-JP"/>
        </w:rPr>
        <w:t>におけるプライバシーの問題を解決できないとし</w:t>
      </w:r>
      <w:r>
        <w:rPr>
          <w:rStyle w:val="ac"/>
        </w:rPr>
        <w:footnoteReference w:id="3"/>
      </w:r>
      <w:r>
        <w:rPr>
          <w:lang w:eastAsia="ja-JP"/>
        </w:rPr>
        <w:t>、自己情報コントロール権をさらに発展させた第３期プライバシー権論を主張している。</w:t>
      </w:r>
    </w:p>
    <w:p w:rsidR="00C219C5" w:rsidRPr="0027270F" w:rsidRDefault="00C219C5" w:rsidP="00EC7B3E">
      <w:pPr>
        <w:pStyle w:val="af3"/>
        <w:numPr>
          <w:ilvl w:val="2"/>
          <w:numId w:val="21"/>
        </w:numPr>
        <w:tabs>
          <w:tab w:val="left" w:pos="848"/>
        </w:tabs>
        <w:spacing w:before="1"/>
        <w:ind w:hanging="610"/>
        <w:rPr>
          <w:rFonts w:hint="eastAsia"/>
          <w:szCs w:val="21"/>
        </w:rPr>
      </w:pPr>
      <w:r w:rsidRPr="0027270F">
        <w:rPr>
          <w:szCs w:val="21"/>
        </w:rPr>
        <w:t>第３期プライバシー権論</w:t>
      </w:r>
    </w:p>
    <w:p w:rsidR="00983EF9" w:rsidRDefault="00C2699F">
      <w:pPr>
        <w:pStyle w:val="FirstParagraph"/>
        <w:ind w:firstLine="210"/>
        <w:rPr>
          <w:lang w:eastAsia="ja-JP"/>
        </w:rPr>
      </w:pPr>
      <w:r>
        <w:rPr>
          <w:lang w:eastAsia="ja-JP"/>
        </w:rPr>
        <w:t>山</w:t>
      </w:r>
      <w:r>
        <w:rPr>
          <w:lang w:eastAsia="ja-JP"/>
        </w:rPr>
        <w:t>本龍彦は個人情報を取り扱うシステム構造が適切でない限り、濫用や漏洩の不安がつきまとうという危機感から、第３期プライバシー権論を主張している。これは、従来の自己情報コントロール権（山本はこれを第２期プライバシー権と呼ぶ。）の自己決定的要素を重視しつつも、個人情報を取り扱うシステム構造の適切さや堅牢さがなければ、プライバシーが保護されているとは言えないという</w:t>
      </w:r>
      <w:r>
        <w:rPr>
          <w:lang w:eastAsia="ja-JP"/>
        </w:rPr>
        <w:t>理論である。この理論の特徴としては、以下の２点である。１つ目は、プライバシー外延情報の収集であっても、濫用等の危険がないことが担保された「構造」が備わっていない限り、プライバシーを不当に侵害するものと評価されるという点である。このように評価されないためには、たとえば個人情報の漏洩等が刑罰によって禁止されているといった必要がある。２つ目は、外延情報を結合するなどして固有情報を推知するといったことがないように、外延情報を外延情報にとどめておく構造がなければ、外延情報も広く自己決定の対象とすべきとする点である。そ</w:t>
      </w:r>
      <w:r>
        <w:rPr>
          <w:lang w:eastAsia="ja-JP"/>
        </w:rPr>
        <w:t>のため、たとえば外延情報の結合を禁止する構造が要求される</w:t>
      </w:r>
      <w:r>
        <w:rPr>
          <w:rStyle w:val="ac"/>
        </w:rPr>
        <w:footnoteReference w:id="4"/>
      </w:r>
      <w:r>
        <w:rPr>
          <w:lang w:eastAsia="ja-JP"/>
        </w:rPr>
        <w:t>。</w:t>
      </w:r>
    </w:p>
    <w:p w:rsidR="0027270F" w:rsidRDefault="0027270F" w:rsidP="0027270F">
      <w:pPr>
        <w:pStyle w:val="a0"/>
        <w:rPr>
          <w:lang w:eastAsia="ja-JP"/>
        </w:rPr>
      </w:pPr>
    </w:p>
    <w:p w:rsidR="0027270F" w:rsidRPr="0027270F" w:rsidRDefault="0027270F" w:rsidP="0027270F">
      <w:pPr>
        <w:pStyle w:val="a0"/>
        <w:rPr>
          <w:rFonts w:hint="eastAsia"/>
          <w:lang w:eastAsia="ja-JP"/>
        </w:rPr>
      </w:pPr>
    </w:p>
    <w:p w:rsidR="00EC7B3E" w:rsidRPr="00EC7B3E" w:rsidRDefault="00EC7B3E" w:rsidP="00EC7B3E">
      <w:pPr>
        <w:pStyle w:val="af3"/>
        <w:numPr>
          <w:ilvl w:val="0"/>
          <w:numId w:val="7"/>
        </w:numPr>
        <w:tabs>
          <w:tab w:val="left" w:pos="776"/>
          <w:tab w:val="left" w:pos="778"/>
        </w:tabs>
        <w:outlineLvl w:val="1"/>
        <w:rPr>
          <w:rFonts w:asciiTheme="majorHAnsi" w:hAnsiTheme="majorHAnsi" w:cstheme="majorBidi"/>
          <w:bCs/>
          <w:vanish/>
          <w:sz w:val="24"/>
          <w:szCs w:val="32"/>
          <w:lang w:eastAsia="en-US"/>
        </w:rPr>
      </w:pPr>
    </w:p>
    <w:p w:rsidR="00EC7B3E" w:rsidRPr="00EC7B3E" w:rsidRDefault="00EC7B3E" w:rsidP="00EC7B3E">
      <w:pPr>
        <w:pStyle w:val="af3"/>
        <w:numPr>
          <w:ilvl w:val="0"/>
          <w:numId w:val="7"/>
        </w:numPr>
        <w:tabs>
          <w:tab w:val="left" w:pos="776"/>
          <w:tab w:val="left" w:pos="778"/>
        </w:tabs>
        <w:outlineLvl w:val="1"/>
        <w:rPr>
          <w:rFonts w:asciiTheme="majorHAnsi" w:hAnsiTheme="majorHAnsi" w:cstheme="majorBidi"/>
          <w:bCs/>
          <w:vanish/>
          <w:sz w:val="24"/>
          <w:szCs w:val="32"/>
          <w:lang w:eastAsia="en-US"/>
        </w:rPr>
      </w:pPr>
    </w:p>
    <w:p w:rsidR="00EC7B3E" w:rsidRPr="00EC7B3E" w:rsidRDefault="00EC7B3E" w:rsidP="00EC7B3E">
      <w:pPr>
        <w:pStyle w:val="af3"/>
        <w:numPr>
          <w:ilvl w:val="1"/>
          <w:numId w:val="7"/>
        </w:numPr>
        <w:tabs>
          <w:tab w:val="left" w:pos="776"/>
          <w:tab w:val="left" w:pos="778"/>
        </w:tabs>
        <w:outlineLvl w:val="1"/>
        <w:rPr>
          <w:rFonts w:asciiTheme="majorHAnsi" w:hAnsiTheme="majorHAnsi" w:cstheme="majorBidi"/>
          <w:bCs/>
          <w:vanish/>
          <w:sz w:val="24"/>
          <w:szCs w:val="32"/>
          <w:lang w:eastAsia="en-US"/>
        </w:rPr>
      </w:pPr>
    </w:p>
    <w:p w:rsidR="00C219C5" w:rsidRDefault="00C219C5" w:rsidP="00EC7B3E">
      <w:pPr>
        <w:pStyle w:val="2"/>
        <w:keepNext w:val="0"/>
        <w:keepLines w:val="0"/>
        <w:widowControl w:val="0"/>
        <w:numPr>
          <w:ilvl w:val="1"/>
          <w:numId w:val="7"/>
        </w:numPr>
        <w:tabs>
          <w:tab w:val="left" w:pos="776"/>
          <w:tab w:val="left" w:pos="778"/>
        </w:tabs>
        <w:autoSpaceDE w:val="0"/>
        <w:autoSpaceDN w:val="0"/>
        <w:spacing w:before="0"/>
        <w:rPr>
          <w:rFonts w:hint="eastAsia"/>
        </w:rPr>
      </w:pPr>
      <w:proofErr w:type="spellStart"/>
      <w:r>
        <w:t>情報自己決定権</w:t>
      </w:r>
      <w:proofErr w:type="spellEnd"/>
    </w:p>
    <w:p w:rsidR="00983EF9" w:rsidRDefault="00C2699F">
      <w:pPr>
        <w:pStyle w:val="FirstParagraph"/>
        <w:ind w:firstLine="210"/>
        <w:rPr>
          <w:lang w:eastAsia="ja-JP"/>
        </w:rPr>
      </w:pPr>
      <w:r>
        <w:rPr>
          <w:lang w:eastAsia="ja-JP"/>
        </w:rPr>
        <w:t>第</w:t>
      </w:r>
      <w:r>
        <w:rPr>
          <w:lang w:eastAsia="ja-JP"/>
        </w:rPr>
        <w:t>３期プライバシー権論と同じ問題意識の元、データの結合等により複数の単純情報からセンシティブな情報が推知されるといった濫用リスクに対処しようとする考え方として、ドイツでは情報自己決定権という考え方が判例上確立されている。判例では、「自己の個人情報の放棄および利用を自身で決定する権利」と定義されている。情報自己決定権の最大の特徴は、プライバシー固有情報とプライバシー外延情報を区別しないため、単純な個人情報の保護が手厚いという点であ</w:t>
      </w:r>
      <w:r>
        <w:rPr>
          <w:lang w:eastAsia="ja-JP"/>
        </w:rPr>
        <w:t>る。ドイツ基本法２条１項の「自己の人格を自由に発展させる権利」と１条の「人間の尊厳」から情報自己決定権を導き出しているが、これが日本国憲法</w:t>
      </w:r>
      <w:r>
        <w:rPr>
          <w:lang w:eastAsia="ja-JP"/>
        </w:rPr>
        <w:t>13</w:t>
      </w:r>
      <w:r>
        <w:rPr>
          <w:lang w:eastAsia="ja-JP"/>
        </w:rPr>
        <w:t>条の幸福追求権の理論と似ているため、</w:t>
      </w:r>
      <w:r>
        <w:rPr>
          <w:lang w:eastAsia="ja-JP"/>
        </w:rPr>
        <w:t>13</w:t>
      </w:r>
      <w:r>
        <w:rPr>
          <w:lang w:eastAsia="ja-JP"/>
        </w:rPr>
        <w:t>条から同じく情報自己決定権を引き出せると考えられる</w:t>
      </w:r>
      <w:r>
        <w:rPr>
          <w:rStyle w:val="ac"/>
        </w:rPr>
        <w:footnoteReference w:id="5"/>
      </w:r>
      <w:r>
        <w:rPr>
          <w:lang w:eastAsia="ja-JP"/>
        </w:rPr>
        <w:t>。</w:t>
      </w:r>
    </w:p>
    <w:p w:rsidR="007101D0" w:rsidRPr="007101D0" w:rsidRDefault="00C2699F" w:rsidP="007101D0">
      <w:pPr>
        <w:pStyle w:val="FirstParagraph"/>
        <w:ind w:firstLine="210"/>
        <w:rPr>
          <w:rFonts w:hint="eastAsia"/>
          <w:lang w:eastAsia="ja-JP"/>
        </w:rPr>
      </w:pPr>
      <w:r>
        <w:rPr>
          <w:lang w:eastAsia="ja-JP"/>
        </w:rPr>
        <w:t>国勢調査判決では、</w:t>
      </w:r>
      <w:r w:rsidR="007101D0">
        <w:rPr>
          <w:lang w:eastAsia="ja-JP"/>
        </w:rPr>
        <w:br/>
      </w:r>
    </w:p>
    <w:p w:rsidR="007101D0" w:rsidRDefault="00C2699F" w:rsidP="007101D0">
      <w:pPr>
        <w:pStyle w:val="FirstParagraph"/>
        <w:ind w:leftChars="300" w:left="720" w:firstLine="210"/>
        <w:rPr>
          <w:lang w:eastAsia="ja-JP"/>
        </w:rPr>
      </w:pPr>
      <w:r>
        <w:rPr>
          <w:lang w:eastAsia="ja-JP"/>
        </w:rPr>
        <w:t>自己に関する情報が世間の一定領域の人々にどれだけ知られているかを十分な確実性をもって見通すことができない者、自己と通信する相手方の知識をある程度評価することができない者は、自己決定に基づいて計画し、決定する自由を本質的に制限されることがありうる。誰が、</w:t>
      </w:r>
      <w:r>
        <w:rPr>
          <w:lang w:eastAsia="ja-JP"/>
        </w:rPr>
        <w:t>何を、いつ、どの機会に自己について知ったのかを市民が知ることができない社会およびそれを可能とする法秩序は、自己情報決定権とは両立しないであろう。人と違った行動様式がいつでも記録され、情報として永続的に蓄積され、利用され、伝達されることに不安を感じている者は、そのような行動によって目立つことを避けようとするであろう。例えば、集会とか市民運動への参加が当局によって記録され、それによる危険がありうることを知っている者は、おそらくその基本権、例えば集会の自由、表現の自由を行使しないであろう。そのことは、ただ単に個人</w:t>
      </w:r>
      <w:r>
        <w:rPr>
          <w:lang w:eastAsia="ja-JP"/>
        </w:rPr>
        <w:t>の人格の発展を損なうだけではなくて、公益も損なう。なぜならば、市民が自己の判断に基づいて行動し、他人と協同する能力に基礎づけられた自己決定は、自由で民主的な共同体の基本的な機能条件だからだ。</w:t>
      </w:r>
    </w:p>
    <w:p w:rsidR="007D75C8" w:rsidRPr="007D75C8" w:rsidRDefault="00C2699F" w:rsidP="007D75C8">
      <w:pPr>
        <w:pStyle w:val="FirstParagraph"/>
        <w:ind w:leftChars="300" w:left="720" w:firstLine="210"/>
        <w:rPr>
          <w:rFonts w:hint="eastAsia"/>
          <w:lang w:eastAsia="ja-JP"/>
        </w:rPr>
      </w:pPr>
      <w:r>
        <w:rPr>
          <w:lang w:eastAsia="ja-JP"/>
        </w:rPr>
        <w:t>人格の自由な発展は、</w:t>
      </w:r>
      <w:r>
        <w:rPr>
          <w:lang w:eastAsia="ja-JP"/>
        </w:rPr>
        <w:t>…</w:t>
      </w:r>
      <w:r>
        <w:rPr>
          <w:lang w:eastAsia="ja-JP"/>
        </w:rPr>
        <w:t>個人情報の無制限な収集、蓄積、利用、伝達から個人を保護することが前提となっている。したがってこの保護は、基本法</w:t>
      </w:r>
      <w:r>
        <w:rPr>
          <w:lang w:eastAsia="ja-JP"/>
        </w:rPr>
        <w:t>1</w:t>
      </w:r>
      <w:r>
        <w:rPr>
          <w:lang w:eastAsia="ja-JP"/>
        </w:rPr>
        <w:t>条</w:t>
      </w:r>
      <w:r>
        <w:rPr>
          <w:lang w:eastAsia="ja-JP"/>
        </w:rPr>
        <w:t>1</w:t>
      </w:r>
      <w:r>
        <w:rPr>
          <w:lang w:eastAsia="ja-JP"/>
        </w:rPr>
        <w:t>項と結びついた</w:t>
      </w:r>
      <w:r>
        <w:rPr>
          <w:lang w:eastAsia="ja-JP"/>
        </w:rPr>
        <w:t>2</w:t>
      </w:r>
      <w:r>
        <w:rPr>
          <w:lang w:eastAsia="ja-JP"/>
        </w:rPr>
        <w:t>条</w:t>
      </w:r>
      <w:r>
        <w:rPr>
          <w:lang w:eastAsia="ja-JP"/>
        </w:rPr>
        <w:t>1</w:t>
      </w:r>
      <w:r>
        <w:rPr>
          <w:lang w:eastAsia="ja-JP"/>
        </w:rPr>
        <w:t>項の基本権（一般的人格権）に含まれる。この限りにおいて基本権は、原則として、自己の個人情報の放棄および利用を自身で決定する権利を保障している。</w:t>
      </w:r>
      <w:r>
        <w:rPr>
          <w:rStyle w:val="ac"/>
        </w:rPr>
        <w:footnoteReference w:id="6"/>
      </w:r>
    </w:p>
    <w:p w:rsidR="0027270F" w:rsidRDefault="0027270F" w:rsidP="007101D0">
      <w:pPr>
        <w:pStyle w:val="FirstParagraph"/>
        <w:ind w:leftChars="100" w:left="240" w:firstLineChars="0" w:firstLine="0"/>
        <w:rPr>
          <w:lang w:eastAsia="ja-JP"/>
        </w:rPr>
      </w:pPr>
    </w:p>
    <w:p w:rsidR="00983EF9" w:rsidRDefault="00C2699F" w:rsidP="007101D0">
      <w:pPr>
        <w:pStyle w:val="FirstParagraph"/>
        <w:ind w:leftChars="100" w:left="240" w:firstLineChars="0" w:firstLine="0"/>
        <w:rPr>
          <w:lang w:eastAsia="ja-JP"/>
        </w:rPr>
      </w:pPr>
      <w:r>
        <w:rPr>
          <w:lang w:eastAsia="ja-JP"/>
        </w:rPr>
        <w:t>と判示されてい</w:t>
      </w:r>
      <w:r>
        <w:rPr>
          <w:lang w:eastAsia="ja-JP"/>
        </w:rPr>
        <w:t>る。</w:t>
      </w:r>
    </w:p>
    <w:p w:rsidR="00983EF9" w:rsidRDefault="00C2699F" w:rsidP="007101D0">
      <w:pPr>
        <w:pStyle w:val="FirstParagraph"/>
        <w:ind w:firstLine="210"/>
        <w:rPr>
          <w:lang w:eastAsia="ja-JP"/>
        </w:rPr>
      </w:pPr>
      <w:r>
        <w:rPr>
          <w:lang w:eastAsia="ja-JP"/>
        </w:rPr>
        <w:t>以上のように、ドイツ連邦憲法裁判所は自己表現権から情報自己決定権を引き出した</w:t>
      </w:r>
      <w:r>
        <w:rPr>
          <w:rStyle w:val="ac"/>
        </w:rPr>
        <w:footnoteReference w:id="7"/>
      </w:r>
      <w:r>
        <w:rPr>
          <w:lang w:eastAsia="ja-JP"/>
        </w:rPr>
        <w:t>。自己表現権とは、他人に対して自分をどう表現するかを決定する、つまり社会や他人に対してどういう自己イメージを与えるかということを決定する権利である。人格権から導かれ、また</w:t>
      </w:r>
      <w:r>
        <w:rPr>
          <w:lang w:eastAsia="ja-JP"/>
        </w:rPr>
        <w:t>日</w:t>
      </w:r>
      <w:r>
        <w:rPr>
          <w:lang w:eastAsia="ja-JP"/>
        </w:rPr>
        <w:lastRenderedPageBreak/>
        <w:t>本の判例上も自己表現権は認められている</w:t>
      </w:r>
      <w:r>
        <w:rPr>
          <w:rStyle w:val="ac"/>
        </w:rPr>
        <w:footnoteReference w:id="8"/>
      </w:r>
      <w:r>
        <w:rPr>
          <w:lang w:eastAsia="ja-JP"/>
        </w:rPr>
        <w:t>ため、この理論は日本の憲法上も応用可能と思われる。</w:t>
      </w:r>
    </w:p>
    <w:p w:rsidR="00EC7B3E" w:rsidRPr="00EC7B3E" w:rsidRDefault="00EC7B3E" w:rsidP="00EC7B3E">
      <w:pPr>
        <w:pStyle w:val="af3"/>
        <w:numPr>
          <w:ilvl w:val="0"/>
          <w:numId w:val="8"/>
        </w:numPr>
        <w:tabs>
          <w:tab w:val="left" w:pos="776"/>
          <w:tab w:val="left" w:pos="778"/>
        </w:tabs>
        <w:outlineLvl w:val="1"/>
        <w:rPr>
          <w:rFonts w:asciiTheme="majorHAnsi" w:hAnsiTheme="majorHAnsi" w:cstheme="majorBidi"/>
          <w:bCs/>
          <w:vanish/>
          <w:sz w:val="24"/>
          <w:szCs w:val="32"/>
        </w:rPr>
      </w:pPr>
    </w:p>
    <w:p w:rsidR="00EC7B3E" w:rsidRPr="00EC7B3E" w:rsidRDefault="00EC7B3E" w:rsidP="00EC7B3E">
      <w:pPr>
        <w:pStyle w:val="af3"/>
        <w:numPr>
          <w:ilvl w:val="0"/>
          <w:numId w:val="8"/>
        </w:numPr>
        <w:tabs>
          <w:tab w:val="left" w:pos="776"/>
          <w:tab w:val="left" w:pos="778"/>
        </w:tabs>
        <w:outlineLvl w:val="1"/>
        <w:rPr>
          <w:rFonts w:asciiTheme="majorHAnsi" w:hAnsiTheme="majorHAnsi" w:cstheme="majorBidi"/>
          <w:bCs/>
          <w:vanish/>
          <w:sz w:val="24"/>
          <w:szCs w:val="32"/>
        </w:rPr>
      </w:pPr>
    </w:p>
    <w:p w:rsidR="00EC7B3E" w:rsidRPr="00EC7B3E" w:rsidRDefault="00EC7B3E" w:rsidP="00EC7B3E">
      <w:pPr>
        <w:pStyle w:val="af3"/>
        <w:numPr>
          <w:ilvl w:val="1"/>
          <w:numId w:val="8"/>
        </w:numPr>
        <w:tabs>
          <w:tab w:val="left" w:pos="776"/>
          <w:tab w:val="left" w:pos="778"/>
        </w:tabs>
        <w:outlineLvl w:val="1"/>
        <w:rPr>
          <w:rFonts w:asciiTheme="majorHAnsi" w:hAnsiTheme="majorHAnsi" w:cstheme="majorBidi"/>
          <w:bCs/>
          <w:vanish/>
          <w:sz w:val="24"/>
          <w:szCs w:val="32"/>
        </w:rPr>
      </w:pPr>
    </w:p>
    <w:p w:rsidR="00EC7B3E" w:rsidRPr="00EC7B3E" w:rsidRDefault="00EC7B3E" w:rsidP="00EC7B3E">
      <w:pPr>
        <w:pStyle w:val="af3"/>
        <w:numPr>
          <w:ilvl w:val="1"/>
          <w:numId w:val="8"/>
        </w:numPr>
        <w:tabs>
          <w:tab w:val="left" w:pos="776"/>
          <w:tab w:val="left" w:pos="778"/>
        </w:tabs>
        <w:outlineLvl w:val="1"/>
        <w:rPr>
          <w:rFonts w:asciiTheme="majorHAnsi" w:hAnsiTheme="majorHAnsi" w:cstheme="majorBidi"/>
          <w:bCs/>
          <w:vanish/>
          <w:sz w:val="24"/>
          <w:szCs w:val="32"/>
        </w:rPr>
      </w:pPr>
    </w:p>
    <w:p w:rsidR="00C219C5" w:rsidRDefault="00C219C5" w:rsidP="00EC7B3E">
      <w:pPr>
        <w:pStyle w:val="2"/>
        <w:keepNext w:val="0"/>
        <w:keepLines w:val="0"/>
        <w:widowControl w:val="0"/>
        <w:numPr>
          <w:ilvl w:val="1"/>
          <w:numId w:val="8"/>
        </w:numPr>
        <w:tabs>
          <w:tab w:val="left" w:pos="776"/>
          <w:tab w:val="left" w:pos="778"/>
        </w:tabs>
        <w:autoSpaceDE w:val="0"/>
        <w:autoSpaceDN w:val="0"/>
        <w:spacing w:before="0"/>
        <w:rPr>
          <w:lang w:eastAsia="ja-JP"/>
        </w:rPr>
      </w:pPr>
      <w:r>
        <w:rPr>
          <w:lang w:eastAsia="ja-JP"/>
        </w:rPr>
        <w:t>自己情報コントロール権と情報自己決定権の違い</w:t>
      </w:r>
    </w:p>
    <w:p w:rsidR="00C219C5" w:rsidRPr="0027270F" w:rsidRDefault="00C219C5" w:rsidP="00C219C5">
      <w:pPr>
        <w:pStyle w:val="af3"/>
        <w:numPr>
          <w:ilvl w:val="2"/>
          <w:numId w:val="8"/>
        </w:numPr>
        <w:tabs>
          <w:tab w:val="left" w:pos="848"/>
        </w:tabs>
        <w:spacing w:before="214"/>
        <w:ind w:hanging="610"/>
        <w:rPr>
          <w:szCs w:val="21"/>
        </w:rPr>
      </w:pPr>
      <w:r w:rsidRPr="0027270F">
        <w:rPr>
          <w:szCs w:val="21"/>
        </w:rPr>
        <w:t>社会権的側面を含むか否か</w:t>
      </w:r>
    </w:p>
    <w:p w:rsidR="00983EF9" w:rsidRDefault="00C2699F">
      <w:pPr>
        <w:pStyle w:val="FirstParagraph"/>
        <w:ind w:firstLine="210"/>
        <w:rPr>
          <w:lang w:eastAsia="ja-JP"/>
        </w:rPr>
      </w:pPr>
      <w:r>
        <w:rPr>
          <w:lang w:eastAsia="ja-JP"/>
        </w:rPr>
        <w:t>１</w:t>
      </w:r>
      <w:r>
        <w:rPr>
          <w:lang w:eastAsia="ja-JP"/>
        </w:rPr>
        <w:t>つ目の違いとして、自己情報コントロール権は自由権的側面と社会権的側面を含むのに対して、情報自己決定権は純粋に自由権として構成される。自己情報コントロール権では、自由権と社会権を包括するため、定義が抽象的理念的なものにならざるをえないという批判がある</w:t>
      </w:r>
      <w:r>
        <w:rPr>
          <w:rStyle w:val="ac"/>
        </w:rPr>
        <w:footnoteReference w:id="9"/>
      </w:r>
      <w:r>
        <w:rPr>
          <w:lang w:eastAsia="ja-JP"/>
        </w:rPr>
        <w:t>。</w:t>
      </w:r>
    </w:p>
    <w:p w:rsidR="00EC7B3E" w:rsidRPr="00EC7B3E" w:rsidRDefault="00EC7B3E" w:rsidP="00EC7B3E">
      <w:pPr>
        <w:pStyle w:val="af3"/>
        <w:numPr>
          <w:ilvl w:val="0"/>
          <w:numId w:val="9"/>
        </w:numPr>
        <w:tabs>
          <w:tab w:val="left" w:pos="848"/>
        </w:tabs>
        <w:spacing w:before="1"/>
        <w:rPr>
          <w:vanish/>
          <w:sz w:val="18"/>
        </w:rPr>
      </w:pPr>
    </w:p>
    <w:p w:rsidR="00EC7B3E" w:rsidRPr="00EC7B3E" w:rsidRDefault="00EC7B3E" w:rsidP="00EC7B3E">
      <w:pPr>
        <w:pStyle w:val="af3"/>
        <w:numPr>
          <w:ilvl w:val="0"/>
          <w:numId w:val="9"/>
        </w:numPr>
        <w:tabs>
          <w:tab w:val="left" w:pos="848"/>
        </w:tabs>
        <w:spacing w:before="1"/>
        <w:rPr>
          <w:vanish/>
          <w:sz w:val="18"/>
        </w:rPr>
      </w:pPr>
    </w:p>
    <w:p w:rsidR="00EC7B3E" w:rsidRPr="00EC7B3E" w:rsidRDefault="00EC7B3E" w:rsidP="00EC7B3E">
      <w:pPr>
        <w:pStyle w:val="af3"/>
        <w:numPr>
          <w:ilvl w:val="1"/>
          <w:numId w:val="9"/>
        </w:numPr>
        <w:tabs>
          <w:tab w:val="left" w:pos="848"/>
        </w:tabs>
        <w:spacing w:before="1"/>
        <w:rPr>
          <w:vanish/>
          <w:sz w:val="18"/>
        </w:rPr>
      </w:pPr>
    </w:p>
    <w:p w:rsidR="00EC7B3E" w:rsidRPr="00EC7B3E" w:rsidRDefault="00EC7B3E" w:rsidP="00EC7B3E">
      <w:pPr>
        <w:pStyle w:val="af3"/>
        <w:numPr>
          <w:ilvl w:val="1"/>
          <w:numId w:val="9"/>
        </w:numPr>
        <w:tabs>
          <w:tab w:val="left" w:pos="848"/>
        </w:tabs>
        <w:spacing w:before="1"/>
        <w:rPr>
          <w:vanish/>
          <w:sz w:val="18"/>
        </w:rPr>
      </w:pPr>
    </w:p>
    <w:p w:rsidR="00EC7B3E" w:rsidRPr="00EC7B3E" w:rsidRDefault="00EC7B3E" w:rsidP="00EC7B3E">
      <w:pPr>
        <w:pStyle w:val="af3"/>
        <w:numPr>
          <w:ilvl w:val="1"/>
          <w:numId w:val="9"/>
        </w:numPr>
        <w:tabs>
          <w:tab w:val="left" w:pos="848"/>
        </w:tabs>
        <w:spacing w:before="1"/>
        <w:rPr>
          <w:vanish/>
          <w:sz w:val="18"/>
        </w:rPr>
      </w:pPr>
    </w:p>
    <w:p w:rsidR="00EC7B3E" w:rsidRPr="00EC7B3E" w:rsidRDefault="00EC7B3E" w:rsidP="00EC7B3E">
      <w:pPr>
        <w:pStyle w:val="af3"/>
        <w:numPr>
          <w:ilvl w:val="2"/>
          <w:numId w:val="9"/>
        </w:numPr>
        <w:tabs>
          <w:tab w:val="left" w:pos="848"/>
        </w:tabs>
        <w:spacing w:before="1"/>
        <w:rPr>
          <w:vanish/>
          <w:sz w:val="18"/>
        </w:rPr>
      </w:pPr>
    </w:p>
    <w:p w:rsidR="00C219C5" w:rsidRPr="0027270F" w:rsidRDefault="00C219C5" w:rsidP="00EC7B3E">
      <w:pPr>
        <w:pStyle w:val="af3"/>
        <w:numPr>
          <w:ilvl w:val="2"/>
          <w:numId w:val="9"/>
        </w:numPr>
        <w:tabs>
          <w:tab w:val="left" w:pos="848"/>
        </w:tabs>
        <w:spacing w:before="1"/>
        <w:rPr>
          <w:szCs w:val="21"/>
        </w:rPr>
      </w:pPr>
      <w:r w:rsidRPr="0027270F">
        <w:rPr>
          <w:szCs w:val="21"/>
        </w:rPr>
        <w:t>一元的理解か二元的理解か</w:t>
      </w:r>
    </w:p>
    <w:p w:rsidR="00983EF9" w:rsidRDefault="00C2699F" w:rsidP="00C219C5">
      <w:pPr>
        <w:pStyle w:val="FirstParagraph"/>
        <w:ind w:firstLine="210"/>
        <w:rPr>
          <w:lang w:eastAsia="ja-JP"/>
        </w:rPr>
      </w:pPr>
      <w:r>
        <w:rPr>
          <w:lang w:eastAsia="ja-JP"/>
        </w:rPr>
        <w:t>２つ目の違いとして、秘匿性の低い単純個人情報の保護と、秘匿性の高い私生活上の秘密の保護の関係をどう捉えるかの違いである。自己情報コントロール権では、どちらも人格権に基づき保護されるべきという一元的理解となる。そのため、秘匿性の低</w:t>
      </w:r>
      <w:r>
        <w:rPr>
          <w:lang w:eastAsia="ja-JP"/>
        </w:rPr>
        <w:t>い情報は要保護性も低いという考えにつながる。一方で、情報自己決定権では、どちらも人格権に基づき保護される一方で、自己にかかわる個人情報の保護を求める権利からも保護され、二元的理解となる。そのため、情報の秘匿性の低さが要保護性の低さに直結することにはならない</w:t>
      </w:r>
      <w:r>
        <w:rPr>
          <w:rStyle w:val="ac"/>
        </w:rPr>
        <w:footnoteReference w:id="10"/>
      </w:r>
      <w:r w:rsidR="000C0176">
        <w:rPr>
          <w:rFonts w:hint="eastAsia"/>
          <w:lang w:eastAsia="ja-JP"/>
        </w:rPr>
        <w:t>。</w:t>
      </w:r>
    </w:p>
    <w:p w:rsidR="00C219C5" w:rsidRPr="0027270F" w:rsidRDefault="00C219C5" w:rsidP="00EC7B3E">
      <w:pPr>
        <w:pStyle w:val="af3"/>
        <w:numPr>
          <w:ilvl w:val="2"/>
          <w:numId w:val="9"/>
        </w:numPr>
        <w:tabs>
          <w:tab w:val="left" w:pos="848"/>
        </w:tabs>
        <w:spacing w:before="130"/>
        <w:rPr>
          <w:rFonts w:hint="eastAsia"/>
          <w:szCs w:val="21"/>
        </w:rPr>
      </w:pPr>
      <w:r w:rsidRPr="0027270F">
        <w:rPr>
          <w:szCs w:val="21"/>
        </w:rPr>
        <w:t>どちらがより説得的か</w:t>
      </w:r>
    </w:p>
    <w:p w:rsidR="00983EF9" w:rsidRDefault="00C2699F">
      <w:pPr>
        <w:pStyle w:val="FirstParagraph"/>
        <w:ind w:firstLine="210"/>
        <w:rPr>
          <w:lang w:eastAsia="ja-JP"/>
        </w:rPr>
      </w:pPr>
      <w:r>
        <w:rPr>
          <w:lang w:eastAsia="ja-JP"/>
        </w:rPr>
        <w:t>以</w:t>
      </w:r>
      <w:r>
        <w:rPr>
          <w:lang w:eastAsia="ja-JP"/>
        </w:rPr>
        <w:t>上のように、情報自己決定権は秘匿性の低い単純個人情報の保護の可能性を拓くため、少なくとも佐藤説の自己情報コントロール権よりは保護が厚い。問題は山本説の自己情報コントロール権との関係である。山本は「自己情報コントロール権と情報</w:t>
      </w:r>
      <w:r>
        <w:rPr>
          <w:lang w:eastAsia="ja-JP"/>
        </w:rPr>
        <w:t>自己決定権の間に本質的な差異は存在していない」</w:t>
      </w:r>
      <w:r>
        <w:rPr>
          <w:rStyle w:val="ac"/>
        </w:rPr>
        <w:footnoteReference w:id="11"/>
      </w:r>
      <w:r>
        <w:rPr>
          <w:lang w:eastAsia="ja-JP"/>
        </w:rPr>
        <w:t>と述べる。しかしながら、やはり平松が言うように、自己情報コントロール権は自由権の中に社会権的な権利を含めて解釈してきたアメリカ憲法由来のものであり、日本の憲法と構造を同じくするドイツ基本法由来の情報自己決定権の方が、実効的でより説得力を有するように思われる</w:t>
      </w:r>
      <w:r>
        <w:rPr>
          <w:rStyle w:val="ac"/>
        </w:rPr>
        <w:footnoteReference w:id="12"/>
      </w:r>
      <w:r>
        <w:rPr>
          <w:lang w:eastAsia="ja-JP"/>
        </w:rPr>
        <w:t>。何よりも住基ネット判決</w:t>
      </w:r>
      <w:r>
        <w:rPr>
          <w:rStyle w:val="ac"/>
        </w:rPr>
        <w:footnoteReference w:id="13"/>
      </w:r>
      <w:r>
        <w:rPr>
          <w:lang w:eastAsia="ja-JP"/>
        </w:rPr>
        <w:t>は自己情報コントロール権を認めていない（山本はむしろ住基ネット判決は第３期プライバシー権を認めていると主張するが</w:t>
      </w:r>
      <w:r>
        <w:rPr>
          <w:rStyle w:val="ac"/>
        </w:rPr>
        <w:lastRenderedPageBreak/>
        <w:footnoteReference w:id="14"/>
      </w:r>
      <w:r>
        <w:rPr>
          <w:lang w:eastAsia="ja-JP"/>
        </w:rPr>
        <w:t>）。自己情報コントロール権の立場に立ち、現代のプライバシー</w:t>
      </w:r>
      <w:r>
        <w:rPr>
          <w:lang w:eastAsia="ja-JP"/>
        </w:rPr>
        <w:t>の問題に対処しようとする第３期プライバシー権の考えは素晴らしいが、上述の通り、情報自己決定権の方が定義が単純で具体的権利も導きやすいだろう。こちらで解決できるのならば、わざわざ第３期プライバシー権という考え方を使わなくてもよいように感じられる。山本は権利のネーミングの問題だと主張する</w:t>
      </w:r>
      <w:r>
        <w:rPr>
          <w:rStyle w:val="ac"/>
        </w:rPr>
        <w:footnoteReference w:id="15"/>
      </w:r>
      <w:r>
        <w:rPr>
          <w:lang w:eastAsia="ja-JP"/>
        </w:rPr>
        <w:t>が、一方で「『情報自己決定権』という方が実体に合っているし、誤解も少ないかもしれません。」</w:t>
      </w:r>
      <w:r>
        <w:rPr>
          <w:rStyle w:val="ac"/>
        </w:rPr>
        <w:footnoteReference w:id="16"/>
      </w:r>
      <w:r>
        <w:rPr>
          <w:lang w:eastAsia="ja-JP"/>
        </w:rPr>
        <w:t>と述べる。同じ内容ならむしろ定義がわかりやすい情報自己決定権の方を採用し、以下ではプライバシー権とは、「自己の個人情報の放棄および</w:t>
      </w:r>
      <w:r>
        <w:rPr>
          <w:lang w:eastAsia="ja-JP"/>
        </w:rPr>
        <w:t>利用を自身で決定する権利」である、情報自己決定権とする。</w:t>
      </w:r>
    </w:p>
    <w:p w:rsidR="00C219C5" w:rsidRPr="00C219C5" w:rsidRDefault="00C219C5" w:rsidP="00EC7B3E">
      <w:pPr>
        <w:pStyle w:val="1"/>
        <w:keepNext w:val="0"/>
        <w:keepLines w:val="0"/>
        <w:widowControl w:val="0"/>
        <w:numPr>
          <w:ilvl w:val="0"/>
          <w:numId w:val="9"/>
        </w:numPr>
        <w:tabs>
          <w:tab w:val="left" w:pos="666"/>
          <w:tab w:val="left" w:pos="667"/>
        </w:tabs>
        <w:autoSpaceDE w:val="0"/>
        <w:autoSpaceDN w:val="0"/>
        <w:spacing w:before="0"/>
        <w:rPr>
          <w:lang w:eastAsia="ja-JP"/>
        </w:rPr>
      </w:pPr>
      <w:r>
        <w:rPr>
          <w:lang w:eastAsia="ja-JP"/>
        </w:rPr>
        <w:t>日本のプライバシー保護法制</w:t>
      </w:r>
    </w:p>
    <w:p w:rsidR="00983EF9" w:rsidRDefault="00C2699F" w:rsidP="00C219C5">
      <w:pPr>
        <w:pStyle w:val="FirstParagraph"/>
        <w:ind w:firstLine="210"/>
        <w:rPr>
          <w:lang w:eastAsia="ja-JP"/>
        </w:rPr>
      </w:pPr>
      <w:r>
        <w:rPr>
          <w:lang w:eastAsia="ja-JP"/>
        </w:rPr>
        <w:t>プライバシーを保護する日本の法制度の中で、代表的なものに個人情報保護法がある。一般に日本は個人情報保護の水準が低いと言われており、たとえば、</w:t>
      </w:r>
      <w:r>
        <w:rPr>
          <w:lang w:eastAsia="ja-JP"/>
        </w:rPr>
        <w:t>GDPR</w:t>
      </w:r>
      <w:r>
        <w:rPr>
          <w:lang w:eastAsia="ja-JP"/>
        </w:rPr>
        <w:t>との比較で、忘れられる権利やデータポータビリティ権、プロファイリングを受けない権利が規定されていないことがよく言及される。しかしながら、忘れられる権利は対抗利益との調整に詳細な検討を要することから、データポータビリティ権とプロファイリングを受けない権利はプライバシーの考え方から</w:t>
      </w:r>
      <w:r>
        <w:rPr>
          <w:lang w:eastAsia="ja-JP"/>
        </w:rPr>
        <w:t>単純には導きだせないと思われることから、今回は言及しない。本レポートでは、「自己の個人情報の放棄および利用を自身で決定する権利」という観点から、第１節では個人情報の定義に関して、第２節では同意の条件について考察したいと思う。</w:t>
      </w:r>
    </w:p>
    <w:p w:rsidR="00EC7B3E" w:rsidRPr="00EC7B3E" w:rsidRDefault="00EC7B3E" w:rsidP="00EC7B3E">
      <w:pPr>
        <w:pStyle w:val="af3"/>
        <w:numPr>
          <w:ilvl w:val="0"/>
          <w:numId w:val="12"/>
        </w:numPr>
        <w:tabs>
          <w:tab w:val="left" w:pos="776"/>
          <w:tab w:val="left" w:pos="778"/>
        </w:tabs>
        <w:outlineLvl w:val="1"/>
        <w:rPr>
          <w:rFonts w:asciiTheme="majorHAnsi" w:hAnsiTheme="majorHAnsi" w:cstheme="majorBidi"/>
          <w:bCs/>
          <w:vanish/>
          <w:sz w:val="24"/>
          <w:szCs w:val="32"/>
        </w:rPr>
      </w:pPr>
    </w:p>
    <w:p w:rsidR="00EC7B3E" w:rsidRPr="00EC7B3E" w:rsidRDefault="00EC7B3E" w:rsidP="00EC7B3E">
      <w:pPr>
        <w:pStyle w:val="af3"/>
        <w:numPr>
          <w:ilvl w:val="0"/>
          <w:numId w:val="12"/>
        </w:numPr>
        <w:tabs>
          <w:tab w:val="left" w:pos="776"/>
          <w:tab w:val="left" w:pos="778"/>
        </w:tabs>
        <w:outlineLvl w:val="1"/>
        <w:rPr>
          <w:rFonts w:asciiTheme="majorHAnsi" w:hAnsiTheme="majorHAnsi" w:cstheme="majorBidi"/>
          <w:bCs/>
          <w:vanish/>
          <w:sz w:val="24"/>
          <w:szCs w:val="32"/>
        </w:rPr>
      </w:pPr>
    </w:p>
    <w:p w:rsidR="00EC7B3E" w:rsidRPr="00EC7B3E" w:rsidRDefault="00EC7B3E" w:rsidP="00EC7B3E">
      <w:pPr>
        <w:pStyle w:val="af3"/>
        <w:numPr>
          <w:ilvl w:val="0"/>
          <w:numId w:val="12"/>
        </w:numPr>
        <w:tabs>
          <w:tab w:val="left" w:pos="776"/>
          <w:tab w:val="left" w:pos="778"/>
        </w:tabs>
        <w:outlineLvl w:val="1"/>
        <w:rPr>
          <w:rFonts w:asciiTheme="majorHAnsi" w:hAnsiTheme="majorHAnsi" w:cstheme="majorBidi"/>
          <w:bCs/>
          <w:vanish/>
          <w:sz w:val="24"/>
          <w:szCs w:val="32"/>
        </w:rPr>
      </w:pPr>
    </w:p>
    <w:p w:rsidR="00C219C5" w:rsidRPr="00C219C5" w:rsidRDefault="00C219C5" w:rsidP="00EC7B3E">
      <w:pPr>
        <w:pStyle w:val="2"/>
        <w:keepNext w:val="0"/>
        <w:keepLines w:val="0"/>
        <w:widowControl w:val="0"/>
        <w:numPr>
          <w:ilvl w:val="1"/>
          <w:numId w:val="12"/>
        </w:numPr>
        <w:tabs>
          <w:tab w:val="left" w:pos="776"/>
          <w:tab w:val="left" w:pos="778"/>
        </w:tabs>
        <w:autoSpaceDE w:val="0"/>
        <w:autoSpaceDN w:val="0"/>
        <w:spacing w:before="0"/>
        <w:rPr>
          <w:rFonts w:hint="eastAsia"/>
          <w:lang w:eastAsia="ja-JP"/>
        </w:rPr>
      </w:pPr>
      <w:r>
        <w:rPr>
          <w:lang w:eastAsia="ja-JP"/>
        </w:rPr>
        <w:t>個人情報の定義について</w:t>
      </w:r>
    </w:p>
    <w:p w:rsidR="000C0176" w:rsidRDefault="00C2699F">
      <w:pPr>
        <w:pStyle w:val="FirstParagraph"/>
        <w:ind w:firstLine="210"/>
        <w:rPr>
          <w:lang w:eastAsia="ja-JP"/>
        </w:rPr>
      </w:pPr>
      <w:r>
        <w:rPr>
          <w:lang w:eastAsia="ja-JP"/>
        </w:rPr>
        <w:t>G</w:t>
      </w:r>
      <w:r>
        <w:rPr>
          <w:lang w:eastAsia="ja-JP"/>
        </w:rPr>
        <w:t>DPR</w:t>
      </w:r>
      <w:r>
        <w:rPr>
          <w:lang w:eastAsia="ja-JP"/>
        </w:rPr>
        <w:t>では４条１項により、個人情報とは「識別された自然人又は識別可能な自然人（「データ主体」）に関する情報を意味する。</w:t>
      </w:r>
      <w:r>
        <w:rPr>
          <w:lang w:eastAsia="ja-JP"/>
        </w:rPr>
        <w:t xml:space="preserve"> </w:t>
      </w:r>
      <w:r>
        <w:rPr>
          <w:lang w:eastAsia="ja-JP"/>
        </w:rPr>
        <w:t>識別可能な自然人とは、特に、氏名、識別番号、位置データ、オンライン識別子のような識別子を参照することによって、又は、当該自然人の身体的、生理</w:t>
      </w:r>
      <w:r>
        <w:rPr>
          <w:lang w:eastAsia="ja-JP"/>
        </w:rPr>
        <w:t>的、遺伝的、精神的、経済的、文化的又は社会的な同一性を示す一つ又は複数の要素を参照することによって、直接的又は間接的に、識別されうる者をいう。」と定義される。一方で日本の個人情報保護法では「当該情報に含まれる氏名、生年月日その他の記述等により特定の個人を識別することができるもの（他の情報と容易に照合することができ、それにより特定の個人を識別することができることとなるものを含む。）」および「個人識別符号が含まれるもの」と定義される</w:t>
      </w:r>
      <w:r w:rsidR="0027270F">
        <w:rPr>
          <w:rFonts w:hint="eastAsia"/>
          <w:lang w:eastAsia="ja-JP"/>
        </w:rPr>
        <w:t>（２条２項）</w:t>
      </w:r>
      <w:r>
        <w:rPr>
          <w:lang w:eastAsia="ja-JP"/>
        </w:rPr>
        <w:t>。</w:t>
      </w:r>
    </w:p>
    <w:p w:rsidR="000C0176" w:rsidRDefault="00C2699F" w:rsidP="000C0176">
      <w:pPr>
        <w:pStyle w:val="FirstParagraph"/>
        <w:ind w:firstLine="210"/>
        <w:rPr>
          <w:lang w:eastAsia="ja-JP"/>
        </w:rPr>
      </w:pPr>
      <w:r>
        <w:rPr>
          <w:lang w:eastAsia="ja-JP"/>
        </w:rPr>
        <w:t>この定義のもと、</w:t>
      </w:r>
      <w:r>
        <w:rPr>
          <w:lang w:eastAsia="ja-JP"/>
        </w:rPr>
        <w:t>GDPR</w:t>
      </w:r>
      <w:r>
        <w:rPr>
          <w:lang w:eastAsia="ja-JP"/>
        </w:rPr>
        <w:t>では個人情報に含まれるが、日本の個人情報保護法では照合</w:t>
      </w:r>
      <w:r>
        <w:rPr>
          <w:lang w:eastAsia="ja-JP"/>
        </w:rPr>
        <w:t>容易性がない限り個人情報に含まれないものとして、位置情報、</w:t>
      </w:r>
      <w:r>
        <w:rPr>
          <w:lang w:eastAsia="ja-JP"/>
        </w:rPr>
        <w:t>cookie</w:t>
      </w:r>
      <w:r>
        <w:rPr>
          <w:lang w:eastAsia="ja-JP"/>
        </w:rPr>
        <w:t>・</w:t>
      </w:r>
      <w:r>
        <w:rPr>
          <w:lang w:eastAsia="ja-JP"/>
        </w:rPr>
        <w:t>IP</w:t>
      </w:r>
      <w:r>
        <w:rPr>
          <w:lang w:eastAsia="ja-JP"/>
        </w:rPr>
        <w:t>アドレス・メールアドレスといった</w:t>
      </w:r>
      <w:r>
        <w:rPr>
          <w:lang w:eastAsia="ja-JP"/>
        </w:rPr>
        <w:t>GDPR</w:t>
      </w:r>
      <w:r>
        <w:rPr>
          <w:lang w:eastAsia="ja-JP"/>
        </w:rPr>
        <w:t>におけるオンライン識別子、携帯電話番号、遺伝子情報があげられる。遺伝子情報は特に問題があると考えるため、別に後述する。</w:t>
      </w:r>
    </w:p>
    <w:p w:rsidR="000C0176" w:rsidRDefault="00C2699F" w:rsidP="000C0176">
      <w:pPr>
        <w:pStyle w:val="FirstParagraph"/>
        <w:ind w:firstLine="210"/>
        <w:rPr>
          <w:lang w:eastAsia="ja-JP"/>
        </w:rPr>
      </w:pPr>
      <w:r>
        <w:rPr>
          <w:lang w:eastAsia="ja-JP"/>
        </w:rPr>
        <w:lastRenderedPageBreak/>
        <w:t>まず、照合が容易な場合は、上であげた位置情報など（遺伝子情報を除く。以下同じ）も個人情報となるため、「他の情報と容易に照合することができ」の意味について考える。「容易に」の意味につき、宇賀克也は、「他の事業者に通常の業務では行っていない特別な照会をし、当該他の事業者において、</w:t>
      </w:r>
      <w:r>
        <w:rPr>
          <w:lang w:eastAsia="ja-JP"/>
        </w:rPr>
        <w:t>相当な調査をしてはじめて回答が可能になるような場合や、照合のため特別のソフトを購入してインストールをする必要がある場合には、「容易に」の要件を満たさないであろう。」と言う。この考え方でいくと、通常の業務であった場合やもともとソフトを所有していた場合などで容易性が変わる。そのため、その容易性に応じて、その情報から個人を識別できるかどうかが変わり、その情報が個人情報にあたるか否かも変わる。よって、ある情報が個人情報にあたるかどうかは当該情報を扱う者ごとに変わる相対的なものである。たとえば、メールアドレスは一般的</w:t>
      </w:r>
      <w:r>
        <w:rPr>
          <w:lang w:eastAsia="ja-JP"/>
        </w:rPr>
        <w:t>には個人情報ではないが、当該本人が契約するプロバイダーにとっては他の情報と容易に照合することができ、個人を識別可能なため、個人情報と言える</w:t>
      </w:r>
      <w:r>
        <w:rPr>
          <w:rStyle w:val="ac"/>
        </w:rPr>
        <w:footnoteReference w:id="17"/>
      </w:r>
      <w:r>
        <w:rPr>
          <w:lang w:eastAsia="ja-JP"/>
        </w:rPr>
        <w:t>。</w:t>
      </w:r>
    </w:p>
    <w:p w:rsidR="000C0176" w:rsidRDefault="00C2699F" w:rsidP="000C0176">
      <w:pPr>
        <w:pStyle w:val="FirstParagraph"/>
        <w:ind w:firstLine="210"/>
        <w:rPr>
          <w:lang w:eastAsia="ja-JP"/>
        </w:rPr>
      </w:pPr>
      <w:r>
        <w:rPr>
          <w:lang w:eastAsia="ja-JP"/>
        </w:rPr>
        <w:t>このような個人情報か否かを相対的に考えることについて、個人と、個人の情報が結びつくことによりプライバシーが侵害されることから考えると、上であげた位置情報などが、容易に個人が識別できない場合には個人情報とならないとしてもプライバシー保護の観点からは問題ない。実際に</w:t>
      </w:r>
      <w:r>
        <w:rPr>
          <w:lang w:eastAsia="ja-JP"/>
        </w:rPr>
        <w:t>GDPR</w:t>
      </w:r>
      <w:r>
        <w:rPr>
          <w:lang w:eastAsia="ja-JP"/>
        </w:rPr>
        <w:t>制定前のドイツの通説・判例では、</w:t>
      </w:r>
      <w:r>
        <w:rPr>
          <w:lang w:eastAsia="ja-JP"/>
        </w:rPr>
        <w:t>IP</w:t>
      </w:r>
      <w:r>
        <w:rPr>
          <w:lang w:eastAsia="ja-JP"/>
        </w:rPr>
        <w:t>アドレスについてこのような考えだった</w:t>
      </w:r>
      <w:r>
        <w:rPr>
          <w:rStyle w:val="ac"/>
        </w:rPr>
        <w:footnoteReference w:id="18"/>
      </w:r>
      <w:r>
        <w:rPr>
          <w:lang w:eastAsia="ja-JP"/>
        </w:rPr>
        <w:t>。</w:t>
      </w:r>
    </w:p>
    <w:p w:rsidR="000C0176" w:rsidRDefault="00C2699F" w:rsidP="000C0176">
      <w:pPr>
        <w:pStyle w:val="FirstParagraph"/>
        <w:ind w:firstLine="210"/>
        <w:rPr>
          <w:lang w:eastAsia="ja-JP"/>
        </w:rPr>
      </w:pPr>
      <w:r>
        <w:rPr>
          <w:lang w:eastAsia="ja-JP"/>
        </w:rPr>
        <w:t>しかしながら、個人情報か否かの判断基準が不明確なことにより、事業者側がむしろ、情報の利活用を躊躇するという要因にもなっている。上であげた位置情報などは個人に結びつく蓋然性が高いものであり、明確に個人情報であると定義した方が本人、事業者ともに利益になると考えることもできる。実際にこのような問題意識のもと、</w:t>
      </w:r>
      <w:r>
        <w:rPr>
          <w:lang w:eastAsia="ja-JP"/>
        </w:rPr>
        <w:t>①</w:t>
      </w:r>
      <w:r>
        <w:rPr>
          <w:lang w:eastAsia="ja-JP"/>
        </w:rPr>
        <w:t>パスポート番号、免許証番号、</w:t>
      </w:r>
      <w:r>
        <w:rPr>
          <w:lang w:eastAsia="ja-JP"/>
        </w:rPr>
        <w:t>IP</w:t>
      </w:r>
      <w:r>
        <w:rPr>
          <w:lang w:eastAsia="ja-JP"/>
        </w:rPr>
        <w:t>アドレス、携帯端末</w:t>
      </w:r>
      <w:r>
        <w:rPr>
          <w:lang w:eastAsia="ja-JP"/>
        </w:rPr>
        <w:t>ID</w:t>
      </w:r>
      <w:r>
        <w:rPr>
          <w:lang w:eastAsia="ja-JP"/>
        </w:rPr>
        <w:t>等の個人または個人の情報通信端末（携帯電話端末、</w:t>
      </w:r>
      <w:r>
        <w:rPr>
          <w:lang w:eastAsia="ja-JP"/>
        </w:rPr>
        <w:t xml:space="preserve">PC </w:t>
      </w:r>
      <w:r>
        <w:rPr>
          <w:lang w:eastAsia="ja-JP"/>
        </w:rPr>
        <w:t>端末等）等に付番され、継続して共用されるもの、</w:t>
      </w:r>
      <w:r>
        <w:rPr>
          <w:lang w:eastAsia="ja-JP"/>
        </w:rPr>
        <w:t>②</w:t>
      </w:r>
      <w:r>
        <w:rPr>
          <w:lang w:eastAsia="ja-JP"/>
        </w:rPr>
        <w:t>顔認識データ、遺伝子情報、声紋並びに指紋等、個人の</w:t>
      </w:r>
      <w:r>
        <w:rPr>
          <w:lang w:eastAsia="ja-JP"/>
        </w:rPr>
        <w:t>生体的・身体的特性に関する情報で、普遍性を有するもの、</w:t>
      </w:r>
      <w:r>
        <w:rPr>
          <w:lang w:eastAsia="ja-JP"/>
        </w:rPr>
        <w:t>③</w:t>
      </w:r>
      <w:r>
        <w:rPr>
          <w:lang w:eastAsia="ja-JP"/>
        </w:rPr>
        <w:t>移動履歴、購買履歴等の特徴的な行動の履歴、を準個人情報として定義してはどうかという議論が、第７回</w:t>
      </w:r>
      <w:r>
        <w:rPr>
          <w:lang w:eastAsia="ja-JP"/>
        </w:rPr>
        <w:t xml:space="preserve"> </w:t>
      </w:r>
      <w:r>
        <w:rPr>
          <w:lang w:eastAsia="ja-JP"/>
        </w:rPr>
        <w:t>パーソナルデータに関する検討会でなされたこともあった</w:t>
      </w:r>
      <w:r>
        <w:rPr>
          <w:rStyle w:val="ac"/>
        </w:rPr>
        <w:footnoteReference w:id="19"/>
      </w:r>
      <w:r>
        <w:rPr>
          <w:lang w:eastAsia="ja-JP"/>
        </w:rPr>
        <w:t>。</w:t>
      </w:r>
    </w:p>
    <w:p w:rsidR="00983EF9" w:rsidRDefault="00C2699F" w:rsidP="000C0176">
      <w:pPr>
        <w:pStyle w:val="FirstParagraph"/>
        <w:ind w:firstLine="210"/>
        <w:rPr>
          <w:lang w:eastAsia="ja-JP"/>
        </w:rPr>
      </w:pPr>
      <w:r>
        <w:rPr>
          <w:lang w:eastAsia="ja-JP"/>
        </w:rPr>
        <w:t>以上まとめると個人情報保護法の個人情報の定義は、</w:t>
      </w:r>
      <w:r>
        <w:rPr>
          <w:lang w:eastAsia="ja-JP"/>
        </w:rPr>
        <w:t>GDPR</w:t>
      </w:r>
      <w:r>
        <w:rPr>
          <w:lang w:eastAsia="ja-JP"/>
        </w:rPr>
        <w:t>よりは狭い一方で、プライバシーの観点からは特に問題がないと考える。一方で実際問題として、</w:t>
      </w:r>
      <w:r>
        <w:rPr>
          <w:lang w:eastAsia="ja-JP"/>
        </w:rPr>
        <w:t>GDPR</w:t>
      </w:r>
      <w:r>
        <w:rPr>
          <w:lang w:eastAsia="ja-JP"/>
        </w:rPr>
        <w:t>で認められている範囲まで個人情報の定義を立法により拡張することで、本人、事業者ともにむしろ利益となる可能性もあると考える。</w:t>
      </w:r>
    </w:p>
    <w:p w:rsidR="00C219C5" w:rsidRDefault="00C219C5" w:rsidP="00EC7B3E">
      <w:pPr>
        <w:pStyle w:val="2"/>
        <w:keepNext w:val="0"/>
        <w:keepLines w:val="0"/>
        <w:widowControl w:val="0"/>
        <w:numPr>
          <w:ilvl w:val="1"/>
          <w:numId w:val="12"/>
        </w:numPr>
        <w:tabs>
          <w:tab w:val="left" w:pos="776"/>
          <w:tab w:val="left" w:pos="778"/>
        </w:tabs>
        <w:autoSpaceDE w:val="0"/>
        <w:autoSpaceDN w:val="0"/>
        <w:spacing w:before="1"/>
        <w:rPr>
          <w:rFonts w:hint="eastAsia"/>
        </w:rPr>
      </w:pPr>
      <w:proofErr w:type="spellStart"/>
      <w:r>
        <w:t>同意の条件について</w:t>
      </w:r>
      <w:proofErr w:type="spellEnd"/>
    </w:p>
    <w:p w:rsidR="00983EF9" w:rsidRDefault="00C2699F" w:rsidP="00C219C5">
      <w:pPr>
        <w:pStyle w:val="FirstParagraph"/>
        <w:ind w:firstLine="210"/>
        <w:rPr>
          <w:lang w:eastAsia="ja-JP"/>
        </w:rPr>
      </w:pPr>
      <w:r>
        <w:rPr>
          <w:lang w:eastAsia="ja-JP"/>
        </w:rPr>
        <w:t>プ</w:t>
      </w:r>
      <w:r>
        <w:rPr>
          <w:lang w:eastAsia="ja-JP"/>
        </w:rPr>
        <w:t>ライバシー権を、「自己の個人情報の放棄および利用を自身で決定する権利。」と解すると、同意があれば個人情報の処理が正当化される。しかしながら、果たしてどのような条件を満たせば同意と言えるかどうかには争いがある。まず、日本と比べると大変厳格な要件である</w:t>
      </w:r>
      <w:r>
        <w:rPr>
          <w:lang w:eastAsia="ja-JP"/>
        </w:rPr>
        <w:t>GDPR</w:t>
      </w:r>
      <w:r>
        <w:rPr>
          <w:lang w:eastAsia="ja-JP"/>
        </w:rPr>
        <w:t>の同意の条件について見た後、日本の個人情報保護法を見ていきたいと思う。</w:t>
      </w:r>
    </w:p>
    <w:p w:rsidR="00C219C5" w:rsidRPr="0027270F" w:rsidRDefault="00C219C5" w:rsidP="00EC7B3E">
      <w:pPr>
        <w:pStyle w:val="af3"/>
        <w:numPr>
          <w:ilvl w:val="2"/>
          <w:numId w:val="12"/>
        </w:numPr>
        <w:tabs>
          <w:tab w:val="left" w:pos="848"/>
        </w:tabs>
        <w:rPr>
          <w:rFonts w:asciiTheme="majorEastAsia" w:hAnsiTheme="majorEastAsia" w:hint="eastAsia"/>
          <w:szCs w:val="21"/>
        </w:rPr>
      </w:pPr>
      <w:r w:rsidRPr="0027270F">
        <w:rPr>
          <w:rFonts w:asciiTheme="majorEastAsia" w:hAnsiTheme="majorEastAsia"/>
          <w:w w:val="105"/>
          <w:szCs w:val="21"/>
        </w:rPr>
        <w:lastRenderedPageBreak/>
        <w:t>GDPR</w:t>
      </w:r>
      <w:r w:rsidRPr="0027270F">
        <w:rPr>
          <w:rFonts w:asciiTheme="majorEastAsia" w:hAnsiTheme="majorEastAsia"/>
          <w:spacing w:val="-17"/>
          <w:w w:val="105"/>
          <w:szCs w:val="21"/>
        </w:rPr>
        <w:t xml:space="preserve"> </w:t>
      </w:r>
      <w:r w:rsidRPr="0027270F">
        <w:rPr>
          <w:rFonts w:asciiTheme="majorEastAsia" w:hAnsiTheme="majorEastAsia"/>
          <w:w w:val="105"/>
          <w:szCs w:val="21"/>
        </w:rPr>
        <w:t>の同意の条件について</w:t>
      </w:r>
    </w:p>
    <w:p w:rsidR="00983EF9" w:rsidRDefault="00C2699F" w:rsidP="000C0176">
      <w:pPr>
        <w:pStyle w:val="FirstParagraph"/>
        <w:ind w:firstLine="210"/>
        <w:rPr>
          <w:lang w:eastAsia="ja-JP"/>
        </w:rPr>
      </w:pPr>
      <w:r>
        <w:rPr>
          <w:lang w:eastAsia="ja-JP"/>
        </w:rPr>
        <w:t>GDPR</w:t>
      </w:r>
      <w:r>
        <w:rPr>
          <w:lang w:eastAsia="ja-JP"/>
        </w:rPr>
        <w:t>４条</w:t>
      </w:r>
      <w:r>
        <w:rPr>
          <w:lang w:eastAsia="ja-JP"/>
        </w:rPr>
        <w:t>11</w:t>
      </w:r>
      <w:r>
        <w:rPr>
          <w:lang w:eastAsia="ja-JP"/>
        </w:rPr>
        <w:t>項によると、同意とは、「</w:t>
      </w:r>
      <w:r w:rsidR="000C0176">
        <w:rPr>
          <w:rFonts w:hint="eastAsia"/>
          <w:lang w:eastAsia="ja-JP"/>
        </w:rPr>
        <w:t>①</w:t>
      </w:r>
      <w:r>
        <w:rPr>
          <w:lang w:eastAsia="ja-JP"/>
        </w:rPr>
        <w:t>自由に与えられ、</w:t>
      </w:r>
      <w:r w:rsidR="000C0176">
        <w:rPr>
          <w:rFonts w:hint="eastAsia"/>
          <w:lang w:eastAsia="ja-JP"/>
        </w:rPr>
        <w:t>②</w:t>
      </w:r>
      <w:r>
        <w:rPr>
          <w:lang w:eastAsia="ja-JP"/>
        </w:rPr>
        <w:t>特定され、</w:t>
      </w:r>
      <w:r w:rsidR="000C0176">
        <w:rPr>
          <w:rFonts w:hint="eastAsia"/>
          <w:lang w:eastAsia="ja-JP"/>
        </w:rPr>
        <w:t>③</w:t>
      </w:r>
      <w:r>
        <w:rPr>
          <w:lang w:eastAsia="ja-JP"/>
        </w:rPr>
        <w:t>事前に説明を受けた上での、</w:t>
      </w:r>
      <w:r w:rsidR="000C0176">
        <w:rPr>
          <w:rFonts w:hint="eastAsia"/>
          <w:lang w:eastAsia="ja-JP"/>
        </w:rPr>
        <w:t>④</w:t>
      </w:r>
      <w:r>
        <w:rPr>
          <w:lang w:eastAsia="ja-JP"/>
        </w:rPr>
        <w:t>不明瞭ではない、データ主体の意思の表示を意味し、それによって、データ主体が、その陳述又は</w:t>
      </w:r>
      <w:r w:rsidR="000C0176">
        <w:rPr>
          <w:rFonts w:hint="eastAsia"/>
          <w:lang w:eastAsia="ja-JP"/>
        </w:rPr>
        <w:t>⑤</w:t>
      </w:r>
      <w:r>
        <w:rPr>
          <w:lang w:eastAsia="ja-JP"/>
        </w:rPr>
        <w:t>明確な積極的行為により、自身に関連する個人データの取扱いの同意を表明するもの」と定義される。</w:t>
      </w:r>
      <w:r w:rsidR="000C0176">
        <w:rPr>
          <w:rFonts w:hint="eastAsia"/>
          <w:lang w:eastAsia="ja-JP"/>
        </w:rPr>
        <w:t>①</w:t>
      </w:r>
      <w:r>
        <w:rPr>
          <w:lang w:eastAsia="ja-JP"/>
        </w:rPr>
        <w:t>「自由に与えられ」とは、力の不均衡がなく、本人が損害なく同意を拒否または撤回をすることができるという意味である</w:t>
      </w:r>
      <w:r>
        <w:rPr>
          <w:rStyle w:val="ac"/>
        </w:rPr>
        <w:footnoteReference w:id="20"/>
      </w:r>
      <w:r>
        <w:rPr>
          <w:lang w:eastAsia="ja-JP"/>
        </w:rPr>
        <w:t>。たとえば、労働者と雇用主といった雇用関係にないことや、そのサービスに必ずしも必要のない個人情報の処理について同</w:t>
      </w:r>
      <w:r>
        <w:rPr>
          <w:lang w:eastAsia="ja-JP"/>
        </w:rPr>
        <w:t>意することが契約条件に含まれていないことが必要である。</w:t>
      </w:r>
      <w:r w:rsidR="000C0176">
        <w:rPr>
          <w:rFonts w:hint="eastAsia"/>
          <w:lang w:eastAsia="ja-JP"/>
        </w:rPr>
        <w:t>②</w:t>
      </w:r>
      <w:r>
        <w:rPr>
          <w:lang w:eastAsia="ja-JP"/>
        </w:rPr>
        <w:t>「特定され」とは、同意は特定された利用目的に対してなされる必要があるという意味である。そのため、利用目的が限定されていない包括的な同意は認められない</w:t>
      </w:r>
      <w:r>
        <w:rPr>
          <w:rStyle w:val="ac"/>
        </w:rPr>
        <w:footnoteReference w:id="21"/>
      </w:r>
      <w:r>
        <w:rPr>
          <w:lang w:eastAsia="ja-JP"/>
        </w:rPr>
        <w:t>。</w:t>
      </w:r>
      <w:r w:rsidR="000C0176">
        <w:rPr>
          <w:rFonts w:hint="eastAsia"/>
          <w:lang w:eastAsia="ja-JP"/>
        </w:rPr>
        <w:t>③</w:t>
      </w:r>
      <w:r>
        <w:rPr>
          <w:lang w:eastAsia="ja-JP"/>
        </w:rPr>
        <w:t>「事前に説明を受けた」とは、分かりやすい形での情報提供があること、そしてその情報に直接アクセス・認識できることが必要であるという意味である</w:t>
      </w:r>
      <w:r>
        <w:rPr>
          <w:rStyle w:val="ac"/>
        </w:rPr>
        <w:footnoteReference w:id="22"/>
      </w:r>
      <w:r>
        <w:rPr>
          <w:lang w:eastAsia="ja-JP"/>
        </w:rPr>
        <w:t>。また、</w:t>
      </w:r>
      <w:r>
        <w:rPr>
          <w:lang w:eastAsia="ja-JP"/>
        </w:rPr>
        <w:t>GDPR</w:t>
      </w:r>
      <w:r>
        <w:rPr>
          <w:lang w:eastAsia="ja-JP"/>
        </w:rPr>
        <w:t>の前文</w:t>
      </w:r>
      <w:r>
        <w:rPr>
          <w:lang w:eastAsia="ja-JP"/>
        </w:rPr>
        <w:t>42</w:t>
      </w:r>
      <w:r>
        <w:rPr>
          <w:lang w:eastAsia="ja-JP"/>
        </w:rPr>
        <w:t>項によると、同意が有効になるには、本人が「管理者の身元、及び、その個人データについて予定されている取扱いの目的」を認識している必要が</w:t>
      </w:r>
      <w:r>
        <w:rPr>
          <w:lang w:eastAsia="ja-JP"/>
        </w:rPr>
        <w:t>あり、このような情報を事前に提供される必要がある。</w:t>
      </w:r>
      <w:r w:rsidR="000C0176">
        <w:rPr>
          <w:rFonts w:hint="eastAsia"/>
          <w:lang w:eastAsia="ja-JP"/>
        </w:rPr>
        <w:t>④</w:t>
      </w:r>
      <w:r>
        <w:rPr>
          <w:lang w:eastAsia="ja-JP"/>
        </w:rPr>
        <w:t>「不明瞭でない」とは、個人情報の取扱いに対する同意であることがわかるように、他の契約条件等とは明確に区別して、本人の意思を確認する必要があるという意味である。そのため、一般の利用条件の中に同意を紛れ込ませてはならない。また、同意内容は容易にアクセスできるようにし、また一般の利用者が容易に理解できるように、明確かつ平易な文言を用いて示さなければならない</w:t>
      </w:r>
      <w:r>
        <w:rPr>
          <w:rStyle w:val="ac"/>
        </w:rPr>
        <w:footnoteReference w:id="23"/>
      </w:r>
      <w:r>
        <w:rPr>
          <w:lang w:eastAsia="ja-JP"/>
        </w:rPr>
        <w:t>。</w:t>
      </w:r>
      <w:r w:rsidR="000C0176">
        <w:rPr>
          <w:rFonts w:hint="eastAsia"/>
          <w:lang w:eastAsia="ja-JP"/>
        </w:rPr>
        <w:t>⑤</w:t>
      </w:r>
      <w:r>
        <w:rPr>
          <w:lang w:eastAsia="ja-JP"/>
        </w:rPr>
        <w:t>「明確な積極的行為」とは、書面へのサインや空欄にチェックを入れるなどである</w:t>
      </w:r>
      <w:r>
        <w:rPr>
          <w:rStyle w:val="ac"/>
        </w:rPr>
        <w:footnoteReference w:id="24"/>
      </w:r>
      <w:r>
        <w:rPr>
          <w:lang w:eastAsia="ja-JP"/>
        </w:rPr>
        <w:t>。</w:t>
      </w:r>
    </w:p>
    <w:p w:rsidR="00C219C5" w:rsidRPr="0027270F" w:rsidRDefault="00C219C5" w:rsidP="00EC7B3E">
      <w:pPr>
        <w:pStyle w:val="af3"/>
        <w:numPr>
          <w:ilvl w:val="2"/>
          <w:numId w:val="12"/>
        </w:numPr>
        <w:tabs>
          <w:tab w:val="left" w:pos="848"/>
        </w:tabs>
        <w:rPr>
          <w:rFonts w:hint="eastAsia"/>
          <w:szCs w:val="21"/>
        </w:rPr>
      </w:pPr>
      <w:r w:rsidRPr="0027270F">
        <w:rPr>
          <w:szCs w:val="21"/>
        </w:rPr>
        <w:t>日本の個人情報保護法の同意の条件</w:t>
      </w:r>
    </w:p>
    <w:p w:rsidR="000C0176" w:rsidRDefault="00C2699F" w:rsidP="000C0176">
      <w:pPr>
        <w:pStyle w:val="FirstParagraph"/>
        <w:ind w:firstLine="210"/>
        <w:rPr>
          <w:lang w:eastAsia="ja-JP"/>
        </w:rPr>
      </w:pPr>
      <w:r>
        <w:rPr>
          <w:lang w:eastAsia="ja-JP"/>
        </w:rPr>
        <w:t>日本の個人情報保護法では、本人の同意とは、「本人の個人情報が、個人情報取扱事業者によって示された取扱方法で取り扱われることを承諾する旨の当該本人の意思表示をいう（当該本人であることを確認できていることが前提となる。）」と定義される</w:t>
      </w:r>
      <w:r>
        <w:rPr>
          <w:rStyle w:val="ac"/>
        </w:rPr>
        <w:footnoteReference w:id="25"/>
      </w:r>
      <w:r>
        <w:rPr>
          <w:lang w:eastAsia="ja-JP"/>
        </w:rPr>
        <w:t>。</w:t>
      </w:r>
    </w:p>
    <w:p w:rsidR="000C0176" w:rsidRDefault="00C2699F" w:rsidP="000C0176">
      <w:pPr>
        <w:pStyle w:val="FirstParagraph"/>
        <w:ind w:firstLine="210"/>
        <w:rPr>
          <w:lang w:eastAsia="ja-JP"/>
        </w:rPr>
      </w:pPr>
      <w:r>
        <w:rPr>
          <w:lang w:eastAsia="ja-JP"/>
        </w:rPr>
        <w:t>包括的同意は許されず、具体的な利用目的に対する明示的な同意である必要があり、また個人情報の取扱いに関する条項が他の契約条件と明確に区別されていることや確認欄により本人の意思が明確に反映できる方法により確認を行うことが望ましいとされている</w:t>
      </w:r>
      <w:r>
        <w:rPr>
          <w:rStyle w:val="ac"/>
        </w:rPr>
        <w:footnoteReference w:id="26"/>
      </w:r>
      <w:r>
        <w:rPr>
          <w:lang w:eastAsia="ja-JP"/>
        </w:rPr>
        <w:t>など、</w:t>
      </w:r>
      <w:r w:rsidR="000C0176">
        <w:rPr>
          <w:rFonts w:hint="eastAsia"/>
          <w:lang w:eastAsia="ja-JP"/>
        </w:rPr>
        <w:t>②</w:t>
      </w:r>
      <w:r>
        <w:rPr>
          <w:lang w:eastAsia="ja-JP"/>
        </w:rPr>
        <w:t>の全</w:t>
      </w:r>
      <w:r>
        <w:rPr>
          <w:lang w:eastAsia="ja-JP"/>
        </w:rPr>
        <w:lastRenderedPageBreak/>
        <w:t>部や</w:t>
      </w:r>
      <w:r w:rsidR="000C0176">
        <w:rPr>
          <w:rFonts w:hint="eastAsia"/>
          <w:lang w:eastAsia="ja-JP"/>
        </w:rPr>
        <w:t>④</w:t>
      </w:r>
      <w:r>
        <w:rPr>
          <w:lang w:eastAsia="ja-JP"/>
        </w:rPr>
        <w:t>・</w:t>
      </w:r>
      <w:r w:rsidR="000C0176">
        <w:rPr>
          <w:rFonts w:hint="eastAsia"/>
          <w:lang w:eastAsia="ja-JP"/>
        </w:rPr>
        <w:t>⑤</w:t>
      </w:r>
      <w:r>
        <w:rPr>
          <w:lang w:eastAsia="ja-JP"/>
        </w:rPr>
        <w:t>の一部は認められているように思われる。次章からより同意の条件を厳しくする方法がないか模索していきたいが、先に、特に問題であると考える、オプトアウト方式による第三者への個人情報提供について言及しておきたい。</w:t>
      </w:r>
    </w:p>
    <w:p w:rsidR="000C0176" w:rsidRDefault="000C0176" w:rsidP="000C0176">
      <w:pPr>
        <w:pStyle w:val="FirstParagraph"/>
        <w:ind w:firstLineChars="0" w:firstLine="0"/>
        <w:rPr>
          <w:rFonts w:ascii="SimSun"/>
          <w:b/>
          <w:bCs/>
          <w:lang w:eastAsia="ja-JP"/>
        </w:rPr>
      </w:pPr>
    </w:p>
    <w:p w:rsidR="000C0176" w:rsidRPr="000C0176" w:rsidRDefault="00C219C5" w:rsidP="000C0176">
      <w:pPr>
        <w:pStyle w:val="FirstParagraph"/>
        <w:ind w:firstLineChars="0" w:firstLine="0"/>
        <w:rPr>
          <w:rFonts w:ascii="SimSun"/>
          <w:b/>
          <w:bCs/>
          <w:lang w:eastAsia="ja-JP"/>
        </w:rPr>
      </w:pPr>
      <w:r w:rsidRPr="000C0176">
        <w:rPr>
          <w:rFonts w:ascii="SimSun" w:eastAsia="SimSun" w:hint="eastAsia"/>
          <w:b/>
          <w:bCs/>
          <w:lang w:eastAsia="ja-JP"/>
        </w:rPr>
        <w:t>オプトアウト方式による第三者への個人情報提供</w:t>
      </w:r>
    </w:p>
    <w:p w:rsidR="000C0176" w:rsidRDefault="00C2699F" w:rsidP="000C0176">
      <w:pPr>
        <w:pStyle w:val="FirstParagraph"/>
        <w:ind w:firstLine="210"/>
        <w:rPr>
          <w:lang w:eastAsia="ja-JP"/>
        </w:rPr>
      </w:pPr>
      <w:r>
        <w:rPr>
          <w:lang w:eastAsia="ja-JP"/>
        </w:rPr>
        <w:t>日本の個人情報保護法</w:t>
      </w:r>
      <w:r>
        <w:rPr>
          <w:lang w:eastAsia="ja-JP"/>
        </w:rPr>
        <w:t>23</w:t>
      </w:r>
      <w:r>
        <w:rPr>
          <w:lang w:eastAsia="ja-JP"/>
        </w:rPr>
        <w:t>条２項は事後に本人からの申し出により情報の提供を停止することを条件に、（令和２年改正により条件は厳しくなったものの）事前の本人の同意なしに第三者に個人情報を提供することを認めている。これをオプトアウト方式による第三者への個人情報提供</w:t>
      </w:r>
      <w:r>
        <w:rPr>
          <w:lang w:eastAsia="ja-JP"/>
        </w:rPr>
        <w:t>と呼ぶ。</w:t>
      </w:r>
    </w:p>
    <w:p w:rsidR="000C0176" w:rsidRDefault="00C2699F" w:rsidP="000C0176">
      <w:pPr>
        <w:pStyle w:val="FirstParagraph"/>
        <w:ind w:firstLine="210"/>
        <w:rPr>
          <w:lang w:eastAsia="ja-JP"/>
        </w:rPr>
      </w:pPr>
      <w:r>
        <w:rPr>
          <w:lang w:eastAsia="ja-JP"/>
        </w:rPr>
        <w:t>オプトアウト方式についてはエリック・</w:t>
      </w:r>
      <w:r>
        <w:rPr>
          <w:lang w:eastAsia="ja-JP"/>
        </w:rPr>
        <w:t>J</w:t>
      </w:r>
      <w:r>
        <w:rPr>
          <w:lang w:eastAsia="ja-JP"/>
        </w:rPr>
        <w:t>・ジョンソンとダニエル・</w:t>
      </w:r>
      <w:r>
        <w:rPr>
          <w:lang w:eastAsia="ja-JP"/>
        </w:rPr>
        <w:t>G</w:t>
      </w:r>
      <w:r>
        <w:rPr>
          <w:lang w:eastAsia="ja-JP"/>
        </w:rPr>
        <w:t>・ゴールドシュタインが興味深い研究をしている。臓器移植に関して、事前に申し出があった場合にのみ臓器移植をしないとするオプトアウト方式の国は、事前の同意がなければ臓器移植ができないとするオプトイン方式を採用する国と比べて、臓器移植に応じてくれる人のパーセンテージが</w:t>
      </w:r>
      <w:r>
        <w:rPr>
          <w:lang w:eastAsia="ja-JP"/>
        </w:rPr>
        <w:t>60</w:t>
      </w:r>
      <w:r>
        <w:rPr>
          <w:lang w:eastAsia="ja-JP"/>
        </w:rPr>
        <w:t>ポイントほど高い。その原因の１つとして決定を下すことはしばしば努力を伴うが、初期設定を受け入れることは楽であり、積極的な判断を避ける人が多いということがあげられる</w:t>
      </w:r>
      <w:r>
        <w:rPr>
          <w:rStyle w:val="ac"/>
        </w:rPr>
        <w:footnoteReference w:id="27"/>
      </w:r>
      <w:r>
        <w:rPr>
          <w:lang w:eastAsia="ja-JP"/>
        </w:rPr>
        <w:t>。</w:t>
      </w:r>
    </w:p>
    <w:p w:rsidR="00983EF9" w:rsidRDefault="00C2699F" w:rsidP="000C0176">
      <w:pPr>
        <w:pStyle w:val="FirstParagraph"/>
        <w:ind w:firstLine="210"/>
        <w:rPr>
          <w:lang w:eastAsia="ja-JP"/>
        </w:rPr>
      </w:pPr>
      <w:r>
        <w:rPr>
          <w:lang w:eastAsia="ja-JP"/>
        </w:rPr>
        <w:t>このよ</w:t>
      </w:r>
      <w:r>
        <w:rPr>
          <w:lang w:eastAsia="ja-JP"/>
        </w:rPr>
        <w:t>うに臓器提供という身体の重要な決定ですらオプトインかオプトアウトで大きく結果が異なる。個人情報の取扱いに関する合意ではただでさえ個人と事業者の間に力の不均衡があるため、さらに個人の側に重い負担を押しつけるのは不適当だと思われる。</w:t>
      </w:r>
    </w:p>
    <w:p w:rsidR="00C219C5" w:rsidRDefault="00C219C5" w:rsidP="00EC7B3E">
      <w:pPr>
        <w:pStyle w:val="1"/>
        <w:keepNext w:val="0"/>
        <w:keepLines w:val="0"/>
        <w:widowControl w:val="0"/>
        <w:numPr>
          <w:ilvl w:val="0"/>
          <w:numId w:val="12"/>
        </w:numPr>
        <w:tabs>
          <w:tab w:val="left" w:pos="666"/>
          <w:tab w:val="left" w:pos="667"/>
        </w:tabs>
        <w:autoSpaceDE w:val="0"/>
        <w:autoSpaceDN w:val="0"/>
        <w:spacing w:before="0"/>
        <w:rPr>
          <w:rFonts w:hint="eastAsia"/>
        </w:rPr>
      </w:pPr>
      <w:proofErr w:type="spellStart"/>
      <w:r>
        <w:t>現行法による解決</w:t>
      </w:r>
      <w:proofErr w:type="spellEnd"/>
    </w:p>
    <w:p w:rsidR="00983EF9" w:rsidRDefault="00C2699F">
      <w:pPr>
        <w:pStyle w:val="FirstParagraph"/>
        <w:ind w:firstLine="210"/>
        <w:rPr>
          <w:lang w:eastAsia="ja-JP"/>
        </w:rPr>
      </w:pPr>
      <w:r>
        <w:rPr>
          <w:lang w:eastAsia="ja-JP"/>
        </w:rPr>
        <w:t>前</w:t>
      </w:r>
      <w:r>
        <w:rPr>
          <w:lang w:eastAsia="ja-JP"/>
        </w:rPr>
        <w:t>章でも述べたように、同意の条件として</w:t>
      </w:r>
      <w:r>
        <w:rPr>
          <w:lang w:eastAsia="ja-JP"/>
        </w:rPr>
        <w:t>GDPR</w:t>
      </w:r>
      <w:r>
        <w:rPr>
          <w:lang w:eastAsia="ja-JP"/>
        </w:rPr>
        <w:t>では、</w:t>
      </w:r>
      <w:r w:rsidR="000C0176">
        <w:rPr>
          <w:rFonts w:hint="eastAsia"/>
          <w:lang w:eastAsia="ja-JP"/>
        </w:rPr>
        <w:t>①</w:t>
      </w:r>
      <w:r>
        <w:rPr>
          <w:lang w:eastAsia="ja-JP"/>
        </w:rPr>
        <w:t>自由に与えられ、</w:t>
      </w:r>
      <w:r w:rsidR="000C0176">
        <w:rPr>
          <w:rFonts w:hint="eastAsia"/>
          <w:lang w:eastAsia="ja-JP"/>
        </w:rPr>
        <w:t>②</w:t>
      </w:r>
      <w:r>
        <w:rPr>
          <w:lang w:eastAsia="ja-JP"/>
        </w:rPr>
        <w:t>特定され、</w:t>
      </w:r>
      <w:r w:rsidR="00CF6822">
        <w:rPr>
          <w:rFonts w:hint="eastAsia"/>
          <w:lang w:eastAsia="ja-JP"/>
        </w:rPr>
        <w:t>③</w:t>
      </w:r>
      <w:r>
        <w:rPr>
          <w:lang w:eastAsia="ja-JP"/>
        </w:rPr>
        <w:t>事前に説明を受けた上での、</w:t>
      </w:r>
      <w:r w:rsidR="00CF6822">
        <w:rPr>
          <w:rFonts w:hint="eastAsia"/>
          <w:lang w:eastAsia="ja-JP"/>
        </w:rPr>
        <w:t>④</w:t>
      </w:r>
      <w:r>
        <w:rPr>
          <w:lang w:eastAsia="ja-JP"/>
        </w:rPr>
        <w:t>不明瞭ではない、</w:t>
      </w:r>
      <w:r w:rsidR="00CF6822">
        <w:rPr>
          <w:rFonts w:hint="eastAsia"/>
          <w:lang w:eastAsia="ja-JP"/>
        </w:rPr>
        <w:t>⑤</w:t>
      </w:r>
      <w:r>
        <w:rPr>
          <w:lang w:eastAsia="ja-JP"/>
        </w:rPr>
        <w:t>明確な積極的行為、という条件を課されている。しかしながら、日本の個人情報保護法では</w:t>
      </w:r>
      <w:r w:rsidR="00CF6822">
        <w:rPr>
          <w:rFonts w:hint="eastAsia"/>
          <w:lang w:eastAsia="ja-JP"/>
        </w:rPr>
        <w:t>①</w:t>
      </w:r>
      <w:r>
        <w:rPr>
          <w:lang w:eastAsia="ja-JP"/>
        </w:rPr>
        <w:t>・</w:t>
      </w:r>
      <w:r w:rsidR="00CF6822">
        <w:rPr>
          <w:rFonts w:hint="eastAsia"/>
          <w:lang w:eastAsia="ja-JP"/>
        </w:rPr>
        <w:t>③</w:t>
      </w:r>
      <w:r>
        <w:rPr>
          <w:lang w:eastAsia="ja-JP"/>
        </w:rPr>
        <w:t>は条件ではなく、</w:t>
      </w:r>
      <w:r w:rsidR="00CF6822">
        <w:rPr>
          <w:rFonts w:hint="eastAsia"/>
          <w:lang w:eastAsia="ja-JP"/>
        </w:rPr>
        <w:t>④</w:t>
      </w:r>
      <w:r>
        <w:rPr>
          <w:lang w:eastAsia="ja-JP"/>
        </w:rPr>
        <w:t>・</w:t>
      </w:r>
      <w:r w:rsidR="00CF6822">
        <w:rPr>
          <w:rFonts w:hint="eastAsia"/>
          <w:lang w:eastAsia="ja-JP"/>
        </w:rPr>
        <w:t>⑤</w:t>
      </w:r>
      <w:r>
        <w:rPr>
          <w:lang w:eastAsia="ja-JP"/>
        </w:rPr>
        <w:t>は保障の程度が薄い。その</w:t>
      </w:r>
      <w:r>
        <w:rPr>
          <w:lang w:eastAsia="ja-JP"/>
        </w:rPr>
        <w:t>ため、この章では、民法と私的独占の禁止及び公正取引の確保に関する法律（以下独占禁止法と略。）により、これらの条件を個人に有利なように、より厳しくできないかどうか模索する。</w:t>
      </w:r>
    </w:p>
    <w:p w:rsidR="00C219C5" w:rsidRDefault="00C219C5" w:rsidP="00EC7B3E">
      <w:pPr>
        <w:pStyle w:val="2"/>
        <w:keepNext w:val="0"/>
        <w:keepLines w:val="0"/>
        <w:widowControl w:val="0"/>
        <w:numPr>
          <w:ilvl w:val="1"/>
          <w:numId w:val="12"/>
        </w:numPr>
        <w:tabs>
          <w:tab w:val="left" w:pos="776"/>
          <w:tab w:val="left" w:pos="778"/>
        </w:tabs>
        <w:autoSpaceDE w:val="0"/>
        <w:autoSpaceDN w:val="0"/>
        <w:spacing w:before="0"/>
        <w:rPr>
          <w:rFonts w:hint="eastAsia"/>
          <w:lang w:eastAsia="ja-JP"/>
        </w:rPr>
      </w:pPr>
      <w:r>
        <w:rPr>
          <w:lang w:eastAsia="ja-JP"/>
        </w:rPr>
        <w:t>民法の定型約款による解決</w:t>
      </w:r>
    </w:p>
    <w:p w:rsidR="00EE4F3C" w:rsidRDefault="00C2699F" w:rsidP="00EE4F3C">
      <w:pPr>
        <w:pStyle w:val="FirstParagraph"/>
        <w:ind w:firstLine="210"/>
        <w:rPr>
          <w:lang w:eastAsia="ja-JP"/>
        </w:rPr>
      </w:pPr>
      <w:r>
        <w:rPr>
          <w:lang w:eastAsia="ja-JP"/>
        </w:rPr>
        <w:t>民法には</w:t>
      </w:r>
      <w:r>
        <w:rPr>
          <w:lang w:eastAsia="ja-JP"/>
        </w:rPr>
        <w:t>548</w:t>
      </w:r>
      <w:r>
        <w:rPr>
          <w:lang w:eastAsia="ja-JP"/>
        </w:rPr>
        <w:t>条の２で定型約款の制度が用意されている。そして</w:t>
      </w:r>
      <w:r>
        <w:rPr>
          <w:lang w:eastAsia="ja-JP"/>
        </w:rPr>
        <w:t>548</w:t>
      </w:r>
      <w:r>
        <w:rPr>
          <w:lang w:eastAsia="ja-JP"/>
        </w:rPr>
        <w:t>条の２第２項には信義則に照らして不当な個別条項は契約内容とならないと規定する。この制度を使えないかどうか検討する。</w:t>
      </w:r>
    </w:p>
    <w:p w:rsidR="00EE4F3C" w:rsidRDefault="00C2699F" w:rsidP="00EE4F3C">
      <w:pPr>
        <w:pStyle w:val="FirstParagraph"/>
        <w:ind w:firstLine="210"/>
        <w:rPr>
          <w:lang w:eastAsia="ja-JP"/>
        </w:rPr>
      </w:pPr>
      <w:r>
        <w:rPr>
          <w:lang w:eastAsia="ja-JP"/>
        </w:rPr>
        <w:t>個人情報保護法上の「同意」は、個人情報保護法が行政規定であるため、契約の成立に向けられた私法上の行為ではない。そのため、個人情報の取</w:t>
      </w:r>
      <w:r>
        <w:rPr>
          <w:lang w:eastAsia="ja-JP"/>
        </w:rPr>
        <w:t>得等の同意に関する規約は「定型約款」に該当しないというのが定型約款規定の立案担当者の見解である。しかしながら、個人情報の取得等の同意に関する条項が、免責条項など契約の成立に向けられた他の条項と一緒に利用規約の中に定められている場合や、契約締結画面やアカウント登録画面自体に表示されている場</w:t>
      </w:r>
      <w:r>
        <w:rPr>
          <w:lang w:eastAsia="ja-JP"/>
        </w:rPr>
        <w:lastRenderedPageBreak/>
        <w:t>合もある。このような場合は、</w:t>
      </w:r>
      <w:r w:rsidR="00EE4F3C">
        <w:rPr>
          <w:rFonts w:hint="eastAsia"/>
          <w:lang w:eastAsia="ja-JP"/>
        </w:rPr>
        <w:t>④</w:t>
      </w:r>
      <w:r>
        <w:rPr>
          <w:lang w:eastAsia="ja-JP"/>
        </w:rPr>
        <w:t>の「不明瞭ではない」という観点からすると、契約の同意と個人情報の取扱いに対する同意が明瞭に区別されているわけではなく、問題である。</w:t>
      </w:r>
    </w:p>
    <w:p w:rsidR="00EE4F3C" w:rsidRDefault="00C2699F" w:rsidP="00EE4F3C">
      <w:pPr>
        <w:pStyle w:val="FirstParagraph"/>
        <w:ind w:firstLine="210"/>
        <w:rPr>
          <w:lang w:eastAsia="ja-JP"/>
        </w:rPr>
      </w:pPr>
      <w:r>
        <w:rPr>
          <w:lang w:eastAsia="ja-JP"/>
        </w:rPr>
        <w:t>このような問題がある場合に、契約の成立に向けられた条項と、個人</w:t>
      </w:r>
      <w:r>
        <w:rPr>
          <w:lang w:eastAsia="ja-JP"/>
        </w:rPr>
        <w:t>情報の取得等の同意に関する条項全体をむしろ定型約款として扱い、後者を民法</w:t>
      </w:r>
      <w:r>
        <w:rPr>
          <w:lang w:eastAsia="ja-JP"/>
        </w:rPr>
        <w:t>548</w:t>
      </w:r>
      <w:r>
        <w:rPr>
          <w:lang w:eastAsia="ja-JP"/>
        </w:rPr>
        <w:t>条の２第２項に基づき、合意しなかったものとみなすことができないかどうかを検討する。</w:t>
      </w:r>
    </w:p>
    <w:p w:rsidR="00EE4F3C" w:rsidRDefault="00C2699F" w:rsidP="00EE4F3C">
      <w:pPr>
        <w:pStyle w:val="FirstParagraph"/>
        <w:ind w:firstLine="210"/>
        <w:rPr>
          <w:lang w:eastAsia="ja-JP"/>
        </w:rPr>
      </w:pPr>
      <w:r>
        <w:rPr>
          <w:lang w:eastAsia="ja-JP"/>
        </w:rPr>
        <w:t>まず、相手方たる利用者から見れば、個人情報の取得等の同意に関する規約は、価格条項や免責条項等と同列に定められた契約条件の１つと見える。そして、これらの条項に同意しなければ利用者はプラットフォームの利用ができないとすると、実質的に個人情報の取得等に関して同意しなければ、契約は成立しない。そうすると個人情報の取得等に関する条項は契約の成立のために向けら</w:t>
      </w:r>
      <w:r>
        <w:rPr>
          <w:lang w:eastAsia="ja-JP"/>
        </w:rPr>
        <w:t>れた条項と見ることができる。そうすることで、個人情報の取得等に関する規約を民法</w:t>
      </w:r>
      <w:r>
        <w:rPr>
          <w:lang w:eastAsia="ja-JP"/>
        </w:rPr>
        <w:t>548</w:t>
      </w:r>
      <w:r>
        <w:rPr>
          <w:lang w:eastAsia="ja-JP"/>
        </w:rPr>
        <w:t>条の２の「約款」にあたると言える可能性がある</w:t>
      </w:r>
      <w:r>
        <w:rPr>
          <w:rStyle w:val="ac"/>
        </w:rPr>
        <w:footnoteReference w:id="28"/>
      </w:r>
      <w:r>
        <w:rPr>
          <w:lang w:eastAsia="ja-JP"/>
        </w:rPr>
        <w:t>。</w:t>
      </w:r>
    </w:p>
    <w:p w:rsidR="00EE4F3C" w:rsidRDefault="00C2699F" w:rsidP="00EE4F3C">
      <w:pPr>
        <w:pStyle w:val="FirstParagraph"/>
        <w:ind w:firstLine="210"/>
        <w:rPr>
          <w:lang w:eastAsia="ja-JP"/>
        </w:rPr>
      </w:pPr>
      <w:r>
        <w:rPr>
          <w:lang w:eastAsia="ja-JP"/>
        </w:rPr>
        <w:t>あたるとすると、民法</w:t>
      </w:r>
      <w:r>
        <w:rPr>
          <w:lang w:eastAsia="ja-JP"/>
        </w:rPr>
        <w:t>548</w:t>
      </w:r>
      <w:r>
        <w:rPr>
          <w:lang w:eastAsia="ja-JP"/>
        </w:rPr>
        <w:t>条の２第２項により、「相手方の権利を制限し、又は相手方の義務を加重する条項」は、「その定型取引の態様及びその実情並びに取引上の社会通念に照らして第一条第二項に規定する基本原則に反して相手方の利益を一方的に害すると認められる」場合には、合意しなかったものとみなされる。そこで「その定型取引の態様及びその実情並びに取引上の社会通念」の意味について考える。</w:t>
      </w:r>
    </w:p>
    <w:p w:rsidR="00EE4F3C" w:rsidRDefault="00C2699F" w:rsidP="00EE4F3C">
      <w:pPr>
        <w:pStyle w:val="FirstParagraph"/>
        <w:ind w:firstLine="210"/>
        <w:rPr>
          <w:lang w:eastAsia="ja-JP"/>
        </w:rPr>
      </w:pPr>
      <w:r>
        <w:rPr>
          <w:lang w:eastAsia="ja-JP"/>
        </w:rPr>
        <w:t>定型約款の実務</w:t>
      </w:r>
      <w:r>
        <w:rPr>
          <w:lang w:eastAsia="ja-JP"/>
        </w:rPr>
        <w:t>Q</w:t>
      </w:r>
      <w:r>
        <w:rPr>
          <w:lang w:eastAsia="ja-JP"/>
        </w:rPr>
        <w:t>＆</w:t>
      </w:r>
      <w:r>
        <w:rPr>
          <w:lang w:eastAsia="ja-JP"/>
        </w:rPr>
        <w:t>A</w:t>
      </w:r>
      <w:r>
        <w:rPr>
          <w:lang w:eastAsia="ja-JP"/>
        </w:rPr>
        <w:t>によると、「客観的にみて予測し難い内容の条項が置かれ、かつ、その条項が相手方に重大な不利益を課すものであるときは、相手方においてその内容を知り得る措置を定型約款準備者が高じておかない限り、そのような条項は不意打ち的なものとして信義則に反することとなる蓋然性が高いと考えられ」る</w:t>
      </w:r>
      <w:r>
        <w:rPr>
          <w:rStyle w:val="ac"/>
        </w:rPr>
        <w:footnoteReference w:id="29"/>
      </w:r>
      <w:r>
        <w:rPr>
          <w:lang w:eastAsia="ja-JP"/>
        </w:rPr>
        <w:t>。「相手方に重大な不利益を課す」が</w:t>
      </w:r>
      <w:r w:rsidR="00EE4F3C">
        <w:rPr>
          <w:rFonts w:hint="eastAsia"/>
          <w:lang w:eastAsia="ja-JP"/>
        </w:rPr>
        <w:t>①</w:t>
      </w:r>
      <w:r>
        <w:rPr>
          <w:lang w:eastAsia="ja-JP"/>
        </w:rPr>
        <w:t>の「力の不均衡が存在する」という条件に類似で、「相手方においてその内容を知り得る措置を定型約款準備者が高じ」が</w:t>
      </w:r>
      <w:r w:rsidR="00EE4F3C">
        <w:rPr>
          <w:rFonts w:hint="eastAsia"/>
          <w:lang w:eastAsia="ja-JP"/>
        </w:rPr>
        <w:t>③</w:t>
      </w:r>
      <w:r>
        <w:rPr>
          <w:lang w:eastAsia="ja-JP"/>
        </w:rPr>
        <w:t>の「事前に説明を受けた」と類似である。以上より、</w:t>
      </w:r>
      <w:r w:rsidR="00EE4F3C">
        <w:rPr>
          <w:rFonts w:hint="eastAsia"/>
          <w:lang w:eastAsia="ja-JP"/>
        </w:rPr>
        <w:t>④</w:t>
      </w:r>
      <w:r>
        <w:rPr>
          <w:lang w:eastAsia="ja-JP"/>
        </w:rPr>
        <w:t>・</w:t>
      </w:r>
      <w:r w:rsidR="00EE4F3C">
        <w:rPr>
          <w:rFonts w:hint="eastAsia"/>
          <w:lang w:eastAsia="ja-JP"/>
        </w:rPr>
        <w:t>①</w:t>
      </w:r>
      <w:r>
        <w:rPr>
          <w:lang w:eastAsia="ja-JP"/>
        </w:rPr>
        <w:t>・</w:t>
      </w:r>
      <w:r w:rsidR="00EE4F3C">
        <w:rPr>
          <w:rFonts w:hint="eastAsia"/>
          <w:lang w:eastAsia="ja-JP"/>
        </w:rPr>
        <w:t>③</w:t>
      </w:r>
      <w:r>
        <w:rPr>
          <w:lang w:eastAsia="ja-JP"/>
        </w:rPr>
        <w:t>すべ</w:t>
      </w:r>
      <w:r>
        <w:rPr>
          <w:lang w:eastAsia="ja-JP"/>
        </w:rPr>
        <w:t>ての条件を満たさない場合は、</w:t>
      </w:r>
      <w:r>
        <w:rPr>
          <w:lang w:eastAsia="ja-JP"/>
        </w:rPr>
        <w:t>548</w:t>
      </w:r>
      <w:r>
        <w:rPr>
          <w:lang w:eastAsia="ja-JP"/>
        </w:rPr>
        <w:t>条の２第２項により、個人情報の取得等に関する不当な条項を排除できる可能性がある。</w:t>
      </w:r>
    </w:p>
    <w:p w:rsidR="00EE4F3C" w:rsidRDefault="00C2699F" w:rsidP="00EE4F3C">
      <w:pPr>
        <w:pStyle w:val="FirstParagraph"/>
        <w:ind w:firstLine="210"/>
        <w:rPr>
          <w:lang w:eastAsia="ja-JP"/>
        </w:rPr>
      </w:pPr>
      <w:r>
        <w:rPr>
          <w:lang w:eastAsia="ja-JP"/>
        </w:rPr>
        <w:t>また、さらに進んで、定型約款が不特定多数の者を相手に利用されるという性質からすると、ある条項が不当かどうかは客観的に判断すべきであるから、</w:t>
      </w:r>
      <w:r w:rsidR="00EE4F3C">
        <w:rPr>
          <w:rFonts w:hint="eastAsia"/>
          <w:lang w:eastAsia="ja-JP"/>
        </w:rPr>
        <w:t>③</w:t>
      </w:r>
      <w:r>
        <w:rPr>
          <w:lang w:eastAsia="ja-JP"/>
        </w:rPr>
        <w:t>の条件は排除すべきだという考え方もありうる</w:t>
      </w:r>
      <w:r>
        <w:rPr>
          <w:rStyle w:val="ac"/>
        </w:rPr>
        <w:footnoteReference w:id="30"/>
      </w:r>
      <w:r>
        <w:rPr>
          <w:lang w:eastAsia="ja-JP"/>
        </w:rPr>
        <w:t>。</w:t>
      </w:r>
    </w:p>
    <w:p w:rsidR="00983EF9" w:rsidRDefault="00C2699F" w:rsidP="00EE4F3C">
      <w:pPr>
        <w:pStyle w:val="FirstParagraph"/>
        <w:ind w:firstLine="210"/>
        <w:rPr>
          <w:lang w:eastAsia="ja-JP"/>
        </w:rPr>
      </w:pPr>
      <w:r>
        <w:rPr>
          <w:lang w:eastAsia="ja-JP"/>
        </w:rPr>
        <w:t>以上のように、</w:t>
      </w:r>
      <w:r w:rsidR="00EE4F3C">
        <w:rPr>
          <w:rFonts w:hint="eastAsia"/>
          <w:lang w:eastAsia="ja-JP"/>
        </w:rPr>
        <w:t>①</w:t>
      </w:r>
      <w:r>
        <w:rPr>
          <w:lang w:eastAsia="ja-JP"/>
        </w:rPr>
        <w:t>・</w:t>
      </w:r>
      <w:r w:rsidR="00EE4F3C">
        <w:rPr>
          <w:rFonts w:hint="eastAsia"/>
          <w:lang w:eastAsia="ja-JP"/>
        </w:rPr>
        <w:t>④</w:t>
      </w:r>
      <w:r>
        <w:rPr>
          <w:lang w:eastAsia="ja-JP"/>
        </w:rPr>
        <w:t>の条件を満たさない個人情報の取得等に関する同意に対して、事業者に不利益を与えることで、実質的に</w:t>
      </w:r>
      <w:r w:rsidR="00EE4F3C">
        <w:rPr>
          <w:rFonts w:hint="eastAsia"/>
          <w:lang w:eastAsia="ja-JP"/>
        </w:rPr>
        <w:t>①</w:t>
      </w:r>
      <w:r>
        <w:rPr>
          <w:lang w:eastAsia="ja-JP"/>
        </w:rPr>
        <w:t>・</w:t>
      </w:r>
      <w:r w:rsidR="00EE4F3C">
        <w:rPr>
          <w:rFonts w:hint="eastAsia"/>
          <w:lang w:eastAsia="ja-JP"/>
        </w:rPr>
        <w:t>④</w:t>
      </w:r>
      <w:r>
        <w:rPr>
          <w:lang w:eastAsia="ja-JP"/>
        </w:rPr>
        <w:t>の条件を同意の条件に含めることができる可能性がある。</w:t>
      </w:r>
    </w:p>
    <w:p w:rsidR="00C219C5" w:rsidRDefault="00C219C5" w:rsidP="00EC7B3E">
      <w:pPr>
        <w:pStyle w:val="2"/>
        <w:keepNext w:val="0"/>
        <w:keepLines w:val="0"/>
        <w:widowControl w:val="0"/>
        <w:numPr>
          <w:ilvl w:val="1"/>
          <w:numId w:val="12"/>
        </w:numPr>
        <w:tabs>
          <w:tab w:val="left" w:pos="776"/>
          <w:tab w:val="left" w:pos="778"/>
        </w:tabs>
        <w:autoSpaceDE w:val="0"/>
        <w:autoSpaceDN w:val="0"/>
        <w:spacing w:before="1"/>
        <w:rPr>
          <w:rFonts w:hint="eastAsia"/>
        </w:rPr>
      </w:pPr>
      <w:proofErr w:type="spellStart"/>
      <w:r>
        <w:t>独占禁止法による解決</w:t>
      </w:r>
      <w:proofErr w:type="spellEnd"/>
    </w:p>
    <w:p w:rsidR="00983EF9" w:rsidRDefault="00C2699F" w:rsidP="00EC7B3E">
      <w:pPr>
        <w:pStyle w:val="FirstParagraph"/>
        <w:ind w:firstLine="210"/>
        <w:rPr>
          <w:lang w:eastAsia="ja-JP"/>
        </w:rPr>
      </w:pPr>
      <w:r>
        <w:rPr>
          <w:lang w:eastAsia="ja-JP"/>
        </w:rPr>
        <w:t>独占禁止法２条９項５号により優越的地位の濫用が禁止されている。取引上優越している事業者からの一方的な要請に対し、それが著しく不利益なものであったとしても「同意」せざるを得ない場合に、それを果たして「同意」としてもよいのかどうかが問題となる。伊永は「自</w:t>
      </w:r>
      <w:r>
        <w:rPr>
          <w:lang w:eastAsia="ja-JP"/>
        </w:rPr>
        <w:lastRenderedPageBreak/>
        <w:t>由かつ自主的な判断」かどうかを基準とし、その考慮要素の類型として、</w:t>
      </w:r>
      <w:r>
        <w:rPr>
          <w:rFonts w:ascii="ＭＳ 明朝" w:eastAsia="ＭＳ 明朝" w:hAnsi="ＭＳ 明朝" w:cs="ＭＳ 明朝" w:hint="eastAsia"/>
          <w:lang w:eastAsia="ja-JP"/>
        </w:rPr>
        <w:t>⑴</w:t>
      </w:r>
      <w:r>
        <w:rPr>
          <w:lang w:eastAsia="ja-JP"/>
        </w:rPr>
        <w:t>取引の相手方が「納得して同意」しているとの主観的認識を有しているか、</w:t>
      </w:r>
      <w:r>
        <w:rPr>
          <w:rFonts w:ascii="ＭＳ 明朝" w:eastAsia="ＭＳ 明朝" w:hAnsi="ＭＳ 明朝" w:cs="ＭＳ 明朝" w:hint="eastAsia"/>
          <w:lang w:eastAsia="ja-JP"/>
        </w:rPr>
        <w:t>⑵</w:t>
      </w:r>
      <w:r>
        <w:rPr>
          <w:lang w:eastAsia="ja-JP"/>
        </w:rPr>
        <w:t>取引の相手方に対して十分に情報提供がなされたか、</w:t>
      </w:r>
      <w:r>
        <w:rPr>
          <w:rFonts w:ascii="ＭＳ 明朝" w:eastAsia="ＭＳ 明朝" w:hAnsi="ＭＳ 明朝" w:cs="ＭＳ 明朝" w:hint="eastAsia"/>
          <w:lang w:eastAsia="ja-JP"/>
        </w:rPr>
        <w:t>⑶</w:t>
      </w:r>
      <w:r>
        <w:rPr>
          <w:lang w:eastAsia="ja-JP"/>
        </w:rPr>
        <w:t>同意が十分な協議を経てされたものであるか、</w:t>
      </w:r>
      <w:r>
        <w:rPr>
          <w:rFonts w:ascii="ＭＳ 明朝" w:eastAsia="ＭＳ 明朝" w:hAnsi="ＭＳ 明朝" w:cs="ＭＳ 明朝" w:hint="eastAsia"/>
          <w:lang w:eastAsia="ja-JP"/>
        </w:rPr>
        <w:t>⑷</w:t>
      </w:r>
      <w:r>
        <w:rPr>
          <w:lang w:eastAsia="ja-JP"/>
        </w:rPr>
        <w:t>取引内容が合理的か、</w:t>
      </w:r>
      <w:r>
        <w:rPr>
          <w:rFonts w:ascii="ＭＳ 明朝" w:eastAsia="ＭＳ 明朝" w:hAnsi="ＭＳ 明朝" w:cs="ＭＳ 明朝" w:hint="eastAsia"/>
          <w:lang w:eastAsia="ja-JP"/>
        </w:rPr>
        <w:t>⑸</w:t>
      </w:r>
      <w:r>
        <w:rPr>
          <w:lang w:eastAsia="ja-JP"/>
        </w:rPr>
        <w:t>同意しなかった場合に不利益がないか、といったものをあげている</w:t>
      </w:r>
      <w:r>
        <w:rPr>
          <w:rStyle w:val="ac"/>
        </w:rPr>
        <w:footnoteReference w:id="31"/>
      </w:r>
      <w:r>
        <w:rPr>
          <w:lang w:eastAsia="ja-JP"/>
        </w:rPr>
        <w:t>。独占禁止法により、</w:t>
      </w:r>
      <w:r>
        <w:rPr>
          <w:rFonts w:ascii="ＭＳ 明朝" w:eastAsia="ＭＳ 明朝" w:hAnsi="ＭＳ 明朝" w:cs="ＭＳ 明朝" w:hint="eastAsia"/>
          <w:lang w:eastAsia="ja-JP"/>
        </w:rPr>
        <w:t>⑴</w:t>
      </w:r>
      <w:r>
        <w:rPr>
          <w:lang w:eastAsia="ja-JP"/>
        </w:rPr>
        <w:t>～</w:t>
      </w:r>
      <w:r>
        <w:rPr>
          <w:rFonts w:ascii="ＭＳ 明朝" w:eastAsia="ＭＳ 明朝" w:hAnsi="ＭＳ 明朝" w:cs="ＭＳ 明朝" w:hint="eastAsia"/>
          <w:lang w:eastAsia="ja-JP"/>
        </w:rPr>
        <w:t>⑸</w:t>
      </w:r>
      <w:r>
        <w:rPr>
          <w:lang w:eastAsia="ja-JP"/>
        </w:rPr>
        <w:t>に違反する行為が禁止されるとすると、</w:t>
      </w:r>
      <w:r>
        <w:rPr>
          <w:rFonts w:ascii="ＭＳ 明朝" w:eastAsia="ＭＳ 明朝" w:hAnsi="ＭＳ 明朝" w:cs="ＭＳ 明朝" w:hint="eastAsia"/>
          <w:lang w:eastAsia="ja-JP"/>
        </w:rPr>
        <w:t>⑵</w:t>
      </w:r>
      <w:r>
        <w:rPr>
          <w:lang w:eastAsia="ja-JP"/>
        </w:rPr>
        <w:t>、</w:t>
      </w:r>
      <w:r>
        <w:rPr>
          <w:rFonts w:ascii="ＭＳ 明朝" w:eastAsia="ＭＳ 明朝" w:hAnsi="ＭＳ 明朝" w:cs="ＭＳ 明朝" w:hint="eastAsia"/>
          <w:lang w:eastAsia="ja-JP"/>
        </w:rPr>
        <w:t>⑶</w:t>
      </w:r>
      <w:r>
        <w:rPr>
          <w:lang w:eastAsia="ja-JP"/>
        </w:rPr>
        <w:t>の観点から</w:t>
      </w:r>
      <w:r w:rsidR="00EE4F3C">
        <w:rPr>
          <w:rFonts w:hint="eastAsia"/>
          <w:lang w:eastAsia="ja-JP"/>
        </w:rPr>
        <w:t>③</w:t>
      </w:r>
      <w:r>
        <w:rPr>
          <w:lang w:eastAsia="ja-JP"/>
        </w:rPr>
        <w:t>の「事前に説明を受けた」という条件を、</w:t>
      </w:r>
      <w:r>
        <w:rPr>
          <w:rFonts w:ascii="ＭＳ 明朝" w:eastAsia="ＭＳ 明朝" w:hAnsi="ＭＳ 明朝" w:cs="ＭＳ 明朝" w:hint="eastAsia"/>
          <w:lang w:eastAsia="ja-JP"/>
        </w:rPr>
        <w:t>⑷</w:t>
      </w:r>
      <w:r>
        <w:rPr>
          <w:lang w:eastAsia="ja-JP"/>
        </w:rPr>
        <w:t>、</w:t>
      </w:r>
      <w:r>
        <w:rPr>
          <w:rFonts w:ascii="ＭＳ 明朝" w:eastAsia="ＭＳ 明朝" w:hAnsi="ＭＳ 明朝" w:cs="ＭＳ 明朝" w:hint="eastAsia"/>
          <w:lang w:eastAsia="ja-JP"/>
        </w:rPr>
        <w:t>⑸</w:t>
      </w:r>
      <w:r>
        <w:rPr>
          <w:lang w:eastAsia="ja-JP"/>
        </w:rPr>
        <w:t>の観点から</w:t>
      </w:r>
      <w:r w:rsidR="00EE4F3C">
        <w:rPr>
          <w:rFonts w:hint="eastAsia"/>
          <w:lang w:eastAsia="ja-JP"/>
        </w:rPr>
        <w:t>①</w:t>
      </w:r>
      <w:r>
        <w:rPr>
          <w:lang w:eastAsia="ja-JP"/>
        </w:rPr>
        <w:t>の「（力の不均衡などがなく、）自由になされた」という条件を、同意の条件に含めることができる可能性がある。</w:t>
      </w:r>
    </w:p>
    <w:p w:rsidR="00EC7B3E" w:rsidRPr="00EC7B3E" w:rsidRDefault="00EC7B3E" w:rsidP="00EC7B3E">
      <w:pPr>
        <w:pStyle w:val="1"/>
        <w:keepNext w:val="0"/>
        <w:keepLines w:val="0"/>
        <w:widowControl w:val="0"/>
        <w:numPr>
          <w:ilvl w:val="0"/>
          <w:numId w:val="12"/>
        </w:numPr>
        <w:tabs>
          <w:tab w:val="left" w:pos="666"/>
          <w:tab w:val="left" w:pos="667"/>
        </w:tabs>
        <w:autoSpaceDE w:val="0"/>
        <w:autoSpaceDN w:val="0"/>
        <w:spacing w:before="148"/>
        <w:rPr>
          <w:rFonts w:hint="eastAsia"/>
        </w:rPr>
      </w:pPr>
      <w:proofErr w:type="spellStart"/>
      <w:r>
        <w:t>まとめ</w:t>
      </w:r>
      <w:proofErr w:type="spellEnd"/>
    </w:p>
    <w:p w:rsidR="00EE4F3C" w:rsidRDefault="00C2699F" w:rsidP="00EE4F3C">
      <w:pPr>
        <w:pStyle w:val="FirstParagraph"/>
        <w:ind w:firstLine="210"/>
        <w:rPr>
          <w:lang w:eastAsia="ja-JP"/>
        </w:rPr>
      </w:pPr>
      <w:r>
        <w:rPr>
          <w:lang w:eastAsia="ja-JP"/>
        </w:rPr>
        <w:t>以上のよう</w:t>
      </w:r>
      <w:r>
        <w:rPr>
          <w:lang w:eastAsia="ja-JP"/>
        </w:rPr>
        <w:t>に個人情報保護法を主に同意の観点から検討してきた。プラットフォーム時代においては</w:t>
      </w:r>
      <w:r>
        <w:rPr>
          <w:lang w:eastAsia="ja-JP"/>
        </w:rPr>
        <w:t>GDPR</w:t>
      </w:r>
      <w:r>
        <w:rPr>
          <w:lang w:eastAsia="ja-JP"/>
        </w:rPr>
        <w:t>の「自由に与えられ」により条件とされる、「力の不均衡がないこと」が特に重要になってくると思われる。そのため、現行法上あまり認められそうにないことは問題だと思う。しかしながら、個人情報保護法は３年ごとの見直しが明文化されている。毎度の改正により、個人情報保護法がよりよいものとなっていっていると感じられるため、今後に期待するところである。</w:t>
      </w:r>
    </w:p>
    <w:p w:rsidR="00EE4F3C" w:rsidRDefault="00EE4F3C" w:rsidP="00EE4F3C">
      <w:pPr>
        <w:pStyle w:val="FirstParagraph"/>
        <w:ind w:firstLine="210"/>
        <w:rPr>
          <w:lang w:eastAsia="ja-JP"/>
        </w:rPr>
      </w:pPr>
    </w:p>
    <w:p w:rsidR="00EE4F3C" w:rsidRDefault="00C2699F" w:rsidP="00EE4F3C">
      <w:pPr>
        <w:pStyle w:val="FirstParagraph"/>
        <w:ind w:firstLine="210"/>
        <w:rPr>
          <w:lang w:eastAsia="ja-JP"/>
        </w:rPr>
      </w:pPr>
      <w:r>
        <w:rPr>
          <w:lang w:eastAsia="ja-JP"/>
        </w:rPr>
        <w:t>【参考文献一覧】</w:t>
      </w:r>
    </w:p>
    <w:p w:rsidR="00983EF9" w:rsidRDefault="00C2699F" w:rsidP="00EE4F3C">
      <w:pPr>
        <w:pStyle w:val="FirstParagraph"/>
        <w:ind w:firstLineChars="0" w:firstLine="0"/>
        <w:rPr>
          <w:lang w:eastAsia="ja-JP"/>
        </w:rPr>
      </w:pPr>
      <w:r>
        <w:rPr>
          <w:lang w:eastAsia="ja-JP"/>
        </w:rPr>
        <w:t>・中川裕志『プライバシー保護入門</w:t>
      </w:r>
      <w:r>
        <w:rPr>
          <w:lang w:eastAsia="ja-JP"/>
        </w:rPr>
        <w:t xml:space="preserve"> </w:t>
      </w:r>
      <w:r>
        <w:rPr>
          <w:lang w:eastAsia="ja-JP"/>
        </w:rPr>
        <w:t>法制度と数理的基礎』（勁草書房、</w:t>
      </w:r>
      <w:r>
        <w:rPr>
          <w:lang w:eastAsia="ja-JP"/>
        </w:rPr>
        <w:t>2</w:t>
      </w:r>
      <w:r>
        <w:rPr>
          <w:lang w:eastAsia="ja-JP"/>
        </w:rPr>
        <w:t>016</w:t>
      </w:r>
      <w:r>
        <w:rPr>
          <w:lang w:eastAsia="ja-JP"/>
        </w:rPr>
        <w:t>年）</w:t>
      </w:r>
      <w:r>
        <w:rPr>
          <w:lang w:eastAsia="ja-JP"/>
        </w:rPr>
        <w:br/>
      </w:r>
      <w:r>
        <w:rPr>
          <w:lang w:eastAsia="ja-JP"/>
        </w:rPr>
        <w:t>・佐藤幸治『日本国憲法論』（成文堂、</w:t>
      </w:r>
      <w:r>
        <w:rPr>
          <w:lang w:eastAsia="ja-JP"/>
        </w:rPr>
        <w:t>2011</w:t>
      </w:r>
      <w:r>
        <w:rPr>
          <w:lang w:eastAsia="ja-JP"/>
        </w:rPr>
        <w:t>年）</w:t>
      </w:r>
      <w:r>
        <w:rPr>
          <w:lang w:eastAsia="ja-JP"/>
        </w:rPr>
        <w:br/>
      </w:r>
      <w:r>
        <w:rPr>
          <w:lang w:eastAsia="ja-JP"/>
        </w:rPr>
        <w:t>・山本龍彦『プライバシーの権利を考える』（信山社、</w:t>
      </w:r>
      <w:r>
        <w:rPr>
          <w:lang w:eastAsia="ja-JP"/>
        </w:rPr>
        <w:t>2017</w:t>
      </w:r>
      <w:r>
        <w:rPr>
          <w:lang w:eastAsia="ja-JP"/>
        </w:rPr>
        <w:t>年）</w:t>
      </w:r>
      <w:r>
        <w:rPr>
          <w:lang w:eastAsia="ja-JP"/>
        </w:rPr>
        <w:br/>
      </w:r>
      <w:r>
        <w:rPr>
          <w:lang w:eastAsia="ja-JP"/>
        </w:rPr>
        <w:t>・平松毅『個人情報保護</w:t>
      </w:r>
      <w:r>
        <w:rPr>
          <w:lang w:eastAsia="ja-JP"/>
        </w:rPr>
        <w:t>―</w:t>
      </w:r>
      <w:r>
        <w:rPr>
          <w:lang w:eastAsia="ja-JP"/>
        </w:rPr>
        <w:t>理論と運用』（有信堂高文社、</w:t>
      </w:r>
      <w:r>
        <w:rPr>
          <w:lang w:eastAsia="ja-JP"/>
        </w:rPr>
        <w:t>2009</w:t>
      </w:r>
      <w:r>
        <w:rPr>
          <w:lang w:eastAsia="ja-JP"/>
        </w:rPr>
        <w:t>年）</w:t>
      </w:r>
      <w:r>
        <w:rPr>
          <w:lang w:eastAsia="ja-JP"/>
        </w:rPr>
        <w:br/>
      </w:r>
      <w:r>
        <w:rPr>
          <w:lang w:eastAsia="ja-JP"/>
        </w:rPr>
        <w:t>・小山剛「単純個人情報の憲法上の保護」論究ジュリスト１号（</w:t>
      </w:r>
      <w:r>
        <w:rPr>
          <w:lang w:eastAsia="ja-JP"/>
        </w:rPr>
        <w:t>2012</w:t>
      </w:r>
      <w:r>
        <w:rPr>
          <w:lang w:eastAsia="ja-JP"/>
        </w:rPr>
        <w:t>年）</w:t>
      </w:r>
      <w:r>
        <w:rPr>
          <w:lang w:eastAsia="ja-JP"/>
        </w:rPr>
        <w:br/>
      </w:r>
      <w:r>
        <w:rPr>
          <w:lang w:eastAsia="ja-JP"/>
        </w:rPr>
        <w:t>・曽我部真裕＝山本龍彦「自己情報コントロール権をめぐって」情報法制研究７号（</w:t>
      </w:r>
      <w:r>
        <w:rPr>
          <w:lang w:eastAsia="ja-JP"/>
        </w:rPr>
        <w:t>2020</w:t>
      </w:r>
      <w:r>
        <w:rPr>
          <w:lang w:eastAsia="ja-JP"/>
        </w:rPr>
        <w:t>年）</w:t>
      </w:r>
      <w:r>
        <w:rPr>
          <w:lang w:eastAsia="ja-JP"/>
        </w:rPr>
        <w:br/>
      </w:r>
      <w:r>
        <w:rPr>
          <w:lang w:eastAsia="ja-JP"/>
        </w:rPr>
        <w:t>・宇賀克也『個人情報保護法の逐条解説（第６版）』（有斐閣、</w:t>
      </w:r>
      <w:r>
        <w:rPr>
          <w:lang w:eastAsia="ja-JP"/>
        </w:rPr>
        <w:t>2018</w:t>
      </w:r>
      <w:r>
        <w:rPr>
          <w:lang w:eastAsia="ja-JP"/>
        </w:rPr>
        <w:t>年）</w:t>
      </w:r>
      <w:r>
        <w:rPr>
          <w:lang w:eastAsia="ja-JP"/>
        </w:rPr>
        <w:br/>
      </w:r>
      <w:r>
        <w:rPr>
          <w:lang w:eastAsia="ja-JP"/>
        </w:rPr>
        <w:t>・實原隆志「</w:t>
      </w:r>
      <w:r>
        <w:rPr>
          <w:lang w:eastAsia="ja-JP"/>
        </w:rPr>
        <w:t>IP</w:t>
      </w:r>
      <w:r>
        <w:rPr>
          <w:lang w:eastAsia="ja-JP"/>
        </w:rPr>
        <w:t>アドレスの個人情報該当性」長崎県立大学研究紀要</w:t>
      </w:r>
      <w:r>
        <w:rPr>
          <w:lang w:eastAsia="ja-JP"/>
        </w:rPr>
        <w:t>15</w:t>
      </w:r>
      <w:r>
        <w:rPr>
          <w:lang w:eastAsia="ja-JP"/>
        </w:rPr>
        <w:t>号（</w:t>
      </w:r>
      <w:r>
        <w:rPr>
          <w:lang w:eastAsia="ja-JP"/>
        </w:rPr>
        <w:t>2015</w:t>
      </w:r>
      <w:r>
        <w:rPr>
          <w:lang w:eastAsia="ja-JP"/>
        </w:rPr>
        <w:t>年）</w:t>
      </w:r>
      <w:r>
        <w:rPr>
          <w:lang w:eastAsia="ja-JP"/>
        </w:rPr>
        <w:br/>
      </w:r>
      <w:r>
        <w:rPr>
          <w:lang w:eastAsia="ja-JP"/>
        </w:rPr>
        <w:t>・</w:t>
      </w:r>
      <w:r>
        <w:rPr>
          <w:lang w:eastAsia="ja-JP"/>
        </w:rPr>
        <w:t>宮下紘『</w:t>
      </w:r>
      <w:r>
        <w:rPr>
          <w:lang w:eastAsia="ja-JP"/>
        </w:rPr>
        <w:t>EU</w:t>
      </w:r>
      <w:r>
        <w:rPr>
          <w:lang w:eastAsia="ja-JP"/>
        </w:rPr>
        <w:t>一般データ保護規則』（勁草書房、</w:t>
      </w:r>
      <w:r>
        <w:rPr>
          <w:lang w:eastAsia="ja-JP"/>
        </w:rPr>
        <w:t>2018</w:t>
      </w:r>
      <w:r>
        <w:rPr>
          <w:lang w:eastAsia="ja-JP"/>
        </w:rPr>
        <w:t>年）</w:t>
      </w:r>
      <w:r>
        <w:rPr>
          <w:lang w:eastAsia="ja-JP"/>
        </w:rPr>
        <w:br/>
      </w:r>
      <w:r>
        <w:rPr>
          <w:lang w:eastAsia="ja-JP"/>
        </w:rPr>
        <w:t>・小向太郎＝石井夏生利『概説</w:t>
      </w:r>
      <w:r>
        <w:rPr>
          <w:lang w:eastAsia="ja-JP"/>
        </w:rPr>
        <w:t>GDPR―</w:t>
      </w:r>
      <w:r>
        <w:rPr>
          <w:lang w:eastAsia="ja-JP"/>
        </w:rPr>
        <w:t>世界を揺るがす個人情報保護制度』（</w:t>
      </w:r>
      <w:r>
        <w:rPr>
          <w:lang w:eastAsia="ja-JP"/>
        </w:rPr>
        <w:t>NTT</w:t>
      </w:r>
      <w:r>
        <w:rPr>
          <w:lang w:eastAsia="ja-JP"/>
        </w:rPr>
        <w:t>出版、</w:t>
      </w:r>
      <w:r>
        <w:rPr>
          <w:lang w:eastAsia="ja-JP"/>
        </w:rPr>
        <w:t>2019</w:t>
      </w:r>
      <w:r>
        <w:rPr>
          <w:lang w:eastAsia="ja-JP"/>
        </w:rPr>
        <w:t>年）</w:t>
      </w:r>
      <w:r>
        <w:rPr>
          <w:lang w:eastAsia="ja-JP"/>
        </w:rPr>
        <w:br/>
      </w:r>
      <w:r>
        <w:rPr>
          <w:lang w:eastAsia="ja-JP"/>
        </w:rPr>
        <w:t>・</w:t>
      </w:r>
      <w:r>
        <w:rPr>
          <w:lang w:eastAsia="ja-JP"/>
        </w:rPr>
        <w:t>Eric J. Johnson &amp; Daniel G. Goldstein(2004).Defaults and Donation Decisions. Transplantation, 78(12)</w:t>
      </w:r>
      <w:r>
        <w:rPr>
          <w:lang w:eastAsia="ja-JP"/>
        </w:rPr>
        <w:br/>
      </w:r>
      <w:r>
        <w:rPr>
          <w:lang w:eastAsia="ja-JP"/>
        </w:rPr>
        <w:t>・大澤彩「民法・消費者法からみた『同意』</w:t>
      </w:r>
      <w:r>
        <w:rPr>
          <w:lang w:eastAsia="ja-JP"/>
        </w:rPr>
        <w:t>―</w:t>
      </w:r>
      <w:r>
        <w:rPr>
          <w:lang w:eastAsia="ja-JP"/>
        </w:rPr>
        <w:t>事業者・消費者取引における消費者の個人データ取得の場面等を素材に」</w:t>
      </w:r>
      <w:r>
        <w:rPr>
          <w:lang w:eastAsia="ja-JP"/>
        </w:rPr>
        <w:t>NBL1167</w:t>
      </w:r>
      <w:r>
        <w:rPr>
          <w:lang w:eastAsia="ja-JP"/>
        </w:rPr>
        <w:t>号（</w:t>
      </w:r>
      <w:r>
        <w:rPr>
          <w:lang w:eastAsia="ja-JP"/>
        </w:rPr>
        <w:t>2020</w:t>
      </w:r>
      <w:r>
        <w:rPr>
          <w:lang w:eastAsia="ja-JP"/>
        </w:rPr>
        <w:t>年）</w:t>
      </w:r>
      <w:r>
        <w:rPr>
          <w:lang w:eastAsia="ja-JP"/>
        </w:rPr>
        <w:br/>
      </w:r>
      <w:r>
        <w:rPr>
          <w:lang w:eastAsia="ja-JP"/>
        </w:rPr>
        <w:t>・村松秀樹＝</w:t>
      </w:r>
      <w:r>
        <w:rPr>
          <w:lang w:eastAsia="ja-JP"/>
        </w:rPr>
        <w:t>松尾博憲『定型約款の実務</w:t>
      </w:r>
      <w:r>
        <w:rPr>
          <w:lang w:eastAsia="ja-JP"/>
        </w:rPr>
        <w:t>Q</w:t>
      </w:r>
      <w:r>
        <w:rPr>
          <w:lang w:eastAsia="ja-JP"/>
        </w:rPr>
        <w:t>＆</w:t>
      </w:r>
      <w:r>
        <w:rPr>
          <w:lang w:eastAsia="ja-JP"/>
        </w:rPr>
        <w:t>A</w:t>
      </w:r>
      <w:r>
        <w:rPr>
          <w:lang w:eastAsia="ja-JP"/>
        </w:rPr>
        <w:t>』（商事法務、</w:t>
      </w:r>
      <w:r>
        <w:rPr>
          <w:lang w:eastAsia="ja-JP"/>
        </w:rPr>
        <w:t>2018</w:t>
      </w:r>
      <w:r>
        <w:rPr>
          <w:lang w:eastAsia="ja-JP"/>
        </w:rPr>
        <w:t>年）</w:t>
      </w:r>
      <w:r>
        <w:rPr>
          <w:lang w:eastAsia="ja-JP"/>
        </w:rPr>
        <w:br/>
      </w:r>
      <w:r>
        <w:rPr>
          <w:lang w:eastAsia="ja-JP"/>
        </w:rPr>
        <w:t>・伊永大輔「独占禁止法における『同意』</w:t>
      </w:r>
      <w:r>
        <w:rPr>
          <w:lang w:eastAsia="ja-JP"/>
        </w:rPr>
        <w:t>―</w:t>
      </w:r>
      <w:r>
        <w:rPr>
          <w:lang w:eastAsia="ja-JP"/>
        </w:rPr>
        <w:t>優越的地位濫用規制を中心に」</w:t>
      </w:r>
      <w:r>
        <w:rPr>
          <w:lang w:eastAsia="ja-JP"/>
        </w:rPr>
        <w:t>NBL1167</w:t>
      </w:r>
      <w:r>
        <w:rPr>
          <w:lang w:eastAsia="ja-JP"/>
        </w:rPr>
        <w:t>号（</w:t>
      </w:r>
      <w:r>
        <w:rPr>
          <w:lang w:eastAsia="ja-JP"/>
        </w:rPr>
        <w:t>2020</w:t>
      </w:r>
      <w:r>
        <w:rPr>
          <w:lang w:eastAsia="ja-JP"/>
        </w:rPr>
        <w:t>年）</w:t>
      </w:r>
      <w:r>
        <w:rPr>
          <w:lang w:eastAsia="ja-JP"/>
        </w:rPr>
        <w:br/>
      </w:r>
      <w:r>
        <w:rPr>
          <w:lang w:eastAsia="ja-JP"/>
        </w:rPr>
        <w:t>・宮下紘『ビッグデータの支配とプライバシー危機』（集英社、</w:t>
      </w:r>
      <w:r>
        <w:rPr>
          <w:lang w:eastAsia="ja-JP"/>
        </w:rPr>
        <w:t>2017</w:t>
      </w:r>
      <w:r>
        <w:rPr>
          <w:lang w:eastAsia="ja-JP"/>
        </w:rPr>
        <w:t>年）</w:t>
      </w:r>
    </w:p>
    <w:p w:rsidR="00983EF9" w:rsidRDefault="00983EF9">
      <w:pPr>
        <w:pStyle w:val="a0"/>
        <w:rPr>
          <w:rFonts w:hint="eastAsia"/>
          <w:lang w:eastAsia="ja-JP"/>
        </w:rPr>
      </w:pPr>
    </w:p>
    <w:sectPr w:rsidR="00983EF9">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699F" w:rsidRDefault="00C2699F">
      <w:pPr>
        <w:spacing w:after="0"/>
      </w:pPr>
      <w:r>
        <w:separator/>
      </w:r>
    </w:p>
  </w:endnote>
  <w:endnote w:type="continuationSeparator" w:id="0">
    <w:p w:rsidR="00C2699F" w:rsidRDefault="00C269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ahoma">
    <w:panose1 w:val="020B0604030504040204"/>
    <w:charset w:val="00"/>
    <w:family w:val="swiss"/>
    <w:pitch w:val="variable"/>
  </w:font>
  <w:font w:name="Times New Roman">
    <w:panose1 w:val="02020603050405020304"/>
    <w:charset w:val="00"/>
    <w:family w:val="roman"/>
    <w:pitch w:val="variable"/>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00"/>
    <w:family w:val="auto"/>
    <w:pitch w:val="variable"/>
  </w:font>
  <w:font w:name="PMingLiU">
    <w:altName w:val="PMingLiU"/>
    <w:panose1 w:val="02010601000101010101"/>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7B3E" w:rsidRDefault="00EC7B3E">
    <w:pPr>
      <w:pStyle w:val="a0"/>
      <w:spacing w:line="14" w:lineRule="auto"/>
      <w:rPr>
        <w:sz w:val="20"/>
      </w:rPr>
    </w:pPr>
    <w:r>
      <w:rPr>
        <w:sz w:val="18"/>
      </w:rPr>
      <w:pict>
        <v:shapetype id="_x0000_t202" coordsize="21600,21600" o:spt="202" path="m,l,21600r21600,l21600,xe">
          <v:stroke joinstyle="miter"/>
          <v:path gradientshapeok="t" o:connecttype="rect"/>
        </v:shapetype>
        <v:shape id="_x0000_s2049" type="#_x0000_t202" style="position:absolute;margin-left:292.15pt;margin-top:752.9pt;width:11pt;height:16.15pt;z-index:-251657216;mso-position-horizontal-relative:page;mso-position-vertical-relative:page" filled="f" stroked="f">
          <v:textbox style="mso-next-textbox:#_x0000_s2049" inset="0,0,0,0">
            <w:txbxContent>
              <w:p w:rsidR="00EC7B3E" w:rsidRDefault="00EC7B3E">
                <w:pPr>
                  <w:spacing w:before="47"/>
                  <w:ind w:left="60"/>
                  <w:rPr>
                    <w:rFonts w:ascii="Century"/>
                    <w:sz w:val="20"/>
                  </w:rPr>
                </w:pPr>
                <w:r>
                  <w:fldChar w:fldCharType="begin"/>
                </w:r>
                <w:r>
                  <w:rPr>
                    <w:rFonts w:ascii="Century"/>
                    <w:w w:val="89"/>
                    <w:sz w:val="20"/>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699F" w:rsidRDefault="00C2699F">
      <w:r>
        <w:separator/>
      </w:r>
    </w:p>
  </w:footnote>
  <w:footnote w:type="continuationSeparator" w:id="0">
    <w:p w:rsidR="00C2699F" w:rsidRDefault="00C2699F">
      <w:r>
        <w:continuationSeparator/>
      </w:r>
    </w:p>
  </w:footnote>
  <w:footnote w:id="1">
    <w:p w:rsidR="00983EF9" w:rsidRDefault="00C2699F">
      <w:pPr>
        <w:pStyle w:val="a9"/>
        <w:rPr>
          <w:lang w:eastAsia="ja-JP"/>
        </w:rPr>
      </w:pPr>
      <w:r>
        <w:rPr>
          <w:rStyle w:val="ac"/>
        </w:rPr>
        <w:footnoteRef/>
      </w:r>
      <w:r>
        <w:rPr>
          <w:lang w:eastAsia="ja-JP"/>
        </w:rPr>
        <w:t xml:space="preserve"> </w:t>
      </w:r>
      <w:r>
        <w:rPr>
          <w:lang w:eastAsia="ja-JP"/>
        </w:rPr>
        <w:t>中川裕志『プライバシー保護入門</w:t>
      </w:r>
      <w:r>
        <w:rPr>
          <w:lang w:eastAsia="ja-JP"/>
        </w:rPr>
        <w:t xml:space="preserve"> </w:t>
      </w:r>
      <w:r>
        <w:rPr>
          <w:lang w:eastAsia="ja-JP"/>
        </w:rPr>
        <w:t>法制度と数理的基礎』（勁草書房、</w:t>
      </w:r>
      <w:r>
        <w:rPr>
          <w:lang w:eastAsia="ja-JP"/>
        </w:rPr>
        <w:t>2016</w:t>
      </w:r>
      <w:r>
        <w:rPr>
          <w:lang w:eastAsia="ja-JP"/>
        </w:rPr>
        <w:t>年）</w:t>
      </w:r>
      <w:r>
        <w:rPr>
          <w:lang w:eastAsia="ja-JP"/>
        </w:rPr>
        <w:t>62</w:t>
      </w:r>
      <w:r>
        <w:rPr>
          <w:lang w:eastAsia="ja-JP"/>
        </w:rPr>
        <w:t>頁</w:t>
      </w:r>
    </w:p>
  </w:footnote>
  <w:footnote w:id="2">
    <w:p w:rsidR="00983EF9" w:rsidRDefault="00C2699F">
      <w:pPr>
        <w:pStyle w:val="a9"/>
      </w:pPr>
      <w:r>
        <w:rPr>
          <w:rStyle w:val="ac"/>
        </w:rPr>
        <w:footnoteRef/>
      </w:r>
      <w:r>
        <w:t xml:space="preserve"> </w:t>
      </w:r>
      <w:proofErr w:type="spellStart"/>
      <w:r>
        <w:t>佐藤幸治『日本国憲法論</w:t>
      </w:r>
      <w:proofErr w:type="spellEnd"/>
      <w:r>
        <w:t>』（成文堂、</w:t>
      </w:r>
      <w:r>
        <w:t>2011</w:t>
      </w:r>
      <w:r>
        <w:t>年）</w:t>
      </w:r>
      <w:r>
        <w:t>181-186</w:t>
      </w:r>
      <w:r>
        <w:t>頁</w:t>
      </w:r>
    </w:p>
  </w:footnote>
  <w:footnote w:id="3">
    <w:p w:rsidR="00983EF9" w:rsidRDefault="00C2699F">
      <w:pPr>
        <w:pStyle w:val="a9"/>
        <w:rPr>
          <w:lang w:eastAsia="ja-JP"/>
        </w:rPr>
      </w:pPr>
      <w:r>
        <w:rPr>
          <w:rStyle w:val="ac"/>
        </w:rPr>
        <w:footnoteRef/>
      </w:r>
      <w:r>
        <w:rPr>
          <w:lang w:eastAsia="ja-JP"/>
        </w:rPr>
        <w:t xml:space="preserve"> </w:t>
      </w:r>
      <w:r>
        <w:rPr>
          <w:lang w:eastAsia="ja-JP"/>
        </w:rPr>
        <w:t>山本龍彦「プライバシーの権利」同『プライバシーの権利を考える』（信山社、</w:t>
      </w:r>
      <w:r>
        <w:rPr>
          <w:lang w:eastAsia="ja-JP"/>
        </w:rPr>
        <w:t>2017</w:t>
      </w:r>
      <w:r>
        <w:rPr>
          <w:lang w:eastAsia="ja-JP"/>
        </w:rPr>
        <w:t>年）８頁</w:t>
      </w:r>
    </w:p>
  </w:footnote>
  <w:footnote w:id="4">
    <w:p w:rsidR="00983EF9" w:rsidRDefault="00C2699F">
      <w:pPr>
        <w:pStyle w:val="a9"/>
        <w:rPr>
          <w:lang w:eastAsia="ja-JP"/>
        </w:rPr>
      </w:pPr>
      <w:r>
        <w:rPr>
          <w:rStyle w:val="ac"/>
        </w:rPr>
        <w:footnoteRef/>
      </w:r>
      <w:r>
        <w:rPr>
          <w:lang w:eastAsia="ja-JP"/>
        </w:rPr>
        <w:t xml:space="preserve"> </w:t>
      </w:r>
      <w:r>
        <w:rPr>
          <w:lang w:eastAsia="ja-JP"/>
        </w:rPr>
        <w:t>山本龍彦「自己情報コントロール権について」憲法研究４号（</w:t>
      </w:r>
      <w:r>
        <w:rPr>
          <w:lang w:eastAsia="ja-JP"/>
        </w:rPr>
        <w:t>2019</w:t>
      </w:r>
      <w:r>
        <w:rPr>
          <w:lang w:eastAsia="ja-JP"/>
        </w:rPr>
        <w:t>年）</w:t>
      </w:r>
      <w:r>
        <w:rPr>
          <w:lang w:eastAsia="ja-JP"/>
        </w:rPr>
        <w:t>44-51</w:t>
      </w:r>
      <w:r>
        <w:rPr>
          <w:lang w:eastAsia="ja-JP"/>
        </w:rPr>
        <w:t>頁</w:t>
      </w:r>
    </w:p>
  </w:footnote>
  <w:footnote w:id="5">
    <w:p w:rsidR="00983EF9" w:rsidRDefault="00C2699F">
      <w:pPr>
        <w:pStyle w:val="a9"/>
        <w:rPr>
          <w:lang w:eastAsia="ja-JP"/>
        </w:rPr>
      </w:pPr>
      <w:r>
        <w:rPr>
          <w:rStyle w:val="ac"/>
        </w:rPr>
        <w:footnoteRef/>
      </w:r>
      <w:r>
        <w:rPr>
          <w:lang w:eastAsia="ja-JP"/>
        </w:rPr>
        <w:t xml:space="preserve"> </w:t>
      </w:r>
      <w:r>
        <w:rPr>
          <w:lang w:eastAsia="ja-JP"/>
        </w:rPr>
        <w:t>平松毅「個人情報保護の理論」同『個人情報保護</w:t>
      </w:r>
      <w:r>
        <w:rPr>
          <w:lang w:eastAsia="ja-JP"/>
        </w:rPr>
        <w:t>―</w:t>
      </w:r>
      <w:r>
        <w:rPr>
          <w:lang w:eastAsia="ja-JP"/>
        </w:rPr>
        <w:t>理論と運用』（有信堂高文社、</w:t>
      </w:r>
      <w:r>
        <w:rPr>
          <w:lang w:eastAsia="ja-JP"/>
        </w:rPr>
        <w:t>2009</w:t>
      </w:r>
      <w:r>
        <w:rPr>
          <w:lang w:eastAsia="ja-JP"/>
        </w:rPr>
        <w:t>年）</w:t>
      </w:r>
      <w:r>
        <w:rPr>
          <w:lang w:eastAsia="ja-JP"/>
        </w:rPr>
        <w:t>5-6</w:t>
      </w:r>
      <w:r>
        <w:rPr>
          <w:lang w:eastAsia="ja-JP"/>
        </w:rPr>
        <w:t>頁</w:t>
      </w:r>
    </w:p>
  </w:footnote>
  <w:footnote w:id="6">
    <w:p w:rsidR="00983EF9" w:rsidRPr="00B84B15" w:rsidRDefault="00C2699F">
      <w:pPr>
        <w:pStyle w:val="a9"/>
        <w:rPr>
          <w:lang w:val="de-DE"/>
        </w:rPr>
      </w:pPr>
      <w:r>
        <w:rPr>
          <w:rStyle w:val="ac"/>
        </w:rPr>
        <w:footnoteRef/>
      </w:r>
      <w:r w:rsidRPr="00B84B15">
        <w:rPr>
          <w:lang w:val="de-DE"/>
        </w:rPr>
        <w:t xml:space="preserve"> </w:t>
      </w:r>
      <w:r w:rsidRPr="00B84B15">
        <w:rPr>
          <w:lang w:val="de-DE"/>
        </w:rPr>
        <w:t xml:space="preserve">BVerfG, Urteil des Ersten Senats vom 15. Dezember 1983 Rn.146-147 </w:t>
      </w:r>
      <w:proofErr w:type="spellStart"/>
      <w:r>
        <w:t>訳は平松・前掲注</w:t>
      </w:r>
      <w:proofErr w:type="spellEnd"/>
      <w:r w:rsidRPr="00B84B15">
        <w:rPr>
          <w:lang w:val="de-DE"/>
        </w:rPr>
        <w:t>(5) 26-27</w:t>
      </w:r>
      <w:r>
        <w:t>頁</w:t>
      </w:r>
    </w:p>
  </w:footnote>
  <w:footnote w:id="7">
    <w:p w:rsidR="00983EF9" w:rsidRPr="00B84B15" w:rsidRDefault="00C2699F">
      <w:pPr>
        <w:pStyle w:val="a9"/>
        <w:rPr>
          <w:lang w:val="de-DE" w:eastAsia="ja-JP"/>
        </w:rPr>
      </w:pPr>
      <w:r>
        <w:rPr>
          <w:rStyle w:val="ac"/>
        </w:rPr>
        <w:footnoteRef/>
      </w:r>
      <w:r w:rsidRPr="00B84B15">
        <w:rPr>
          <w:lang w:val="de-DE" w:eastAsia="ja-JP"/>
        </w:rPr>
        <w:t xml:space="preserve"> </w:t>
      </w:r>
      <w:r>
        <w:rPr>
          <w:lang w:eastAsia="ja-JP"/>
        </w:rPr>
        <w:t>平松・前掲注</w:t>
      </w:r>
      <w:r w:rsidRPr="00B84B15">
        <w:rPr>
          <w:lang w:val="de-DE" w:eastAsia="ja-JP"/>
        </w:rPr>
        <w:t>(5) 26-27</w:t>
      </w:r>
      <w:r>
        <w:rPr>
          <w:lang w:eastAsia="ja-JP"/>
        </w:rPr>
        <w:t>頁</w:t>
      </w:r>
    </w:p>
  </w:footnote>
  <w:footnote w:id="8">
    <w:p w:rsidR="00983EF9" w:rsidRPr="00B84B15" w:rsidRDefault="00C2699F">
      <w:pPr>
        <w:pStyle w:val="a9"/>
        <w:rPr>
          <w:lang w:val="de-DE" w:eastAsia="ja-JP"/>
        </w:rPr>
      </w:pPr>
      <w:r>
        <w:rPr>
          <w:rStyle w:val="ac"/>
        </w:rPr>
        <w:footnoteRef/>
      </w:r>
      <w:r w:rsidRPr="00B84B15">
        <w:rPr>
          <w:lang w:val="de-DE" w:eastAsia="ja-JP"/>
        </w:rPr>
        <w:t xml:space="preserve"> </w:t>
      </w:r>
      <w:r>
        <w:rPr>
          <w:lang w:eastAsia="ja-JP"/>
        </w:rPr>
        <w:t>平松毅「個人情報保護</w:t>
      </w:r>
      <w:r>
        <w:rPr>
          <w:lang w:eastAsia="ja-JP"/>
        </w:rPr>
        <w:t>に関する日本の判例」同</w:t>
      </w:r>
      <w:r w:rsidR="000C0176">
        <w:rPr>
          <w:rFonts w:hint="eastAsia"/>
          <w:lang w:eastAsia="ja-JP"/>
        </w:rPr>
        <w:t>・前掲注</w:t>
      </w:r>
      <w:r w:rsidR="000C0176">
        <w:rPr>
          <w:lang w:eastAsia="ja-JP"/>
        </w:rPr>
        <w:t>(</w:t>
      </w:r>
      <w:r w:rsidR="000C0176">
        <w:rPr>
          <w:lang w:eastAsia="ja-JP"/>
        </w:rPr>
        <w:t>5</w:t>
      </w:r>
      <w:r w:rsidR="000C0176">
        <w:rPr>
          <w:lang w:eastAsia="ja-JP"/>
        </w:rPr>
        <w:t>)</w:t>
      </w:r>
      <w:r w:rsidRPr="00B84B15">
        <w:rPr>
          <w:lang w:val="de-DE" w:eastAsia="ja-JP"/>
        </w:rPr>
        <w:t>133-137</w:t>
      </w:r>
      <w:r>
        <w:rPr>
          <w:lang w:eastAsia="ja-JP"/>
        </w:rPr>
        <w:t>頁</w:t>
      </w:r>
    </w:p>
  </w:footnote>
  <w:footnote w:id="9">
    <w:p w:rsidR="00983EF9" w:rsidRDefault="00C2699F">
      <w:pPr>
        <w:pStyle w:val="a9"/>
        <w:rPr>
          <w:lang w:eastAsia="ja-JP"/>
        </w:rPr>
      </w:pPr>
      <w:r>
        <w:rPr>
          <w:rStyle w:val="ac"/>
        </w:rPr>
        <w:footnoteRef/>
      </w:r>
      <w:r>
        <w:rPr>
          <w:lang w:eastAsia="ja-JP"/>
        </w:rPr>
        <w:t xml:space="preserve"> </w:t>
      </w:r>
      <w:r>
        <w:rPr>
          <w:lang w:eastAsia="ja-JP"/>
        </w:rPr>
        <w:t>平松毅「自己情報コントロール権説の検討」</w:t>
      </w:r>
      <w:r w:rsidR="000C0176">
        <w:rPr>
          <w:lang w:eastAsia="ja-JP"/>
        </w:rPr>
        <w:t>同</w:t>
      </w:r>
      <w:r w:rsidR="000C0176">
        <w:rPr>
          <w:rFonts w:hint="eastAsia"/>
          <w:lang w:eastAsia="ja-JP"/>
        </w:rPr>
        <w:t>・前掲注</w:t>
      </w:r>
      <w:r w:rsidR="000C0176">
        <w:rPr>
          <w:lang w:eastAsia="ja-JP"/>
        </w:rPr>
        <w:t>(5)</w:t>
      </w:r>
      <w:r>
        <w:rPr>
          <w:lang w:eastAsia="ja-JP"/>
        </w:rPr>
        <w:t>38</w:t>
      </w:r>
      <w:r>
        <w:rPr>
          <w:lang w:eastAsia="ja-JP"/>
        </w:rPr>
        <w:t>頁</w:t>
      </w:r>
    </w:p>
  </w:footnote>
  <w:footnote w:id="10">
    <w:p w:rsidR="00983EF9" w:rsidRDefault="00C2699F">
      <w:pPr>
        <w:pStyle w:val="a9"/>
        <w:rPr>
          <w:lang w:eastAsia="ja-JP"/>
        </w:rPr>
      </w:pPr>
      <w:r>
        <w:rPr>
          <w:rStyle w:val="ac"/>
        </w:rPr>
        <w:footnoteRef/>
      </w:r>
      <w:r>
        <w:rPr>
          <w:lang w:eastAsia="ja-JP"/>
        </w:rPr>
        <w:t xml:space="preserve"> </w:t>
      </w:r>
      <w:r>
        <w:rPr>
          <w:lang w:eastAsia="ja-JP"/>
        </w:rPr>
        <w:t>小山剛「単純個人情報の憲法上の保護」論究ジュリスト１号（</w:t>
      </w:r>
      <w:r>
        <w:rPr>
          <w:lang w:eastAsia="ja-JP"/>
        </w:rPr>
        <w:t>2012</w:t>
      </w:r>
      <w:r>
        <w:rPr>
          <w:lang w:eastAsia="ja-JP"/>
        </w:rPr>
        <w:t>年）</w:t>
      </w:r>
      <w:r>
        <w:rPr>
          <w:lang w:eastAsia="ja-JP"/>
        </w:rPr>
        <w:t>122</w:t>
      </w:r>
      <w:r>
        <w:rPr>
          <w:lang w:eastAsia="ja-JP"/>
        </w:rPr>
        <w:t>頁</w:t>
      </w:r>
    </w:p>
  </w:footnote>
  <w:footnote w:id="11">
    <w:p w:rsidR="00983EF9" w:rsidRDefault="00C2699F">
      <w:pPr>
        <w:pStyle w:val="a9"/>
        <w:rPr>
          <w:lang w:eastAsia="ja-JP"/>
        </w:rPr>
      </w:pPr>
      <w:r>
        <w:rPr>
          <w:rStyle w:val="ac"/>
        </w:rPr>
        <w:footnoteRef/>
      </w:r>
      <w:r>
        <w:rPr>
          <w:lang w:eastAsia="ja-JP"/>
        </w:rPr>
        <w:t xml:space="preserve"> </w:t>
      </w:r>
      <w:r>
        <w:rPr>
          <w:lang w:eastAsia="ja-JP"/>
        </w:rPr>
        <w:t>山本・前掲注</w:t>
      </w:r>
      <w:r>
        <w:rPr>
          <w:lang w:eastAsia="ja-JP"/>
        </w:rPr>
        <w:t>(4) 49</w:t>
      </w:r>
      <w:r>
        <w:rPr>
          <w:lang w:eastAsia="ja-JP"/>
        </w:rPr>
        <w:t>頁</w:t>
      </w:r>
    </w:p>
  </w:footnote>
  <w:footnote w:id="12">
    <w:p w:rsidR="00983EF9" w:rsidRDefault="00C2699F">
      <w:pPr>
        <w:pStyle w:val="a9"/>
        <w:rPr>
          <w:lang w:eastAsia="ja-JP"/>
        </w:rPr>
      </w:pPr>
      <w:r>
        <w:rPr>
          <w:rStyle w:val="ac"/>
        </w:rPr>
        <w:footnoteRef/>
      </w:r>
      <w:r>
        <w:rPr>
          <w:lang w:eastAsia="ja-JP"/>
        </w:rPr>
        <w:t xml:space="preserve"> </w:t>
      </w:r>
      <w:r>
        <w:rPr>
          <w:lang w:eastAsia="ja-JP"/>
        </w:rPr>
        <w:t>平松・前掲注</w:t>
      </w:r>
      <w:r>
        <w:rPr>
          <w:lang w:eastAsia="ja-JP"/>
        </w:rPr>
        <w:t>(9) 36</w:t>
      </w:r>
      <w:r>
        <w:rPr>
          <w:lang w:eastAsia="ja-JP"/>
        </w:rPr>
        <w:t>頁</w:t>
      </w:r>
    </w:p>
  </w:footnote>
  <w:footnote w:id="13">
    <w:p w:rsidR="00983EF9" w:rsidRDefault="00C2699F">
      <w:pPr>
        <w:pStyle w:val="a9"/>
      </w:pPr>
      <w:r>
        <w:rPr>
          <w:rStyle w:val="ac"/>
        </w:rPr>
        <w:footnoteRef/>
      </w:r>
      <w:r>
        <w:t xml:space="preserve"> </w:t>
      </w:r>
      <w:r>
        <w:t>最判平成</w:t>
      </w:r>
      <w:r>
        <w:t>20</w:t>
      </w:r>
      <w:r>
        <w:t>年３月６日民集</w:t>
      </w:r>
      <w:r>
        <w:t>62</w:t>
      </w:r>
      <w:r>
        <w:t>巻</w:t>
      </w:r>
      <w:r>
        <w:t>3</w:t>
      </w:r>
      <w:r>
        <w:t>号</w:t>
      </w:r>
      <w:r>
        <w:t>665</w:t>
      </w:r>
      <w:r>
        <w:t>頁</w:t>
      </w:r>
    </w:p>
  </w:footnote>
  <w:footnote w:id="14">
    <w:p w:rsidR="00983EF9" w:rsidRDefault="00C2699F">
      <w:pPr>
        <w:pStyle w:val="a9"/>
        <w:rPr>
          <w:lang w:eastAsia="ja-JP"/>
        </w:rPr>
      </w:pPr>
      <w:r>
        <w:rPr>
          <w:rStyle w:val="ac"/>
        </w:rPr>
        <w:footnoteRef/>
      </w:r>
      <w:r>
        <w:rPr>
          <w:lang w:eastAsia="ja-JP"/>
        </w:rPr>
        <w:t xml:space="preserve"> </w:t>
      </w:r>
      <w:r>
        <w:rPr>
          <w:lang w:eastAsia="ja-JP"/>
        </w:rPr>
        <w:t>山本・前掲注</w:t>
      </w:r>
      <w:r>
        <w:rPr>
          <w:lang w:eastAsia="ja-JP"/>
        </w:rPr>
        <w:t>(4) 51</w:t>
      </w:r>
      <w:r>
        <w:rPr>
          <w:lang w:eastAsia="ja-JP"/>
        </w:rPr>
        <w:t>頁</w:t>
      </w:r>
    </w:p>
  </w:footnote>
  <w:footnote w:id="15">
    <w:p w:rsidR="00983EF9" w:rsidRDefault="00C2699F">
      <w:pPr>
        <w:pStyle w:val="a9"/>
        <w:rPr>
          <w:lang w:eastAsia="ja-JP"/>
        </w:rPr>
      </w:pPr>
      <w:r>
        <w:rPr>
          <w:rStyle w:val="ac"/>
        </w:rPr>
        <w:footnoteRef/>
      </w:r>
      <w:r>
        <w:rPr>
          <w:lang w:eastAsia="ja-JP"/>
        </w:rPr>
        <w:t xml:space="preserve"> </w:t>
      </w:r>
      <w:r>
        <w:rPr>
          <w:lang w:eastAsia="ja-JP"/>
        </w:rPr>
        <w:t>山本・前掲注</w:t>
      </w:r>
      <w:r>
        <w:rPr>
          <w:lang w:eastAsia="ja-JP"/>
        </w:rPr>
        <w:t>(4) 49</w:t>
      </w:r>
      <w:r>
        <w:rPr>
          <w:lang w:eastAsia="ja-JP"/>
        </w:rPr>
        <w:t>頁</w:t>
      </w:r>
    </w:p>
  </w:footnote>
  <w:footnote w:id="16">
    <w:p w:rsidR="00983EF9" w:rsidRDefault="00C2699F">
      <w:pPr>
        <w:pStyle w:val="a9"/>
        <w:rPr>
          <w:lang w:eastAsia="ja-JP"/>
        </w:rPr>
      </w:pPr>
      <w:r>
        <w:rPr>
          <w:rStyle w:val="ac"/>
        </w:rPr>
        <w:footnoteRef/>
      </w:r>
      <w:r>
        <w:rPr>
          <w:lang w:eastAsia="ja-JP"/>
        </w:rPr>
        <w:t xml:space="preserve"> </w:t>
      </w:r>
      <w:r>
        <w:rPr>
          <w:lang w:eastAsia="ja-JP"/>
        </w:rPr>
        <w:t>曽我部真裕＝山本龍彦「自己情報コントロール</w:t>
      </w:r>
      <w:r>
        <w:rPr>
          <w:lang w:eastAsia="ja-JP"/>
        </w:rPr>
        <w:t>権をめぐって」情報法制研究７号（</w:t>
      </w:r>
      <w:r>
        <w:rPr>
          <w:lang w:eastAsia="ja-JP"/>
        </w:rPr>
        <w:t>2020</w:t>
      </w:r>
      <w:r>
        <w:rPr>
          <w:lang w:eastAsia="ja-JP"/>
        </w:rPr>
        <w:t>年）</w:t>
      </w:r>
      <w:r>
        <w:rPr>
          <w:lang w:eastAsia="ja-JP"/>
        </w:rPr>
        <w:t>132</w:t>
      </w:r>
      <w:r>
        <w:rPr>
          <w:lang w:eastAsia="ja-JP"/>
        </w:rPr>
        <w:t>頁</w:t>
      </w:r>
    </w:p>
  </w:footnote>
  <w:footnote w:id="17">
    <w:p w:rsidR="00983EF9" w:rsidRDefault="00C2699F">
      <w:pPr>
        <w:pStyle w:val="a9"/>
        <w:rPr>
          <w:lang w:eastAsia="ja-JP"/>
        </w:rPr>
      </w:pPr>
      <w:r>
        <w:rPr>
          <w:rStyle w:val="ac"/>
        </w:rPr>
        <w:footnoteRef/>
      </w:r>
      <w:r>
        <w:rPr>
          <w:lang w:eastAsia="ja-JP"/>
        </w:rPr>
        <w:t xml:space="preserve"> </w:t>
      </w:r>
      <w:r>
        <w:rPr>
          <w:lang w:eastAsia="ja-JP"/>
        </w:rPr>
        <w:t>宇賀克也『個人情報保護法の逐条解説（</w:t>
      </w:r>
      <w:r>
        <w:rPr>
          <w:lang w:eastAsia="ja-JP"/>
        </w:rPr>
        <w:t>第６版）』（有斐閣、</w:t>
      </w:r>
      <w:r>
        <w:rPr>
          <w:lang w:eastAsia="ja-JP"/>
        </w:rPr>
        <w:t>2018</w:t>
      </w:r>
      <w:r>
        <w:rPr>
          <w:lang w:eastAsia="ja-JP"/>
        </w:rPr>
        <w:t>年）</w:t>
      </w:r>
      <w:r>
        <w:rPr>
          <w:lang w:eastAsia="ja-JP"/>
        </w:rPr>
        <w:t>39</w:t>
      </w:r>
      <w:r>
        <w:rPr>
          <w:lang w:eastAsia="ja-JP"/>
        </w:rPr>
        <w:t>頁</w:t>
      </w:r>
    </w:p>
  </w:footnote>
  <w:footnote w:id="18">
    <w:p w:rsidR="00983EF9" w:rsidRDefault="00C2699F">
      <w:pPr>
        <w:pStyle w:val="a9"/>
        <w:rPr>
          <w:lang w:eastAsia="ja-JP"/>
        </w:rPr>
      </w:pPr>
      <w:r>
        <w:rPr>
          <w:rStyle w:val="ac"/>
        </w:rPr>
        <w:footnoteRef/>
      </w:r>
      <w:r>
        <w:rPr>
          <w:lang w:eastAsia="ja-JP"/>
        </w:rPr>
        <w:t xml:space="preserve"> </w:t>
      </w:r>
      <w:r>
        <w:rPr>
          <w:lang w:eastAsia="ja-JP"/>
        </w:rPr>
        <w:t>實原隆志「</w:t>
      </w:r>
      <w:r>
        <w:rPr>
          <w:lang w:eastAsia="ja-JP"/>
        </w:rPr>
        <w:t>IP</w:t>
      </w:r>
      <w:r>
        <w:rPr>
          <w:lang w:eastAsia="ja-JP"/>
        </w:rPr>
        <w:t>アドレスの個人情報該当性」長崎県立大学研究紀要</w:t>
      </w:r>
      <w:r>
        <w:rPr>
          <w:lang w:eastAsia="ja-JP"/>
        </w:rPr>
        <w:t>15</w:t>
      </w:r>
      <w:r>
        <w:rPr>
          <w:lang w:eastAsia="ja-JP"/>
        </w:rPr>
        <w:t>号（</w:t>
      </w:r>
      <w:r>
        <w:rPr>
          <w:lang w:eastAsia="ja-JP"/>
        </w:rPr>
        <w:t>2015</w:t>
      </w:r>
      <w:r>
        <w:rPr>
          <w:lang w:eastAsia="ja-JP"/>
        </w:rPr>
        <w:t>年）</w:t>
      </w:r>
      <w:r>
        <w:rPr>
          <w:lang w:eastAsia="ja-JP"/>
        </w:rPr>
        <w:t>24</w:t>
      </w:r>
      <w:r>
        <w:rPr>
          <w:lang w:eastAsia="ja-JP"/>
        </w:rPr>
        <w:t>頁</w:t>
      </w:r>
    </w:p>
  </w:footnote>
  <w:footnote w:id="19">
    <w:p w:rsidR="00983EF9" w:rsidRDefault="00C2699F">
      <w:pPr>
        <w:pStyle w:val="a9"/>
      </w:pPr>
      <w:r>
        <w:rPr>
          <w:rStyle w:val="ac"/>
        </w:rPr>
        <w:footnoteRef/>
      </w:r>
      <w:r>
        <w:t xml:space="preserve"> https://www.kantei.go.jp/jp/singi/it2/pd/dai7/siryou1-2.pdf</w:t>
      </w:r>
    </w:p>
  </w:footnote>
  <w:footnote w:id="20">
    <w:p w:rsidR="00983EF9" w:rsidRDefault="00C2699F">
      <w:pPr>
        <w:pStyle w:val="a9"/>
        <w:rPr>
          <w:lang w:eastAsia="ja-JP"/>
        </w:rPr>
      </w:pPr>
      <w:r>
        <w:rPr>
          <w:rStyle w:val="ac"/>
        </w:rPr>
        <w:footnoteRef/>
      </w:r>
      <w:r>
        <w:rPr>
          <w:lang w:eastAsia="ja-JP"/>
        </w:rPr>
        <w:t xml:space="preserve"> </w:t>
      </w:r>
      <w:r>
        <w:rPr>
          <w:lang w:eastAsia="ja-JP"/>
        </w:rPr>
        <w:t>宮下紘『</w:t>
      </w:r>
      <w:r>
        <w:rPr>
          <w:lang w:eastAsia="ja-JP"/>
        </w:rPr>
        <w:t>EU</w:t>
      </w:r>
      <w:r>
        <w:rPr>
          <w:lang w:eastAsia="ja-JP"/>
        </w:rPr>
        <w:t>一般データ保護規則』（勁草書房、</w:t>
      </w:r>
      <w:r>
        <w:rPr>
          <w:lang w:eastAsia="ja-JP"/>
        </w:rPr>
        <w:t>2018</w:t>
      </w:r>
      <w:r>
        <w:rPr>
          <w:lang w:eastAsia="ja-JP"/>
        </w:rPr>
        <w:t>年）</w:t>
      </w:r>
      <w:r>
        <w:rPr>
          <w:lang w:eastAsia="ja-JP"/>
        </w:rPr>
        <w:t>58</w:t>
      </w:r>
      <w:r>
        <w:rPr>
          <w:lang w:eastAsia="ja-JP"/>
        </w:rPr>
        <w:t>頁</w:t>
      </w:r>
    </w:p>
  </w:footnote>
  <w:footnote w:id="21">
    <w:p w:rsidR="00983EF9" w:rsidRDefault="00C2699F">
      <w:pPr>
        <w:pStyle w:val="a9"/>
        <w:rPr>
          <w:lang w:eastAsia="ja-JP"/>
        </w:rPr>
      </w:pPr>
      <w:r>
        <w:rPr>
          <w:rStyle w:val="ac"/>
        </w:rPr>
        <w:footnoteRef/>
      </w:r>
      <w:r>
        <w:rPr>
          <w:lang w:eastAsia="ja-JP"/>
        </w:rPr>
        <w:t xml:space="preserve"> </w:t>
      </w:r>
      <w:r>
        <w:rPr>
          <w:lang w:eastAsia="ja-JP"/>
        </w:rPr>
        <w:t>宮下・前掲注</w:t>
      </w:r>
      <w:r>
        <w:rPr>
          <w:lang w:eastAsia="ja-JP"/>
        </w:rPr>
        <w:t>(19) 60-61</w:t>
      </w:r>
      <w:r>
        <w:rPr>
          <w:lang w:eastAsia="ja-JP"/>
        </w:rPr>
        <w:t>頁</w:t>
      </w:r>
    </w:p>
  </w:footnote>
  <w:footnote w:id="22">
    <w:p w:rsidR="00983EF9" w:rsidRDefault="00C2699F">
      <w:pPr>
        <w:pStyle w:val="a9"/>
        <w:rPr>
          <w:lang w:eastAsia="ja-JP"/>
        </w:rPr>
      </w:pPr>
      <w:r>
        <w:rPr>
          <w:rStyle w:val="ac"/>
        </w:rPr>
        <w:footnoteRef/>
      </w:r>
      <w:r>
        <w:rPr>
          <w:lang w:eastAsia="ja-JP"/>
        </w:rPr>
        <w:t xml:space="preserve"> </w:t>
      </w:r>
      <w:r>
        <w:rPr>
          <w:lang w:eastAsia="ja-JP"/>
        </w:rPr>
        <w:t>宮下・前掲注</w:t>
      </w:r>
      <w:r>
        <w:rPr>
          <w:lang w:eastAsia="ja-JP"/>
        </w:rPr>
        <w:t>(19) 61</w:t>
      </w:r>
      <w:r>
        <w:rPr>
          <w:lang w:eastAsia="ja-JP"/>
        </w:rPr>
        <w:t>頁</w:t>
      </w:r>
    </w:p>
  </w:footnote>
  <w:footnote w:id="23">
    <w:p w:rsidR="00983EF9" w:rsidRDefault="00C2699F">
      <w:pPr>
        <w:pStyle w:val="a9"/>
        <w:rPr>
          <w:lang w:eastAsia="ja-JP"/>
        </w:rPr>
      </w:pPr>
      <w:r>
        <w:rPr>
          <w:rStyle w:val="ac"/>
        </w:rPr>
        <w:footnoteRef/>
      </w:r>
      <w:r>
        <w:rPr>
          <w:lang w:eastAsia="ja-JP"/>
        </w:rPr>
        <w:t xml:space="preserve"> </w:t>
      </w:r>
      <w:r>
        <w:rPr>
          <w:lang w:eastAsia="ja-JP"/>
        </w:rPr>
        <w:t>小向太郎＝石井夏</w:t>
      </w:r>
      <w:r>
        <w:rPr>
          <w:lang w:eastAsia="ja-JP"/>
        </w:rPr>
        <w:t>生利『概説</w:t>
      </w:r>
      <w:r>
        <w:rPr>
          <w:lang w:eastAsia="ja-JP"/>
        </w:rPr>
        <w:t>GDPR―</w:t>
      </w:r>
      <w:r>
        <w:rPr>
          <w:lang w:eastAsia="ja-JP"/>
        </w:rPr>
        <w:t>世界を揺るがす個人情報保護制度』（</w:t>
      </w:r>
      <w:r>
        <w:rPr>
          <w:lang w:eastAsia="ja-JP"/>
        </w:rPr>
        <w:t>NTT</w:t>
      </w:r>
      <w:r>
        <w:rPr>
          <w:lang w:eastAsia="ja-JP"/>
        </w:rPr>
        <w:t>出版、</w:t>
      </w:r>
      <w:r>
        <w:rPr>
          <w:lang w:eastAsia="ja-JP"/>
        </w:rPr>
        <w:t>2019</w:t>
      </w:r>
      <w:r>
        <w:rPr>
          <w:lang w:eastAsia="ja-JP"/>
        </w:rPr>
        <w:t>年）</w:t>
      </w:r>
      <w:r>
        <w:rPr>
          <w:lang w:eastAsia="ja-JP"/>
        </w:rPr>
        <w:t>63</w:t>
      </w:r>
      <w:r>
        <w:rPr>
          <w:lang w:eastAsia="ja-JP"/>
        </w:rPr>
        <w:t>頁</w:t>
      </w:r>
    </w:p>
  </w:footnote>
  <w:footnote w:id="24">
    <w:p w:rsidR="00983EF9" w:rsidRDefault="00C2699F">
      <w:pPr>
        <w:pStyle w:val="a9"/>
        <w:rPr>
          <w:lang w:eastAsia="ja-JP"/>
        </w:rPr>
      </w:pPr>
      <w:r>
        <w:rPr>
          <w:rStyle w:val="ac"/>
        </w:rPr>
        <w:footnoteRef/>
      </w:r>
      <w:r>
        <w:rPr>
          <w:lang w:eastAsia="ja-JP"/>
        </w:rPr>
        <w:t xml:space="preserve"> </w:t>
      </w:r>
      <w:r>
        <w:rPr>
          <w:lang w:eastAsia="ja-JP"/>
        </w:rPr>
        <w:t>宮下・前掲注</w:t>
      </w:r>
      <w:r>
        <w:rPr>
          <w:lang w:eastAsia="ja-JP"/>
        </w:rPr>
        <w:t>(19) 62</w:t>
      </w:r>
      <w:r>
        <w:rPr>
          <w:lang w:eastAsia="ja-JP"/>
        </w:rPr>
        <w:t>頁</w:t>
      </w:r>
      <w:bookmarkStart w:id="3" w:name="_GoBack"/>
      <w:bookmarkEnd w:id="3"/>
    </w:p>
  </w:footnote>
  <w:footnote w:id="25">
    <w:p w:rsidR="00983EF9" w:rsidRPr="0027270F" w:rsidRDefault="00C2699F">
      <w:pPr>
        <w:pStyle w:val="a9"/>
        <w:rPr>
          <w:rFonts w:asciiTheme="minorEastAsia" w:hAnsiTheme="minorEastAsia" w:hint="eastAsia"/>
          <w:lang w:eastAsia="ja-JP"/>
        </w:rPr>
      </w:pPr>
      <w:r>
        <w:rPr>
          <w:rStyle w:val="ac"/>
        </w:rPr>
        <w:footnoteRef/>
      </w:r>
      <w:r>
        <w:rPr>
          <w:lang w:eastAsia="ja-JP"/>
        </w:rPr>
        <w:t xml:space="preserve"> </w:t>
      </w:r>
      <w:r>
        <w:rPr>
          <w:lang w:eastAsia="ja-JP"/>
        </w:rPr>
        <w:t>個人情報の保護に関する法律についてのガイドライン</w:t>
      </w:r>
      <w:r>
        <w:rPr>
          <w:lang w:eastAsia="ja-JP"/>
        </w:rPr>
        <w:t xml:space="preserve"> </w:t>
      </w:r>
      <w:r>
        <w:rPr>
          <w:lang w:eastAsia="ja-JP"/>
        </w:rPr>
        <w:t>（通則編）</w:t>
      </w:r>
      <w:r w:rsidR="0027270F" w:rsidRPr="0027270F">
        <w:rPr>
          <w:rFonts w:asciiTheme="minorEastAsia" w:hAnsiTheme="minorEastAsia" w:hint="eastAsia"/>
          <w:lang w:eastAsia="ja-JP"/>
        </w:rPr>
        <w:t>２-1</w:t>
      </w:r>
      <w:r w:rsidR="0027270F" w:rsidRPr="0027270F">
        <w:rPr>
          <w:rFonts w:asciiTheme="minorEastAsia" w:hAnsiTheme="minorEastAsia"/>
          <w:lang w:eastAsia="ja-JP"/>
        </w:rPr>
        <w:t>2</w:t>
      </w:r>
    </w:p>
  </w:footnote>
  <w:footnote w:id="26">
    <w:p w:rsidR="00983EF9" w:rsidRDefault="00C2699F">
      <w:pPr>
        <w:pStyle w:val="a9"/>
      </w:pPr>
      <w:r>
        <w:rPr>
          <w:rStyle w:val="ac"/>
        </w:rPr>
        <w:footnoteRef/>
      </w:r>
      <w:r>
        <w:t xml:space="preserve"> </w:t>
      </w:r>
      <w:proofErr w:type="spellStart"/>
      <w:r>
        <w:t>宇賀・前掲注</w:t>
      </w:r>
      <w:proofErr w:type="spellEnd"/>
      <w:r>
        <w:t>(16) 136</w:t>
      </w:r>
      <w:r>
        <w:t>頁</w:t>
      </w:r>
    </w:p>
  </w:footnote>
  <w:footnote w:id="27">
    <w:p w:rsidR="00983EF9" w:rsidRDefault="00C2699F">
      <w:pPr>
        <w:pStyle w:val="a9"/>
      </w:pPr>
      <w:r>
        <w:rPr>
          <w:rStyle w:val="ac"/>
        </w:rPr>
        <w:footnoteRef/>
      </w:r>
      <w:r>
        <w:t xml:space="preserve"> Eric J. Johnson &amp; Daniel G. Goldstein(2004).Defaults and Donation Decisions. Transplantation, 78(12), 1714–1715.</w:t>
      </w:r>
    </w:p>
  </w:footnote>
  <w:footnote w:id="28">
    <w:p w:rsidR="00983EF9" w:rsidRDefault="00C2699F">
      <w:pPr>
        <w:pStyle w:val="a9"/>
      </w:pPr>
      <w:r>
        <w:rPr>
          <w:rStyle w:val="ac"/>
        </w:rPr>
        <w:footnoteRef/>
      </w:r>
      <w:r>
        <w:t xml:space="preserve"> </w:t>
      </w:r>
      <w:r>
        <w:t>大澤彩「民法・消費者法からみた『同意』</w:t>
      </w:r>
      <w:r>
        <w:t>―</w:t>
      </w:r>
      <w:r>
        <w:t>事業者・消</w:t>
      </w:r>
      <w:r>
        <w:t>費者取引における消費者の個人データ取得の場面等を素材に」</w:t>
      </w:r>
      <w:r>
        <w:t>NBL1167</w:t>
      </w:r>
      <w:r>
        <w:t>号（</w:t>
      </w:r>
      <w:r>
        <w:t>2020</w:t>
      </w:r>
      <w:r>
        <w:t>年）</w:t>
      </w:r>
      <w:r>
        <w:t>5-6</w:t>
      </w:r>
      <w:r>
        <w:t>頁</w:t>
      </w:r>
    </w:p>
  </w:footnote>
  <w:footnote w:id="29">
    <w:p w:rsidR="00983EF9" w:rsidRDefault="00C2699F">
      <w:pPr>
        <w:pStyle w:val="a9"/>
        <w:rPr>
          <w:lang w:eastAsia="ja-JP"/>
        </w:rPr>
      </w:pPr>
      <w:r>
        <w:rPr>
          <w:rStyle w:val="ac"/>
        </w:rPr>
        <w:footnoteRef/>
      </w:r>
      <w:r>
        <w:rPr>
          <w:lang w:eastAsia="ja-JP"/>
        </w:rPr>
        <w:t xml:space="preserve"> </w:t>
      </w:r>
      <w:r>
        <w:rPr>
          <w:lang w:eastAsia="ja-JP"/>
        </w:rPr>
        <w:t>村松秀樹＝松尾博憲『定型約款の実務</w:t>
      </w:r>
      <w:r>
        <w:rPr>
          <w:lang w:eastAsia="ja-JP"/>
        </w:rPr>
        <w:t>Q</w:t>
      </w:r>
      <w:r>
        <w:rPr>
          <w:lang w:eastAsia="ja-JP"/>
        </w:rPr>
        <w:t>＆</w:t>
      </w:r>
      <w:r>
        <w:rPr>
          <w:lang w:eastAsia="ja-JP"/>
        </w:rPr>
        <w:t>A</w:t>
      </w:r>
      <w:r>
        <w:rPr>
          <w:lang w:eastAsia="ja-JP"/>
        </w:rPr>
        <w:t>』（商事法務、</w:t>
      </w:r>
      <w:r>
        <w:rPr>
          <w:lang w:eastAsia="ja-JP"/>
        </w:rPr>
        <w:t>2018</w:t>
      </w:r>
      <w:r>
        <w:rPr>
          <w:lang w:eastAsia="ja-JP"/>
        </w:rPr>
        <w:t>年）</w:t>
      </w:r>
      <w:r>
        <w:rPr>
          <w:lang w:eastAsia="ja-JP"/>
        </w:rPr>
        <w:t>96-98</w:t>
      </w:r>
      <w:r>
        <w:rPr>
          <w:lang w:eastAsia="ja-JP"/>
        </w:rPr>
        <w:t>頁</w:t>
      </w:r>
    </w:p>
  </w:footnote>
  <w:footnote w:id="30">
    <w:p w:rsidR="00983EF9" w:rsidRDefault="00C2699F">
      <w:pPr>
        <w:pStyle w:val="a9"/>
        <w:rPr>
          <w:lang w:eastAsia="ja-JP"/>
        </w:rPr>
      </w:pPr>
      <w:r>
        <w:rPr>
          <w:rStyle w:val="ac"/>
        </w:rPr>
        <w:footnoteRef/>
      </w:r>
      <w:r>
        <w:rPr>
          <w:lang w:eastAsia="ja-JP"/>
        </w:rPr>
        <w:t xml:space="preserve"> </w:t>
      </w:r>
      <w:r>
        <w:rPr>
          <w:lang w:eastAsia="ja-JP"/>
        </w:rPr>
        <w:t>大澤・前掲注</w:t>
      </w:r>
      <w:r>
        <w:rPr>
          <w:lang w:eastAsia="ja-JP"/>
        </w:rPr>
        <w:t>(28)11-12</w:t>
      </w:r>
      <w:r>
        <w:rPr>
          <w:lang w:eastAsia="ja-JP"/>
        </w:rPr>
        <w:t>頁</w:t>
      </w:r>
    </w:p>
  </w:footnote>
  <w:footnote w:id="31">
    <w:p w:rsidR="00983EF9" w:rsidRDefault="00C2699F">
      <w:pPr>
        <w:pStyle w:val="a9"/>
        <w:rPr>
          <w:lang w:eastAsia="ja-JP"/>
        </w:rPr>
      </w:pPr>
      <w:r>
        <w:rPr>
          <w:rStyle w:val="ac"/>
        </w:rPr>
        <w:footnoteRef/>
      </w:r>
      <w:r>
        <w:rPr>
          <w:lang w:eastAsia="ja-JP"/>
        </w:rPr>
        <w:t xml:space="preserve"> </w:t>
      </w:r>
      <w:r>
        <w:rPr>
          <w:lang w:eastAsia="ja-JP"/>
        </w:rPr>
        <w:t>伊永大輔「独占禁止法における『同意』</w:t>
      </w:r>
      <w:r>
        <w:rPr>
          <w:lang w:eastAsia="ja-JP"/>
        </w:rPr>
        <w:t>―</w:t>
      </w:r>
      <w:r>
        <w:rPr>
          <w:lang w:eastAsia="ja-JP"/>
        </w:rPr>
        <w:t>優越的地位濫用規制を中心に」</w:t>
      </w:r>
      <w:r>
        <w:rPr>
          <w:lang w:eastAsia="ja-JP"/>
        </w:rPr>
        <w:t>NBL1167</w:t>
      </w:r>
      <w:r>
        <w:rPr>
          <w:lang w:eastAsia="ja-JP"/>
        </w:rPr>
        <w:t>号（</w:t>
      </w:r>
      <w:r>
        <w:rPr>
          <w:lang w:eastAsia="ja-JP"/>
        </w:rPr>
        <w:t>2020</w:t>
      </w:r>
      <w:r>
        <w:rPr>
          <w:lang w:eastAsia="ja-JP"/>
        </w:rPr>
        <w:t>年）</w:t>
      </w:r>
      <w:r>
        <w:rPr>
          <w:lang w:eastAsia="ja-JP"/>
        </w:rPr>
        <w:t>14-16</w:t>
      </w:r>
      <w:r>
        <w:rPr>
          <w:lang w:eastAsia="ja-JP"/>
        </w:rPr>
        <w:t>頁</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0CD2DE"/>
    <w:multiLevelType w:val="multilevel"/>
    <w:tmpl w:val="771E56A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 w15:restartNumberingAfterBreak="0">
    <w:nsid w:val="1E5E27CA"/>
    <w:multiLevelType w:val="multilevel"/>
    <w:tmpl w:val="DDE0880E"/>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2" w15:restartNumberingAfterBreak="0">
    <w:nsid w:val="1E8E524A"/>
    <w:multiLevelType w:val="multilevel"/>
    <w:tmpl w:val="DDE0880E"/>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3" w15:restartNumberingAfterBreak="0">
    <w:nsid w:val="1FAC52D3"/>
    <w:multiLevelType w:val="multilevel"/>
    <w:tmpl w:val="DDE0880E"/>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4" w15:restartNumberingAfterBreak="0">
    <w:nsid w:val="20BD2BC9"/>
    <w:multiLevelType w:val="multilevel"/>
    <w:tmpl w:val="DDE0880E"/>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5" w15:restartNumberingAfterBreak="0">
    <w:nsid w:val="20CC7AE4"/>
    <w:multiLevelType w:val="multilevel"/>
    <w:tmpl w:val="DDE0880E"/>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6" w15:restartNumberingAfterBreak="0">
    <w:nsid w:val="28091403"/>
    <w:multiLevelType w:val="multilevel"/>
    <w:tmpl w:val="DDE0880E"/>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7" w15:restartNumberingAfterBreak="0">
    <w:nsid w:val="2C1AE401"/>
    <w:multiLevelType w:val="multilevel"/>
    <w:tmpl w:val="E8A6D55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8" w15:restartNumberingAfterBreak="0">
    <w:nsid w:val="3A2141AD"/>
    <w:multiLevelType w:val="multilevel"/>
    <w:tmpl w:val="DDE0880E"/>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9" w15:restartNumberingAfterBreak="0">
    <w:nsid w:val="430D7B7E"/>
    <w:multiLevelType w:val="multilevel"/>
    <w:tmpl w:val="8C74E786"/>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10" w15:restartNumberingAfterBreak="0">
    <w:nsid w:val="46BF594A"/>
    <w:multiLevelType w:val="multilevel"/>
    <w:tmpl w:val="DDE0880E"/>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11" w15:restartNumberingAfterBreak="0">
    <w:nsid w:val="49B61A5F"/>
    <w:multiLevelType w:val="multilevel"/>
    <w:tmpl w:val="C7DA98AC"/>
    <w:lvl w:ilvl="0">
      <w:start w:val="1"/>
      <w:numFmt w:val="decimal"/>
      <w:lvlText w:val="%1"/>
      <w:lvlJc w:val="left"/>
      <w:pPr>
        <w:ind w:left="975" w:hanging="737"/>
      </w:pPr>
      <w:rPr>
        <w:rFonts w:asciiTheme="majorEastAsia" w:eastAsiaTheme="majorEastAsia" w:hAnsiTheme="majorEastAsia" w:cs="Tahoma" w:hint="default"/>
        <w:b w:val="0"/>
        <w:bCs/>
        <w:i w:val="0"/>
        <w:iCs/>
        <w:w w:val="91"/>
        <w:sz w:val="20"/>
        <w:szCs w:val="20"/>
        <w:lang w:val="en-US" w:eastAsia="ja-JP" w:bidi="ar-SA"/>
      </w:rPr>
    </w:lvl>
    <w:lvl w:ilvl="1">
      <w:start w:val="1"/>
      <w:numFmt w:val="decimal"/>
      <w:lvlText w:val="%1.%2"/>
      <w:lvlJc w:val="left"/>
      <w:pPr>
        <w:ind w:left="975" w:hanging="553"/>
      </w:pPr>
      <w:rPr>
        <w:rFonts w:ascii="Century" w:eastAsia="Century" w:hAnsi="Century" w:cs="Century" w:hint="default"/>
        <w:w w:val="91"/>
        <w:sz w:val="20"/>
        <w:szCs w:val="20"/>
        <w:lang w:val="en-US" w:eastAsia="ja-JP" w:bidi="ar-SA"/>
      </w:rPr>
    </w:lvl>
    <w:lvl w:ilvl="2">
      <w:numFmt w:val="bullet"/>
      <w:lvlText w:val="•"/>
      <w:lvlJc w:val="left"/>
      <w:pPr>
        <w:ind w:left="2685" w:hanging="553"/>
      </w:pPr>
      <w:rPr>
        <w:rFonts w:hint="default"/>
        <w:lang w:val="en-US" w:eastAsia="ja-JP" w:bidi="ar-SA"/>
      </w:rPr>
    </w:lvl>
    <w:lvl w:ilvl="3">
      <w:numFmt w:val="bullet"/>
      <w:lvlText w:val="•"/>
      <w:lvlJc w:val="left"/>
      <w:pPr>
        <w:ind w:left="3537" w:hanging="553"/>
      </w:pPr>
      <w:rPr>
        <w:rFonts w:hint="default"/>
        <w:lang w:val="en-US" w:eastAsia="ja-JP" w:bidi="ar-SA"/>
      </w:rPr>
    </w:lvl>
    <w:lvl w:ilvl="4">
      <w:numFmt w:val="bullet"/>
      <w:lvlText w:val="•"/>
      <w:lvlJc w:val="left"/>
      <w:pPr>
        <w:ind w:left="4390" w:hanging="553"/>
      </w:pPr>
      <w:rPr>
        <w:rFonts w:hint="default"/>
        <w:lang w:val="en-US" w:eastAsia="ja-JP" w:bidi="ar-SA"/>
      </w:rPr>
    </w:lvl>
    <w:lvl w:ilvl="5">
      <w:numFmt w:val="bullet"/>
      <w:lvlText w:val="•"/>
      <w:lvlJc w:val="left"/>
      <w:pPr>
        <w:ind w:left="5242" w:hanging="553"/>
      </w:pPr>
      <w:rPr>
        <w:rFonts w:hint="default"/>
        <w:lang w:val="en-US" w:eastAsia="ja-JP" w:bidi="ar-SA"/>
      </w:rPr>
    </w:lvl>
    <w:lvl w:ilvl="6">
      <w:numFmt w:val="bullet"/>
      <w:lvlText w:val="•"/>
      <w:lvlJc w:val="left"/>
      <w:pPr>
        <w:ind w:left="6095" w:hanging="553"/>
      </w:pPr>
      <w:rPr>
        <w:rFonts w:hint="default"/>
        <w:lang w:val="en-US" w:eastAsia="ja-JP" w:bidi="ar-SA"/>
      </w:rPr>
    </w:lvl>
    <w:lvl w:ilvl="7">
      <w:numFmt w:val="bullet"/>
      <w:lvlText w:val="•"/>
      <w:lvlJc w:val="left"/>
      <w:pPr>
        <w:ind w:left="6947" w:hanging="553"/>
      </w:pPr>
      <w:rPr>
        <w:rFonts w:hint="default"/>
        <w:lang w:val="en-US" w:eastAsia="ja-JP" w:bidi="ar-SA"/>
      </w:rPr>
    </w:lvl>
    <w:lvl w:ilvl="8">
      <w:numFmt w:val="bullet"/>
      <w:lvlText w:val="•"/>
      <w:lvlJc w:val="left"/>
      <w:pPr>
        <w:ind w:left="7800" w:hanging="553"/>
      </w:pPr>
      <w:rPr>
        <w:rFonts w:hint="default"/>
        <w:lang w:val="en-US" w:eastAsia="ja-JP" w:bidi="ar-SA"/>
      </w:rPr>
    </w:lvl>
  </w:abstractNum>
  <w:abstractNum w:abstractNumId="12" w15:restartNumberingAfterBreak="0">
    <w:nsid w:val="4A846769"/>
    <w:multiLevelType w:val="multilevel"/>
    <w:tmpl w:val="8C74E786"/>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13" w15:restartNumberingAfterBreak="0">
    <w:nsid w:val="59C237B8"/>
    <w:multiLevelType w:val="multilevel"/>
    <w:tmpl w:val="DDE0880E"/>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14" w15:restartNumberingAfterBreak="0">
    <w:nsid w:val="5CE2152A"/>
    <w:multiLevelType w:val="multilevel"/>
    <w:tmpl w:val="DDE0880E"/>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15" w15:restartNumberingAfterBreak="0">
    <w:nsid w:val="5F337EBF"/>
    <w:multiLevelType w:val="multilevel"/>
    <w:tmpl w:val="DDE0880E"/>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16" w15:restartNumberingAfterBreak="0">
    <w:nsid w:val="611C4084"/>
    <w:multiLevelType w:val="multilevel"/>
    <w:tmpl w:val="DDE0880E"/>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17" w15:restartNumberingAfterBreak="0">
    <w:nsid w:val="61387C22"/>
    <w:multiLevelType w:val="multilevel"/>
    <w:tmpl w:val="8C74E786"/>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18" w15:restartNumberingAfterBreak="0">
    <w:nsid w:val="682A6FDB"/>
    <w:multiLevelType w:val="multilevel"/>
    <w:tmpl w:val="DDE0880E"/>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19" w15:restartNumberingAfterBreak="0">
    <w:nsid w:val="708913DB"/>
    <w:multiLevelType w:val="multilevel"/>
    <w:tmpl w:val="1FA0B926"/>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20" w15:restartNumberingAfterBreak="0">
    <w:nsid w:val="755F1C18"/>
    <w:multiLevelType w:val="multilevel"/>
    <w:tmpl w:val="DDE0880E"/>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1"/>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abstractNum w:abstractNumId="21" w15:restartNumberingAfterBreak="0">
    <w:nsid w:val="7B7177E0"/>
    <w:multiLevelType w:val="multilevel"/>
    <w:tmpl w:val="F4E0C410"/>
    <w:lvl w:ilvl="0">
      <w:start w:val="1"/>
      <w:numFmt w:val="decimal"/>
      <w:lvlText w:val="%1"/>
      <w:lvlJc w:val="left"/>
      <w:pPr>
        <w:ind w:left="666" w:hanging="428"/>
      </w:pPr>
      <w:rPr>
        <w:rFonts w:ascii="Calibri" w:eastAsia="ＭＳ 明朝" w:hAnsi="Calibri" w:cs="Calibri" w:hint="default"/>
        <w:w w:val="99"/>
        <w:sz w:val="28"/>
        <w:szCs w:val="28"/>
        <w:lang w:val="en-US" w:eastAsia="ja-JP" w:bidi="ar-SA"/>
      </w:rPr>
    </w:lvl>
    <w:lvl w:ilvl="1">
      <w:start w:val="2"/>
      <w:numFmt w:val="decimal"/>
      <w:lvlText w:val="%1.%2"/>
      <w:lvlJc w:val="left"/>
      <w:pPr>
        <w:ind w:left="777" w:hanging="539"/>
      </w:pPr>
      <w:rPr>
        <w:rFonts w:ascii="Calibri" w:eastAsia="ＭＳ 明朝" w:hAnsi="Calibri" w:cs="Calibri" w:hint="default"/>
        <w:w w:val="98"/>
        <w:sz w:val="24"/>
        <w:szCs w:val="24"/>
        <w:lang w:val="en-US" w:eastAsia="ja-JP" w:bidi="ar-SA"/>
      </w:rPr>
    </w:lvl>
    <w:lvl w:ilvl="2">
      <w:start w:val="1"/>
      <w:numFmt w:val="decimal"/>
      <w:lvlText w:val="%1.%2.%3"/>
      <w:lvlJc w:val="left"/>
      <w:pPr>
        <w:ind w:left="847" w:hanging="609"/>
      </w:pPr>
      <w:rPr>
        <w:rFonts w:ascii="Tahoma" w:eastAsia="ＭＳ 明朝" w:hAnsi="Tahoma" w:cs="Tahoma" w:hint="default"/>
        <w:w w:val="91"/>
        <w:sz w:val="20"/>
        <w:szCs w:val="20"/>
        <w:lang w:val="en-US" w:eastAsia="ja-JP" w:bidi="ar-SA"/>
      </w:rPr>
    </w:lvl>
    <w:lvl w:ilvl="3">
      <w:numFmt w:val="bullet"/>
      <w:lvlText w:val="•"/>
      <w:lvlJc w:val="left"/>
      <w:pPr>
        <w:ind w:left="1923" w:hanging="609"/>
      </w:pPr>
      <w:rPr>
        <w:rFonts w:hint="default"/>
        <w:lang w:val="en-US" w:eastAsia="ja-JP" w:bidi="ar-SA"/>
      </w:rPr>
    </w:lvl>
    <w:lvl w:ilvl="4">
      <w:numFmt w:val="bullet"/>
      <w:lvlText w:val="•"/>
      <w:lvlJc w:val="left"/>
      <w:pPr>
        <w:ind w:left="3006" w:hanging="609"/>
      </w:pPr>
      <w:rPr>
        <w:rFonts w:hint="default"/>
        <w:lang w:val="en-US" w:eastAsia="ja-JP" w:bidi="ar-SA"/>
      </w:rPr>
    </w:lvl>
    <w:lvl w:ilvl="5">
      <w:numFmt w:val="bullet"/>
      <w:lvlText w:val="•"/>
      <w:lvlJc w:val="left"/>
      <w:pPr>
        <w:ind w:left="4089" w:hanging="609"/>
      </w:pPr>
      <w:rPr>
        <w:rFonts w:hint="default"/>
        <w:lang w:val="en-US" w:eastAsia="ja-JP" w:bidi="ar-SA"/>
      </w:rPr>
    </w:lvl>
    <w:lvl w:ilvl="6">
      <w:numFmt w:val="bullet"/>
      <w:lvlText w:val="•"/>
      <w:lvlJc w:val="left"/>
      <w:pPr>
        <w:ind w:left="5172" w:hanging="609"/>
      </w:pPr>
      <w:rPr>
        <w:rFonts w:hint="default"/>
        <w:lang w:val="en-US" w:eastAsia="ja-JP" w:bidi="ar-SA"/>
      </w:rPr>
    </w:lvl>
    <w:lvl w:ilvl="7">
      <w:numFmt w:val="bullet"/>
      <w:lvlText w:val="•"/>
      <w:lvlJc w:val="left"/>
      <w:pPr>
        <w:ind w:left="6256" w:hanging="609"/>
      </w:pPr>
      <w:rPr>
        <w:rFonts w:hint="default"/>
        <w:lang w:val="en-US" w:eastAsia="ja-JP" w:bidi="ar-SA"/>
      </w:rPr>
    </w:lvl>
    <w:lvl w:ilvl="8">
      <w:numFmt w:val="bullet"/>
      <w:lvlText w:val="•"/>
      <w:lvlJc w:val="left"/>
      <w:pPr>
        <w:ind w:left="7339" w:hanging="609"/>
      </w:pPr>
      <w:rPr>
        <w:rFonts w:hint="default"/>
        <w:lang w:val="en-US" w:eastAsia="ja-JP" w:bidi="ar-SA"/>
      </w:rPr>
    </w:lvl>
  </w:abstractNum>
  <w:num w:numId="1">
    <w:abstractNumId w:val="0"/>
  </w:num>
  <w:num w:numId="2">
    <w:abstractNumId w:val="0"/>
  </w:num>
  <w:num w:numId="3">
    <w:abstractNumId w:val="12"/>
  </w:num>
  <w:num w:numId="4">
    <w:abstractNumId w:val="21"/>
  </w:num>
  <w:num w:numId="5">
    <w:abstractNumId w:val="19"/>
  </w:num>
  <w:num w:numId="6">
    <w:abstractNumId w:val="6"/>
  </w:num>
  <w:num w:numId="7">
    <w:abstractNumId w:val="16"/>
  </w:num>
  <w:num w:numId="8">
    <w:abstractNumId w:val="10"/>
  </w:num>
  <w:num w:numId="9">
    <w:abstractNumId w:val="13"/>
  </w:num>
  <w:num w:numId="10">
    <w:abstractNumId w:val="3"/>
  </w:num>
  <w:num w:numId="11">
    <w:abstractNumId w:val="1"/>
  </w:num>
  <w:num w:numId="12">
    <w:abstractNumId w:val="5"/>
  </w:num>
  <w:num w:numId="13">
    <w:abstractNumId w:val="20"/>
  </w:num>
  <w:num w:numId="14">
    <w:abstractNumId w:val="18"/>
  </w:num>
  <w:num w:numId="15">
    <w:abstractNumId w:val="4"/>
  </w:num>
  <w:num w:numId="16">
    <w:abstractNumId w:val="14"/>
  </w:num>
  <w:num w:numId="17">
    <w:abstractNumId w:val="8"/>
  </w:num>
  <w:num w:numId="18">
    <w:abstractNumId w:val="2"/>
  </w:num>
  <w:num w:numId="19">
    <w:abstractNumId w:val="15"/>
  </w:num>
  <w:num w:numId="20">
    <w:abstractNumId w:val="17"/>
  </w:num>
  <w:num w:numId="21">
    <w:abstractNumId w:val="9"/>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C0176"/>
    <w:rsid w:val="0027270F"/>
    <w:rsid w:val="004E29B3"/>
    <w:rsid w:val="00590D07"/>
    <w:rsid w:val="007101D0"/>
    <w:rsid w:val="00784D58"/>
    <w:rsid w:val="007D75C8"/>
    <w:rsid w:val="008D6863"/>
    <w:rsid w:val="00983EF9"/>
    <w:rsid w:val="00B84B15"/>
    <w:rsid w:val="00B86B75"/>
    <w:rsid w:val="00BC48D5"/>
    <w:rsid w:val="00C219C5"/>
    <w:rsid w:val="00C2699F"/>
    <w:rsid w:val="00C36279"/>
    <w:rsid w:val="00CF6822"/>
    <w:rsid w:val="00E315A3"/>
    <w:rsid w:val="00EC7B3E"/>
    <w:rsid w:val="00EE4F3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1"/>
    </o:shapelayout>
  </w:shapeDefaults>
  <w:decimalSymbol w:val="."/>
  <w:listSeparator w:val=","/>
  <w14:docId w14:val="52E54941"/>
  <w15:docId w15:val="{80F67195-2E82-4940-A46C-2F00F4678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rsid w:val="00B84B15"/>
    <w:pPr>
      <w:keepNext/>
      <w:keepLines/>
      <w:spacing w:before="480" w:after="0"/>
      <w:outlineLvl w:val="0"/>
    </w:pPr>
    <w:rPr>
      <w:rFonts w:asciiTheme="majorHAnsi" w:eastAsiaTheme="majorEastAsia" w:hAnsiTheme="majorHAnsi" w:cstheme="majorBidi"/>
      <w:bCs/>
      <w:sz w:val="28"/>
      <w:szCs w:val="32"/>
    </w:rPr>
  </w:style>
  <w:style w:type="paragraph" w:styleId="2">
    <w:name w:val="heading 2"/>
    <w:basedOn w:val="a"/>
    <w:next w:val="a0"/>
    <w:uiPriority w:val="9"/>
    <w:unhideWhenUsed/>
    <w:qFormat/>
    <w:rsid w:val="00B84B15"/>
    <w:pPr>
      <w:keepNext/>
      <w:keepLines/>
      <w:spacing w:before="200" w:after="0"/>
      <w:outlineLvl w:val="1"/>
    </w:pPr>
    <w:rPr>
      <w:rFonts w:asciiTheme="majorHAnsi" w:eastAsiaTheme="majorEastAsia" w:hAnsiTheme="majorHAnsi" w:cstheme="majorBidi"/>
      <w:bCs/>
      <w:szCs w:val="32"/>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rsid w:val="007101D0"/>
    <w:pPr>
      <w:spacing w:before="100" w:beforeAutospacing="1" w:after="100" w:afterAutospacing="1"/>
      <w:ind w:firstLineChars="100" w:firstLine="100"/>
      <w:contextualSpacing/>
    </w:pPr>
    <w:rPr>
      <w:sz w:val="21"/>
    </w:rPr>
  </w:style>
  <w:style w:type="paragraph" w:customStyle="1" w:styleId="Compact">
    <w:name w:val="Compact"/>
    <w:basedOn w:val="a0"/>
    <w:qFormat/>
    <w:pPr>
      <w:spacing w:before="36" w:after="36"/>
    </w:pPr>
  </w:style>
  <w:style w:type="paragraph" w:styleId="a4">
    <w:name w:val="Title"/>
    <w:basedOn w:val="a"/>
    <w:next w:val="a0"/>
    <w:uiPriority w:val="10"/>
    <w:qFormat/>
    <w:rsid w:val="007101D0"/>
    <w:pPr>
      <w:keepNext/>
      <w:keepLines/>
      <w:spacing w:before="480" w:after="240"/>
      <w:jc w:val="center"/>
    </w:pPr>
    <w:rPr>
      <w:rFonts w:asciiTheme="majorHAnsi" w:eastAsiaTheme="majorEastAsia" w:hAnsiTheme="majorHAnsi" w:cstheme="majorBidi"/>
      <w:b/>
      <w:bCs/>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9">
    <w:name w:val="footnote text"/>
    <w:basedOn w:val="a"/>
    <w:uiPriority w:val="9"/>
    <w:unhideWhenUsed/>
    <w:qFormat/>
    <w:rsid w:val="007101D0"/>
    <w:rPr>
      <w:sz w:val="21"/>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
    <w:name w:val="header"/>
    <w:basedOn w:val="a"/>
    <w:link w:val="af0"/>
    <w:unhideWhenUsed/>
    <w:rsid w:val="00B84B15"/>
    <w:pPr>
      <w:tabs>
        <w:tab w:val="center" w:pos="4252"/>
        <w:tab w:val="right" w:pos="8504"/>
      </w:tabs>
      <w:snapToGrid w:val="0"/>
    </w:pPr>
  </w:style>
  <w:style w:type="character" w:customStyle="1" w:styleId="af0">
    <w:name w:val="ヘッダー (文字)"/>
    <w:basedOn w:val="a1"/>
    <w:link w:val="af"/>
    <w:rsid w:val="00B84B15"/>
  </w:style>
  <w:style w:type="paragraph" w:styleId="af1">
    <w:name w:val="footer"/>
    <w:basedOn w:val="a"/>
    <w:link w:val="af2"/>
    <w:unhideWhenUsed/>
    <w:rsid w:val="00B84B15"/>
    <w:pPr>
      <w:tabs>
        <w:tab w:val="center" w:pos="4252"/>
        <w:tab w:val="right" w:pos="8504"/>
      </w:tabs>
      <w:snapToGrid w:val="0"/>
    </w:pPr>
  </w:style>
  <w:style w:type="character" w:customStyle="1" w:styleId="af2">
    <w:name w:val="フッター (文字)"/>
    <w:basedOn w:val="a1"/>
    <w:link w:val="af1"/>
    <w:rsid w:val="00B84B15"/>
  </w:style>
  <w:style w:type="paragraph" w:styleId="10">
    <w:name w:val="toc 1"/>
    <w:basedOn w:val="a"/>
    <w:next w:val="a"/>
    <w:autoRedefine/>
    <w:uiPriority w:val="39"/>
    <w:unhideWhenUsed/>
    <w:rsid w:val="00B84B15"/>
  </w:style>
  <w:style w:type="paragraph" w:styleId="20">
    <w:name w:val="toc 2"/>
    <w:basedOn w:val="a"/>
    <w:next w:val="a"/>
    <w:autoRedefine/>
    <w:uiPriority w:val="39"/>
    <w:unhideWhenUsed/>
    <w:rsid w:val="00B84B15"/>
    <w:pPr>
      <w:ind w:leftChars="100" w:left="240"/>
    </w:pPr>
  </w:style>
  <w:style w:type="paragraph" w:styleId="30">
    <w:name w:val="toc 3"/>
    <w:basedOn w:val="a"/>
    <w:next w:val="a"/>
    <w:autoRedefine/>
    <w:uiPriority w:val="39"/>
    <w:unhideWhenUsed/>
    <w:rsid w:val="00B84B15"/>
    <w:pPr>
      <w:ind w:leftChars="200" w:left="480"/>
    </w:pPr>
  </w:style>
  <w:style w:type="paragraph" w:styleId="af3">
    <w:name w:val="List Paragraph"/>
    <w:basedOn w:val="a"/>
    <w:uiPriority w:val="1"/>
    <w:qFormat/>
    <w:rsid w:val="007101D0"/>
    <w:pPr>
      <w:widowControl w:val="0"/>
      <w:autoSpaceDE w:val="0"/>
      <w:autoSpaceDN w:val="0"/>
      <w:spacing w:after="0"/>
      <w:ind w:left="975" w:hanging="554"/>
    </w:pPr>
    <w:rPr>
      <w:rFonts w:ascii="SimSun" w:eastAsiaTheme="majorEastAsia" w:hAnsi="SimSun" w:cs="SimSun"/>
      <w:sz w:val="21"/>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81688-DC8D-4CD0-879A-734F9AA53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11</Pages>
  <Words>1761</Words>
  <Characters>10043</Characters>
  <Application>Microsoft Office Word</Application>
  <DocSecurity>0</DocSecurity>
  <Lines>83</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芝池 亮弥</cp:lastModifiedBy>
  <cp:revision>5</cp:revision>
  <dcterms:created xsi:type="dcterms:W3CDTF">2020-12-31T11:56:00Z</dcterms:created>
  <dcterms:modified xsi:type="dcterms:W3CDTF">2020-12-31T13:41:00Z</dcterms:modified>
</cp:coreProperties>
</file>