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EC3714" w14:textId="4492B32D" w:rsidR="00692999" w:rsidRDefault="00692999" w:rsidP="00692999">
      <w:pPr>
        <w:pStyle w:val="a7"/>
      </w:pPr>
      <w:r>
        <w:rPr>
          <w:rFonts w:hint="eastAsia"/>
        </w:rPr>
        <w:t>芸術の自由の保障根拠</w:t>
      </w:r>
    </w:p>
    <w:p w14:paraId="2558992B" w14:textId="0DC9962D" w:rsidR="00692999" w:rsidRPr="00692999" w:rsidRDefault="00692999" w:rsidP="00692999">
      <w:pPr>
        <w:wordWrap w:val="0"/>
        <w:jc w:val="right"/>
      </w:pPr>
      <w:r>
        <w:rPr>
          <w:rFonts w:hint="eastAsia"/>
        </w:rPr>
        <w:t>京都大学法学部　３回生　石井勝哉</w:t>
      </w:r>
    </w:p>
    <w:p w14:paraId="3BB77992" w14:textId="61BD6B33" w:rsidR="00732C36" w:rsidRDefault="00732C36" w:rsidP="00732C36">
      <w:pPr>
        <w:pStyle w:val="1"/>
      </w:pPr>
      <w:r>
        <w:rPr>
          <w:rFonts w:hint="eastAsia"/>
        </w:rPr>
        <w:t>はじめに</w:t>
      </w:r>
    </w:p>
    <w:p w14:paraId="75236D9E" w14:textId="7C71420B" w:rsidR="00F7185E" w:rsidRDefault="00732C36" w:rsidP="00732C36">
      <w:r>
        <w:rPr>
          <w:rFonts w:hint="eastAsia"/>
        </w:rPr>
        <w:t xml:space="preserve">　昨年(2019年)に開催されたあいちトリエンナーレでは、「表現の不自由展・その後」で展示された</w:t>
      </w:r>
      <w:r w:rsidR="00C47F3F">
        <w:rPr>
          <w:rFonts w:hint="eastAsia"/>
        </w:rPr>
        <w:t>《</w:t>
      </w:r>
      <w:r w:rsidR="00F7185E">
        <w:rPr>
          <w:rFonts w:hint="eastAsia"/>
        </w:rPr>
        <w:t>平和の少女像</w:t>
      </w:r>
      <w:r w:rsidR="00C47F3F">
        <w:rPr>
          <w:rFonts w:hint="eastAsia"/>
        </w:rPr>
        <w:t>》</w:t>
      </w:r>
      <w:r w:rsidR="00F7185E">
        <w:rPr>
          <w:rFonts w:hint="eastAsia"/>
        </w:rPr>
        <w:t>を巡って論争が起こった。</w:t>
      </w:r>
      <w:r w:rsidR="003D24D7">
        <w:rPr>
          <w:rFonts w:hint="eastAsia"/>
        </w:rPr>
        <w:t>その論争の中で、表現の自由は、主張を裏付けるものとして様々なところで援用された。少女像への激しい批判を受けて、</w:t>
      </w:r>
      <w:r w:rsidR="00F7185E">
        <w:rPr>
          <w:rFonts w:hint="eastAsia"/>
        </w:rPr>
        <w:t>主催者が展示を中止</w:t>
      </w:r>
      <w:r w:rsidR="003D24D7">
        <w:rPr>
          <w:rFonts w:hint="eastAsia"/>
        </w:rPr>
        <w:t>することを発表したときには、「表現の自由を守れ！」という内容の電話が主催者に殺到したし、</w:t>
      </w:r>
      <w:r w:rsidR="00F7185E">
        <w:rPr>
          <w:rFonts w:hint="eastAsia"/>
        </w:rPr>
        <w:t>公金を使って政府見解に反</w:t>
      </w:r>
      <w:r w:rsidR="003D24D7">
        <w:rPr>
          <w:rFonts w:hint="eastAsia"/>
        </w:rPr>
        <w:t>した</w:t>
      </w:r>
      <w:r w:rsidR="00F7185E">
        <w:rPr>
          <w:rFonts w:hint="eastAsia"/>
        </w:rPr>
        <w:t>展示をするこ</w:t>
      </w:r>
      <w:r w:rsidR="003D24D7">
        <w:rPr>
          <w:rFonts w:hint="eastAsia"/>
        </w:rPr>
        <w:t>とを問題視する声に対しては、「これは検閲だ！表現の自由を侵害している！」という旨の批判がなされた</w:t>
      </w:r>
      <w:r w:rsidR="00845FCB">
        <w:rPr>
          <w:rFonts w:hint="eastAsia"/>
        </w:rPr>
        <w:t>り、補助金不交付決定に対しては、抗議の署名がなされたりした</w:t>
      </w:r>
      <w:r w:rsidR="00C47F3F">
        <w:rPr>
          <w:rStyle w:val="ab"/>
        </w:rPr>
        <w:footnoteReference w:id="1"/>
      </w:r>
      <w:r w:rsidR="003D24D7">
        <w:rPr>
          <w:rFonts w:hint="eastAsia"/>
        </w:rPr>
        <w:t>。「表現の不自由展・その後」を巡る一連の騒動を機に、</w:t>
      </w:r>
      <w:r w:rsidR="00494F22">
        <w:rPr>
          <w:rFonts w:hint="eastAsia"/>
        </w:rPr>
        <w:t>芸術は憲法上、表現の自由で保障されていて、</w:t>
      </w:r>
      <w:r w:rsidR="003D24D7">
        <w:rPr>
          <w:rFonts w:hint="eastAsia"/>
        </w:rPr>
        <w:t>芸術活動に対する</w:t>
      </w:r>
      <w:r w:rsidR="00845FCB">
        <w:rPr>
          <w:rFonts w:hint="eastAsia"/>
        </w:rPr>
        <w:t>公権力の</w:t>
      </w:r>
      <w:r w:rsidR="003D24D7">
        <w:rPr>
          <w:rFonts w:hint="eastAsia"/>
        </w:rPr>
        <w:t>干渉は表現の自由を侵害しうる、という認識が</w:t>
      </w:r>
      <w:r w:rsidR="00494F22">
        <w:rPr>
          <w:rFonts w:hint="eastAsia"/>
        </w:rPr>
        <w:t>一般に浸透したのではないか。</w:t>
      </w:r>
    </w:p>
    <w:p w14:paraId="4CC4EC68" w14:textId="0FFD4F0F" w:rsidR="00001EE9" w:rsidRPr="00F7185E" w:rsidRDefault="00494F22" w:rsidP="00732C36">
      <w:r>
        <w:rPr>
          <w:rFonts w:hint="eastAsia"/>
        </w:rPr>
        <w:t xml:space="preserve">　一方で、筆者は憲法を学習する中で、</w:t>
      </w:r>
      <w:r w:rsidR="00385958">
        <w:rPr>
          <w:rFonts w:hint="eastAsia"/>
        </w:rPr>
        <w:t>芸術の自由が保障されることについて懐疑的になっていた。すなわち、憲法13条は幸福追求権を保障しているところ、その敷居は</w:t>
      </w:r>
      <w:r w:rsidR="00991297">
        <w:rPr>
          <w:rFonts w:hint="eastAsia"/>
        </w:rPr>
        <w:t>「人格的生存にとって不可欠」</w:t>
      </w:r>
      <w:r w:rsidR="00D62595">
        <w:rPr>
          <w:rStyle w:val="ab"/>
        </w:rPr>
        <w:footnoteReference w:id="2"/>
      </w:r>
      <w:r w:rsidR="00385958">
        <w:rPr>
          <w:rFonts w:hint="eastAsia"/>
        </w:rPr>
        <w:t>と高く</w:t>
      </w:r>
      <w:r w:rsidR="00991297">
        <w:rPr>
          <w:rFonts w:hint="eastAsia"/>
        </w:rPr>
        <w:t>なっていて、</w:t>
      </w:r>
      <w:r w:rsidR="00385958">
        <w:rPr>
          <w:rFonts w:hint="eastAsia"/>
        </w:rPr>
        <w:t>自動車を運転する自由のような一般的自由は保障されないとされている。</w:t>
      </w:r>
      <w:r w:rsidR="00001EE9">
        <w:rPr>
          <w:rFonts w:hint="eastAsia"/>
        </w:rPr>
        <w:t>芸術は、</w:t>
      </w:r>
      <w:r w:rsidR="00991297">
        <w:rPr>
          <w:rFonts w:hint="eastAsia"/>
        </w:rPr>
        <w:t>「人格的生存にとって不可欠」</w:t>
      </w:r>
      <w:r w:rsidR="00001EE9">
        <w:rPr>
          <w:rFonts w:hint="eastAsia"/>
        </w:rPr>
        <w:t>の敷居を超える</w:t>
      </w:r>
      <w:r w:rsidR="00991297">
        <w:rPr>
          <w:rFonts w:hint="eastAsia"/>
        </w:rPr>
        <w:t>ほどのもの</w:t>
      </w:r>
      <w:r w:rsidR="00001EE9">
        <w:rPr>
          <w:rFonts w:hint="eastAsia"/>
        </w:rPr>
        <w:t>ではないのではないか、基本権として保障されない自動車の運転と何ら変わらないのではないか。本稿はこの疑問から出発し、芸術の自由が憲法の基本権として保障される根拠を検討することを目的としている。</w:t>
      </w:r>
    </w:p>
    <w:p w14:paraId="6AB326F9" w14:textId="398EABE1" w:rsidR="00692999" w:rsidRDefault="00732C36" w:rsidP="00732C36">
      <w:r>
        <w:rPr>
          <w:rFonts w:hint="eastAsia"/>
        </w:rPr>
        <w:t xml:space="preserve">　本稿では、まず表現の自由一般の保障根拠について述べる。次に章を変えて芸術の自由の保障根拠について、第一章で述べた表現の自由一般の保障根拠と比較し、また、芸術の自由独自の保障根拠についても考察を加える。</w:t>
      </w:r>
    </w:p>
    <w:p w14:paraId="753FD1EE" w14:textId="77777777" w:rsidR="009E0B2A" w:rsidRDefault="009E0B2A" w:rsidP="00732C36"/>
    <w:p w14:paraId="60F58828" w14:textId="29A2AA90" w:rsidR="00001EE9" w:rsidRDefault="008713B7" w:rsidP="00001EE9">
      <w:pPr>
        <w:pStyle w:val="1"/>
      </w:pPr>
      <w:r>
        <w:rPr>
          <w:rFonts w:hint="eastAsia"/>
        </w:rPr>
        <w:t>１．</w:t>
      </w:r>
      <w:r w:rsidR="00692999">
        <w:rPr>
          <w:rFonts w:hint="eastAsia"/>
        </w:rPr>
        <w:t xml:space="preserve">　</w:t>
      </w:r>
      <w:r w:rsidR="00001EE9">
        <w:rPr>
          <w:rFonts w:hint="eastAsia"/>
        </w:rPr>
        <w:t>表現の自由一般の保障根拠</w:t>
      </w:r>
    </w:p>
    <w:p w14:paraId="79EB9365" w14:textId="62F9C289" w:rsidR="00692999" w:rsidRDefault="00001EE9" w:rsidP="00692999">
      <w:pPr>
        <w:ind w:firstLineChars="100" w:firstLine="210"/>
      </w:pPr>
      <w:r>
        <w:rPr>
          <w:rFonts w:hint="eastAsia"/>
        </w:rPr>
        <w:t>表現の自由一般の保障根拠には、積極的なものとし</w:t>
      </w:r>
      <w:r w:rsidR="00E1192F">
        <w:rPr>
          <w:rFonts w:hint="eastAsia"/>
        </w:rPr>
        <w:t>て</w:t>
      </w:r>
      <w:r>
        <w:rPr>
          <w:rFonts w:hint="eastAsia"/>
        </w:rPr>
        <w:t>、</w:t>
      </w:r>
      <w:r w:rsidR="007E416C">
        <w:rPr>
          <w:rFonts w:hint="eastAsia"/>
        </w:rPr>
        <w:t>自己統治</w:t>
      </w:r>
      <w:r w:rsidR="00692999">
        <w:rPr>
          <w:rFonts w:hint="eastAsia"/>
        </w:rPr>
        <w:t>、</w:t>
      </w:r>
      <w:r w:rsidR="00E1192F">
        <w:rPr>
          <w:rFonts w:hint="eastAsia"/>
        </w:rPr>
        <w:t>自己実現、</w:t>
      </w:r>
      <w:r w:rsidR="00692999">
        <w:rPr>
          <w:rFonts w:hint="eastAsia"/>
        </w:rPr>
        <w:t>表現の自由市場論</w:t>
      </w:r>
      <w:r>
        <w:rPr>
          <w:rFonts w:hint="eastAsia"/>
        </w:rPr>
        <w:t>が、</w:t>
      </w:r>
      <w:r w:rsidR="00692999">
        <w:rPr>
          <w:rFonts w:hint="eastAsia"/>
        </w:rPr>
        <w:t>消極的理由として、委縮効果論が挙げられる</w:t>
      </w:r>
      <w:r w:rsidR="00E1192F">
        <w:rPr>
          <w:rStyle w:val="ab"/>
        </w:rPr>
        <w:footnoteReference w:id="3"/>
      </w:r>
      <w:r w:rsidR="00692999">
        <w:rPr>
          <w:rFonts w:hint="eastAsia"/>
        </w:rPr>
        <w:t>。本章では、以上に挙げた表現の自由の保障根拠の概観を確認していく。</w:t>
      </w:r>
    </w:p>
    <w:p w14:paraId="09B9FCE4" w14:textId="77777777" w:rsidR="006A6EAA" w:rsidRDefault="006A6EAA" w:rsidP="00692999">
      <w:pPr>
        <w:ind w:firstLineChars="100" w:firstLine="210"/>
      </w:pPr>
    </w:p>
    <w:p w14:paraId="282C51FF" w14:textId="1BFE828B" w:rsidR="00692999" w:rsidRDefault="00C47F3F" w:rsidP="00692999">
      <w:pPr>
        <w:pStyle w:val="2"/>
      </w:pPr>
      <w:r>
        <w:rPr>
          <w:rFonts w:hint="eastAsia"/>
        </w:rPr>
        <w:t>(１)</w:t>
      </w:r>
      <w:r>
        <w:t xml:space="preserve"> </w:t>
      </w:r>
      <w:r w:rsidR="00692999">
        <w:rPr>
          <w:rFonts w:hint="eastAsia"/>
        </w:rPr>
        <w:t>自己</w:t>
      </w:r>
      <w:r w:rsidR="00E1192F">
        <w:rPr>
          <w:rFonts w:hint="eastAsia"/>
        </w:rPr>
        <w:t>統治</w:t>
      </w:r>
    </w:p>
    <w:p w14:paraId="468612A6" w14:textId="250C3A7E" w:rsidR="00E1192F" w:rsidRDefault="00E1192F" w:rsidP="006A6EAA">
      <w:pPr>
        <w:ind w:firstLineChars="100" w:firstLine="210"/>
      </w:pPr>
      <w:r>
        <w:rPr>
          <w:rFonts w:hint="eastAsia"/>
        </w:rPr>
        <w:t>自己統治は</w:t>
      </w:r>
      <w:r w:rsidR="007E416C">
        <w:rPr>
          <w:rFonts w:hint="eastAsia"/>
        </w:rPr>
        <w:t>、「国民が直接・間接に自ら政治的決定を行い、民主制の実効的運営に参加することによって、自らの諸利益を確保する」プロセスであって、表現の自由によって自由な言論が保護されていることは、このプロセスにとって不可欠なものである</w:t>
      </w:r>
      <w:r>
        <w:rPr>
          <w:rFonts w:hint="eastAsia"/>
        </w:rPr>
        <w:t>。</w:t>
      </w:r>
      <w:r w:rsidR="007E416C">
        <w:rPr>
          <w:rFonts w:hint="eastAsia"/>
        </w:rPr>
        <w:t>表現の自由が</w:t>
      </w:r>
      <w:r>
        <w:rPr>
          <w:rFonts w:hint="eastAsia"/>
        </w:rPr>
        <w:t>自己統治</w:t>
      </w:r>
      <w:r w:rsidR="007E416C">
        <w:rPr>
          <w:rFonts w:hint="eastAsia"/>
        </w:rPr>
        <w:t>にとって重要な役割を果たしている</w:t>
      </w:r>
      <w:r>
        <w:rPr>
          <w:rFonts w:hint="eastAsia"/>
        </w:rPr>
        <w:t>ことは、最高裁も『北方ジャーナル事件』において述べているところである。すなわち、「主権が国民に属する民主制国家は、その構成員である国民がおよそ</w:t>
      </w:r>
      <w:r w:rsidR="006A6EAA">
        <w:rPr>
          <w:rFonts w:hint="eastAsia"/>
        </w:rPr>
        <w:t>一切の主義主張等を表明するとともにこれらの情報を相互に受領することができ、その中から自由な意思をもって自己が正当と信じるものを採用することにより多数意見が形成され、かかる過程を通じて国政がその存立の基礎としている</w:t>
      </w:r>
      <w:r>
        <w:rPr>
          <w:rFonts w:hint="eastAsia"/>
        </w:rPr>
        <w:t>」</w:t>
      </w:r>
      <w:r w:rsidR="006A6EAA">
        <w:rPr>
          <w:rFonts w:hint="eastAsia"/>
        </w:rPr>
        <w:t>のである</w:t>
      </w:r>
      <w:r w:rsidR="006A6EAA">
        <w:rPr>
          <w:rStyle w:val="ab"/>
        </w:rPr>
        <w:footnoteReference w:id="4"/>
      </w:r>
      <w:r w:rsidR="006A6EAA">
        <w:rPr>
          <w:rFonts w:hint="eastAsia"/>
        </w:rPr>
        <w:t>。</w:t>
      </w:r>
    </w:p>
    <w:p w14:paraId="77E90350" w14:textId="77777777" w:rsidR="006A6EAA" w:rsidRPr="00E1192F" w:rsidRDefault="006A6EAA" w:rsidP="006A6EAA">
      <w:pPr>
        <w:ind w:firstLineChars="100" w:firstLine="210"/>
      </w:pPr>
    </w:p>
    <w:p w14:paraId="66409D72" w14:textId="77777777" w:rsidR="00602E2B" w:rsidRPr="00602E2B" w:rsidRDefault="00602E2B" w:rsidP="00E1192F"/>
    <w:p w14:paraId="5B7CE8B4" w14:textId="0DE2D4C8" w:rsidR="00692999" w:rsidRDefault="00C47F3F" w:rsidP="00692999">
      <w:pPr>
        <w:pStyle w:val="2"/>
      </w:pPr>
      <w:r>
        <w:rPr>
          <w:rFonts w:hint="eastAsia"/>
        </w:rPr>
        <w:t>(２)</w:t>
      </w:r>
      <w:r>
        <w:t xml:space="preserve"> </w:t>
      </w:r>
      <w:r w:rsidR="00692999">
        <w:rPr>
          <w:rFonts w:hint="eastAsia"/>
        </w:rPr>
        <w:t>表現の自由市場論</w:t>
      </w:r>
    </w:p>
    <w:p w14:paraId="0E80D176" w14:textId="6E364131" w:rsidR="006A6EAA" w:rsidRDefault="006A6EAA" w:rsidP="006A6EAA">
      <w:r>
        <w:rPr>
          <w:rFonts w:hint="eastAsia"/>
        </w:rPr>
        <w:t xml:space="preserve">　表現の自由市場論</w:t>
      </w:r>
      <w:r w:rsidR="00C53609">
        <w:rPr>
          <w:rFonts w:hint="eastAsia"/>
        </w:rPr>
        <w:t>は、</w:t>
      </w:r>
      <w:r w:rsidR="00160E58">
        <w:rPr>
          <w:rFonts w:hint="eastAsia"/>
        </w:rPr>
        <w:t>簡潔に言えば、「真理は、思想の自由な競争のなかからのみ見出されるのだから、公定の「真理に基づいて」表現を規制してはならない」という考え方で</w:t>
      </w:r>
      <w:r w:rsidR="00C53609">
        <w:rPr>
          <w:rFonts w:hint="eastAsia"/>
        </w:rPr>
        <w:t>ある</w:t>
      </w:r>
      <w:r w:rsidR="00160E58">
        <w:rPr>
          <w:rStyle w:val="ab"/>
        </w:rPr>
        <w:footnoteReference w:id="5"/>
      </w:r>
      <w:r w:rsidR="00C53609">
        <w:rPr>
          <w:rFonts w:hint="eastAsia"/>
        </w:rPr>
        <w:t>。この理論は、1919年の合衆国連邦最高裁判所のA</w:t>
      </w:r>
      <w:r w:rsidR="00C53609">
        <w:t>bram</w:t>
      </w:r>
      <w:r w:rsidR="00C53609">
        <w:rPr>
          <w:rFonts w:hint="eastAsia"/>
        </w:rPr>
        <w:t xml:space="preserve"> </w:t>
      </w:r>
      <w:r w:rsidR="00C53609">
        <w:t>v. United States</w:t>
      </w:r>
      <w:r w:rsidR="00C53609">
        <w:rPr>
          <w:rFonts w:hint="eastAsia"/>
        </w:rPr>
        <w:t>判決に付されたホームズ裁判官の反対意見において登場した。本件は、</w:t>
      </w:r>
      <w:r w:rsidR="00300A5E">
        <w:rPr>
          <w:rFonts w:hint="eastAsia"/>
        </w:rPr>
        <w:t>ボ</w:t>
      </w:r>
      <w:r w:rsidR="00C53609">
        <w:rPr>
          <w:rFonts w:hint="eastAsia"/>
        </w:rPr>
        <w:t>リシェヴィキによるロシア革命にアメリカが介入したこと</w:t>
      </w:r>
      <w:r w:rsidR="00440E17">
        <w:rPr>
          <w:rFonts w:hint="eastAsia"/>
        </w:rPr>
        <w:t>を受け、</w:t>
      </w:r>
      <w:r w:rsidR="00C53609">
        <w:rPr>
          <w:rFonts w:hint="eastAsia"/>
        </w:rPr>
        <w:t>ユダヤ系ロシア人</w:t>
      </w:r>
      <w:r w:rsidR="00440E17">
        <w:rPr>
          <w:rFonts w:hint="eastAsia"/>
        </w:rPr>
        <w:t>が反発して</w:t>
      </w:r>
      <w:r w:rsidR="00C53609">
        <w:rPr>
          <w:rFonts w:hint="eastAsia"/>
        </w:rPr>
        <w:t>その介入を批判するビラを撒いたところ、防諜法</w:t>
      </w:r>
      <w:r w:rsidR="00440E17">
        <w:rPr>
          <w:rFonts w:hint="eastAsia"/>
        </w:rPr>
        <w:t>違反に問われた事件である。ホームズ裁判官は以下のように述べている。「時間の流れが多くの戦闘的な信念を覆してきたのを認識するとき、人は、求められるべき究極の善は思想の自由な取引によってこそより良く達成される、という行動原則—すなわち真理の裁量テストとは、市場の競争を通じて自己を受け入れさせる思想の力に求められるのであり、真理とは、人々に希望が安全に実現しうるための唯一の基盤なのだ、という行動原則—を今以上に確信するに至るだろう</w:t>
      </w:r>
      <w:r w:rsidR="00845FCB">
        <w:rPr>
          <w:rStyle w:val="ab"/>
        </w:rPr>
        <w:footnoteReference w:id="6"/>
      </w:r>
      <w:r w:rsidR="00845FCB">
        <w:rPr>
          <w:rFonts w:hint="eastAsia"/>
        </w:rPr>
        <w:t>。」</w:t>
      </w:r>
    </w:p>
    <w:p w14:paraId="6C5C4694" w14:textId="4E5E174E" w:rsidR="00440E17" w:rsidRDefault="00440E17" w:rsidP="006A6EAA">
      <w:r>
        <w:rPr>
          <w:rFonts w:hint="eastAsia"/>
        </w:rPr>
        <w:t xml:space="preserve">　思想の自由市場論において観念される「真理」とは、唯一絶対</w:t>
      </w:r>
      <w:r w:rsidR="00C47F3F">
        <w:rPr>
          <w:rFonts w:hint="eastAsia"/>
        </w:rPr>
        <w:t>の</w:t>
      </w:r>
      <w:r>
        <w:rPr>
          <w:rFonts w:hint="eastAsia"/>
        </w:rPr>
        <w:t>ものではなく、思想の自由市場はそのような正解の妥当性・正当性を保証するものではないことに注意したい。寧ろ、</w:t>
      </w:r>
      <w:r w:rsidR="0046503B">
        <w:rPr>
          <w:rFonts w:hint="eastAsia"/>
        </w:rPr>
        <w:t>思想の自由市場論は、</w:t>
      </w:r>
      <w:r>
        <w:rPr>
          <w:rFonts w:hint="eastAsia"/>
        </w:rPr>
        <w:t>各自が抱く思想信条の妥当性・正当性を不断に問い直すとともに、他者の異見に対して寛容な態度を求める</w:t>
      </w:r>
      <w:r w:rsidR="0046503B">
        <w:rPr>
          <w:rFonts w:hint="eastAsia"/>
        </w:rPr>
        <w:t>。思想交換という市場における競争を成立させ、それを安全に遂行、維持するための誘導的概念なのである。「真理」は、真理を探究する過程そのものに宿るのである</w:t>
      </w:r>
      <w:r w:rsidR="00845FCB">
        <w:rPr>
          <w:rStyle w:val="ab"/>
        </w:rPr>
        <w:footnoteReference w:id="7"/>
      </w:r>
      <w:r w:rsidR="0046503B">
        <w:rPr>
          <w:rFonts w:hint="eastAsia"/>
        </w:rPr>
        <w:t>。</w:t>
      </w:r>
    </w:p>
    <w:p w14:paraId="7D434B20" w14:textId="19A5F3FA" w:rsidR="00C90588" w:rsidRDefault="00C90588" w:rsidP="006A6EAA"/>
    <w:p w14:paraId="657F286A" w14:textId="2447B055" w:rsidR="00C90588" w:rsidRDefault="00C47F3F" w:rsidP="00C90588">
      <w:pPr>
        <w:pStyle w:val="2"/>
      </w:pPr>
      <w:r>
        <w:rPr>
          <w:rFonts w:hint="eastAsia"/>
        </w:rPr>
        <w:t>(３</w:t>
      </w:r>
      <w:r>
        <w:t xml:space="preserve">) </w:t>
      </w:r>
      <w:r w:rsidR="00C90588">
        <w:rPr>
          <w:rFonts w:hint="eastAsia"/>
        </w:rPr>
        <w:t>自己実現</w:t>
      </w:r>
    </w:p>
    <w:p w14:paraId="5A3E57AD" w14:textId="23F912EA" w:rsidR="00C90588" w:rsidRDefault="00C90588" w:rsidP="00C90588">
      <w:r>
        <w:rPr>
          <w:rFonts w:hint="eastAsia"/>
        </w:rPr>
        <w:t xml:space="preserve">　自分の考えていることや、特技、特性などを表現して他人に認めてもらうこと、あるいはそれを表現すること自体によって自らが満たされることを一般的に「自己実現」とみなすことができる。社会的に認められたい、あるいは自分の望むことをしたいという欲求は、人々の根源的な欲求であるし、その欲求が満たされることで精神的な満足が得られるのだから、それだけで保護に値する気もする。しかし、表現の自由の保障根拠で論じられる自己実現は、もう少し違う意味も持っている。</w:t>
      </w:r>
    </w:p>
    <w:p w14:paraId="24B67AA4" w14:textId="13D3A3E1" w:rsidR="00C90588" w:rsidRDefault="00C90588" w:rsidP="00C90588">
      <w:r>
        <w:rPr>
          <w:rFonts w:hint="eastAsia"/>
        </w:rPr>
        <w:t xml:space="preserve">　自己実現は、自分の行動は自分で決めることにあることを前提とす</w:t>
      </w:r>
      <w:r w:rsidR="00633DA4">
        <w:rPr>
          <w:rFonts w:hint="eastAsia"/>
        </w:rPr>
        <w:t>る</w:t>
      </w:r>
      <w:r>
        <w:rPr>
          <w:rFonts w:hint="eastAsia"/>
        </w:rPr>
        <w:t>。各人同士が平等であり、自主的で、理性を備えた主体であると考え、自分の行為を決定する最高責任者は自分でなければならない。他者のなす判断を検討なしに自分の意見として採用してはならないし、受け入れるにしても、他者の判断がなぜ正しいのか自分で説明できる必要がある。そのような個人を前提としているから、国家は、こうした個人に対して、あれをせよ、するなと命ずることはできないのである</w:t>
      </w:r>
      <w:r w:rsidR="00633DA4">
        <w:rPr>
          <w:rStyle w:val="ab"/>
        </w:rPr>
        <w:footnoteReference w:id="8"/>
      </w:r>
      <w:r>
        <w:rPr>
          <w:rFonts w:hint="eastAsia"/>
        </w:rPr>
        <w:t>。</w:t>
      </w:r>
    </w:p>
    <w:p w14:paraId="078BA38C" w14:textId="77A4D8F6" w:rsidR="00C90588" w:rsidRDefault="00C90588" w:rsidP="00C90588">
      <w:r>
        <w:rPr>
          <w:rFonts w:hint="eastAsia"/>
        </w:rPr>
        <w:t xml:space="preserve">　また、ここでいう自己実現、自己充足は、個人の「自律」と結びついたものでなければならない。ここには、1970年代のアメリカの哲学が大きく依拠した、カント哲学における「義務論」</w:t>
      </w:r>
      <w:r>
        <w:rPr>
          <w:rStyle w:val="ab"/>
        </w:rPr>
        <w:footnoteReference w:id="9"/>
      </w:r>
      <w:r>
        <w:rPr>
          <w:rFonts w:hint="eastAsia"/>
        </w:rPr>
        <w:t>を踏まえた個人主義が関係している</w:t>
      </w:r>
      <w:r w:rsidR="00A817EA">
        <w:rPr>
          <w:rStyle w:val="ab"/>
        </w:rPr>
        <w:footnoteReference w:id="10"/>
      </w:r>
      <w:r>
        <w:rPr>
          <w:rFonts w:hint="eastAsia"/>
        </w:rPr>
        <w:t>。</w:t>
      </w:r>
    </w:p>
    <w:p w14:paraId="0E8D8049" w14:textId="77777777" w:rsidR="00C90588" w:rsidRPr="00C90588" w:rsidRDefault="00C90588" w:rsidP="006A6EAA"/>
    <w:p w14:paraId="13EFFF5B" w14:textId="35897A46" w:rsidR="001F7AE4" w:rsidRDefault="00C47F3F" w:rsidP="001F7AE4">
      <w:pPr>
        <w:pStyle w:val="2"/>
      </w:pPr>
      <w:r>
        <w:rPr>
          <w:rFonts w:hint="eastAsia"/>
        </w:rPr>
        <w:t>(４)</w:t>
      </w:r>
      <w:r>
        <w:t xml:space="preserve"> </w:t>
      </w:r>
      <w:r w:rsidR="001F7AE4">
        <w:rPr>
          <w:rFonts w:hint="eastAsia"/>
        </w:rPr>
        <w:t>萎縮</w:t>
      </w:r>
      <w:r w:rsidR="00692999">
        <w:rPr>
          <w:rFonts w:hint="eastAsia"/>
        </w:rPr>
        <w:t>効果論</w:t>
      </w:r>
    </w:p>
    <w:p w14:paraId="500F5B4A" w14:textId="28BB2F1F" w:rsidR="001F7AE4" w:rsidRDefault="001F7AE4" w:rsidP="001F7AE4">
      <w:r>
        <w:rPr>
          <w:rFonts w:hint="eastAsia"/>
        </w:rPr>
        <w:t xml:space="preserve">　民主主義は市民の活発な意見表明による民意の形成というプロセスによって支えられている</w:t>
      </w:r>
      <w:r w:rsidR="008D0B50">
        <w:rPr>
          <w:rFonts w:hint="eastAsia"/>
        </w:rPr>
        <w:t>が、現実には様々な理由から</w:t>
      </w:r>
      <w:r w:rsidR="00825119">
        <w:rPr>
          <w:rFonts w:hint="eastAsia"/>
        </w:rPr>
        <w:t>、</w:t>
      </w:r>
      <w:r w:rsidR="008D0B50">
        <w:rPr>
          <w:rFonts w:hint="eastAsia"/>
        </w:rPr>
        <w:t>市民が意見表明するインセンティブは小さいため、</w:t>
      </w:r>
      <w:r w:rsidR="00825119">
        <w:rPr>
          <w:rFonts w:hint="eastAsia"/>
        </w:rPr>
        <w:t>政治的言論</w:t>
      </w:r>
      <w:r w:rsidR="00C47F3F">
        <w:rPr>
          <w:rFonts w:hint="eastAsia"/>
        </w:rPr>
        <w:t>が</w:t>
      </w:r>
      <w:r w:rsidR="00825119">
        <w:rPr>
          <w:rFonts w:hint="eastAsia"/>
        </w:rPr>
        <w:t>あまり</w:t>
      </w:r>
      <w:r w:rsidR="008D0B50">
        <w:rPr>
          <w:rFonts w:hint="eastAsia"/>
        </w:rPr>
        <w:t>行われていない</w:t>
      </w:r>
      <w:r w:rsidR="00825119">
        <w:rPr>
          <w:rFonts w:hint="eastAsia"/>
        </w:rPr>
        <w:t>といっていいであろう</w:t>
      </w:r>
      <w:r w:rsidR="008D0B50">
        <w:rPr>
          <w:rFonts w:hint="eastAsia"/>
        </w:rPr>
        <w:t>。そのただでさえ貴重な意見表明に法規制が及ぶようなことがあっては意見表明をする者はもっと少なくなってしま</w:t>
      </w:r>
      <w:r w:rsidR="00825119">
        <w:rPr>
          <w:rFonts w:hint="eastAsia"/>
        </w:rPr>
        <w:t>い</w:t>
      </w:r>
      <w:r w:rsidR="008D0B50">
        <w:rPr>
          <w:rFonts w:hint="eastAsia"/>
        </w:rPr>
        <w:t>、健全な民主主義が運営されなくなる</w:t>
      </w:r>
      <w:r w:rsidR="00825119">
        <w:rPr>
          <w:rFonts w:hint="eastAsia"/>
        </w:rPr>
        <w:t>、という危機感を</w:t>
      </w:r>
      <w:r w:rsidR="00633DA4">
        <w:rPr>
          <w:rFonts w:hint="eastAsia"/>
        </w:rPr>
        <w:t>萎縮</w:t>
      </w:r>
      <w:r w:rsidR="00825119">
        <w:rPr>
          <w:rFonts w:hint="eastAsia"/>
        </w:rPr>
        <w:t>効果論は出発点としている</w:t>
      </w:r>
      <w:r w:rsidR="00FA3514">
        <w:rPr>
          <w:rStyle w:val="ab"/>
        </w:rPr>
        <w:footnoteReference w:id="11"/>
      </w:r>
      <w:r w:rsidR="00825119">
        <w:rPr>
          <w:rFonts w:hint="eastAsia"/>
        </w:rPr>
        <w:t>。</w:t>
      </w:r>
    </w:p>
    <w:p w14:paraId="355D8C33" w14:textId="1DFF3981" w:rsidR="00300A5E" w:rsidRDefault="00300A5E" w:rsidP="0046503B">
      <w:r>
        <w:rPr>
          <w:rFonts w:hint="eastAsia"/>
        </w:rPr>
        <w:t xml:space="preserve">　市民が意見表明をしないのは、コストの割にリターンが少ないからである。政治的意見の表明にはコストがかかるものである。政治的意見を表明するには、現状の政策のリサーチ、意見の言語化、討論など、時間的なコストがかかる。しかし、人々は日々の仕事で忙しく、政治のことを考えている余裕などない。意見表明をしたとしても、一般市民の言論など、説得性以外の力を持たない無力なものである。自分の自分の意見が採用される保証などどこにもなく、しばしば無視されてしまったり、激しい批判にさらされたりする。議論の中で自分の主張が正しく理解されないことすらある。民主的な意思形成は多数の人々の共同作業であるから、そもそも一人一人の意見はごく限定的であるし、民意の形成というプロセスはそもそも多数の人々が発した意見を素材として議論していく中から展開していくものなのだから自分の意見が通らず批判されるのは当たり前のことなのだが、そのことをわかっていても、意見表明の精神的コストとリターンの小ささは、人々を意見表明から遠ざける。また、意見表明の公共財的性格ゆえに人々が意見表明のインセンティブが小さいことも指摘される</w:t>
      </w:r>
      <w:r w:rsidR="00476053">
        <w:rPr>
          <w:rStyle w:val="ab"/>
        </w:rPr>
        <w:footnoteReference w:id="12"/>
      </w:r>
      <w:r>
        <w:rPr>
          <w:rFonts w:hint="eastAsia"/>
        </w:rPr>
        <w:t>。政治的意見が採用された場合、その利益は、意見表明した人だけではなく、共同体の全員に還元される(人々が財を消費することを妨げることができず(＝排除可能性がなく)、誰かが財を消費しようと、他の人がその財を消費することが妨げられない(＝競合性がない)財のことを、公共財という</w:t>
      </w:r>
      <w:r>
        <w:rPr>
          <w:rStyle w:val="ab"/>
        </w:rPr>
        <w:footnoteReference w:id="13"/>
      </w:r>
      <w:r>
        <w:rPr>
          <w:rFonts w:hint="eastAsia"/>
        </w:rPr>
        <w:t>)。わざわざ面倒な意見表明や議論をしなくても、自分と同じ意見の人が説得的な議論を展開してくれればいいのである。その人は、何の努力をしなくても、政策の恩恵を受けられるのである。このように、政治的意見の表明は、極めてハイリスク・ローリターンで、それゆえに市民の言論のインセンティブは小さなものなのである。</w:t>
      </w:r>
    </w:p>
    <w:p w14:paraId="5AB1410E" w14:textId="60358A85" w:rsidR="0046503B" w:rsidRDefault="0046503B" w:rsidP="0046503B">
      <w:r>
        <w:rPr>
          <w:rFonts w:hint="eastAsia"/>
        </w:rPr>
        <w:t xml:space="preserve">　</w:t>
      </w:r>
      <w:r w:rsidR="00300A5E">
        <w:rPr>
          <w:rFonts w:hint="eastAsia"/>
        </w:rPr>
        <w:t>ところで、</w:t>
      </w:r>
      <w:r w:rsidR="001F7AE4">
        <w:rPr>
          <w:rFonts w:hint="eastAsia"/>
        </w:rPr>
        <w:t>萎縮</w:t>
      </w:r>
      <w:r>
        <w:rPr>
          <w:rFonts w:hint="eastAsia"/>
        </w:rPr>
        <w:t>効果論</w:t>
      </w:r>
      <w:r w:rsidR="00300A5E">
        <w:rPr>
          <w:rFonts w:hint="eastAsia"/>
        </w:rPr>
        <w:t>が発展したの</w:t>
      </w:r>
      <w:r>
        <w:rPr>
          <w:rFonts w:hint="eastAsia"/>
        </w:rPr>
        <w:t>は</w:t>
      </w:r>
      <w:r w:rsidR="00300A5E">
        <w:rPr>
          <w:rFonts w:hint="eastAsia"/>
        </w:rPr>
        <w:t>、</w:t>
      </w:r>
      <w:r w:rsidR="001F7AE4">
        <w:rPr>
          <w:rFonts w:hint="eastAsia"/>
        </w:rPr>
        <w:t>1950～60年代の合衆国連邦最高裁判所</w:t>
      </w:r>
      <w:r w:rsidR="00300A5E">
        <w:rPr>
          <w:rFonts w:hint="eastAsia"/>
        </w:rPr>
        <w:t>(この頃の合衆国連邦最高裁を</w:t>
      </w:r>
      <w:r w:rsidR="002141FA">
        <w:rPr>
          <w:rFonts w:hint="eastAsia"/>
        </w:rPr>
        <w:t>、長官の名前から、</w:t>
      </w:r>
      <w:r w:rsidR="00300A5E">
        <w:rPr>
          <w:rFonts w:hint="eastAsia"/>
        </w:rPr>
        <w:t>通称ウォーレン・コートという)</w:t>
      </w:r>
      <w:r w:rsidR="001F7AE4">
        <w:rPr>
          <w:rFonts w:hint="eastAsia"/>
        </w:rPr>
        <w:t>に</w:t>
      </w:r>
      <w:r w:rsidR="00300A5E">
        <w:rPr>
          <w:rFonts w:hint="eastAsia"/>
        </w:rPr>
        <w:t>おいてである</w:t>
      </w:r>
      <w:r w:rsidR="001F7AE4">
        <w:rPr>
          <w:rFonts w:hint="eastAsia"/>
        </w:rPr>
        <w:t>。</w:t>
      </w:r>
      <w:r w:rsidR="00300A5E">
        <w:rPr>
          <w:rFonts w:hint="eastAsia"/>
        </w:rPr>
        <w:t>背景として、アメリカ社会にマッカーシズムの影響が色濃く残っており、</w:t>
      </w:r>
      <w:r w:rsidR="001F7AE4">
        <w:rPr>
          <w:rFonts w:hint="eastAsia"/>
        </w:rPr>
        <w:t>社会主義、共産主義者やその関係者とみなされた者</w:t>
      </w:r>
      <w:r w:rsidR="00300A5E">
        <w:rPr>
          <w:rFonts w:hint="eastAsia"/>
        </w:rPr>
        <w:t>を弾圧するように、大きな社会的、法的圧力が加わっていた。社会主義や共産主義に関係する人をあぶり出すような政策が州や民間など様々なレベルで行われていたところ、「関係する」の定義が曖昧だったり、もし「関係した」場合には社会的に抹消されたりしていたため、人々はそのような思想から遠く離れたところにおいてでしか言論ができなくなっていた。ウォーレン・コートは、このような民主制の根幹をなす言論が歪められている状況を是正すべく、</w:t>
      </w:r>
      <w:r w:rsidR="00602E2B">
        <w:rPr>
          <w:rFonts w:hint="eastAsia"/>
        </w:rPr>
        <w:t>萎縮</w:t>
      </w:r>
      <w:r w:rsidR="00300A5E">
        <w:rPr>
          <w:rFonts w:hint="eastAsia"/>
        </w:rPr>
        <w:t>効果論を用いて、表現の自由の範囲を拡大した</w:t>
      </w:r>
      <w:r w:rsidR="00FA3514">
        <w:rPr>
          <w:rStyle w:val="ab"/>
        </w:rPr>
        <w:footnoteReference w:id="14"/>
      </w:r>
      <w:r w:rsidR="00300A5E">
        <w:rPr>
          <w:rFonts w:hint="eastAsia"/>
        </w:rPr>
        <w:t>。</w:t>
      </w:r>
    </w:p>
    <w:p w14:paraId="09143CC4" w14:textId="686BE3EC" w:rsidR="00300A5E" w:rsidRPr="0046503B" w:rsidRDefault="00300A5E" w:rsidP="0046503B">
      <w:r>
        <w:rPr>
          <w:rFonts w:hint="eastAsia"/>
        </w:rPr>
        <w:t xml:space="preserve">　</w:t>
      </w:r>
    </w:p>
    <w:p w14:paraId="035BB20E" w14:textId="116DC475" w:rsidR="008713B7" w:rsidRDefault="00C47F3F" w:rsidP="008713B7">
      <w:pPr>
        <w:pStyle w:val="2"/>
      </w:pPr>
      <w:r>
        <w:rPr>
          <w:rFonts w:hint="eastAsia"/>
        </w:rPr>
        <w:t>(５</w:t>
      </w:r>
      <w:r>
        <w:t xml:space="preserve">) </w:t>
      </w:r>
      <w:r w:rsidR="006A6EAA">
        <w:rPr>
          <w:rFonts w:hint="eastAsia"/>
        </w:rPr>
        <w:t>小括</w:t>
      </w:r>
    </w:p>
    <w:p w14:paraId="3D73E804" w14:textId="7508327D" w:rsidR="00E84EC4" w:rsidRDefault="008713B7" w:rsidP="008713B7">
      <w:r>
        <w:rPr>
          <w:rFonts w:hint="eastAsia"/>
        </w:rPr>
        <w:t xml:space="preserve">　</w:t>
      </w:r>
      <w:r w:rsidR="00E84EC4">
        <w:rPr>
          <w:rFonts w:hint="eastAsia"/>
        </w:rPr>
        <w:t>思想の自由市場論や自己統治といった客観的根拠と、自己実現のような主観的根拠とは互いに排除し合わず、寧ろ重なり合うことでその価値が認められている。もっとも、</w:t>
      </w:r>
      <w:r>
        <w:rPr>
          <w:rFonts w:hint="eastAsia"/>
        </w:rPr>
        <w:t>表現の自由</w:t>
      </w:r>
      <w:r w:rsidR="00476053">
        <w:rPr>
          <w:rFonts w:hint="eastAsia"/>
        </w:rPr>
        <w:t>が</w:t>
      </w:r>
      <w:r>
        <w:rPr>
          <w:rFonts w:hint="eastAsia"/>
        </w:rPr>
        <w:t>、</w:t>
      </w:r>
      <w:r w:rsidR="00476053">
        <w:rPr>
          <w:rFonts w:hint="eastAsia"/>
        </w:rPr>
        <w:t>ほかの権利</w:t>
      </w:r>
      <w:r w:rsidR="00E84EC4">
        <w:rPr>
          <w:rFonts w:hint="eastAsia"/>
        </w:rPr>
        <w:t>よりも</w:t>
      </w:r>
      <w:r>
        <w:rPr>
          <w:rFonts w:hint="eastAsia"/>
        </w:rPr>
        <w:t>優越的な保障を受ける</w:t>
      </w:r>
      <w:r w:rsidR="00C90588">
        <w:rPr>
          <w:rFonts w:hint="eastAsia"/>
        </w:rPr>
        <w:t>のは</w:t>
      </w:r>
      <w:r>
        <w:rPr>
          <w:rFonts w:hint="eastAsia"/>
        </w:rPr>
        <w:t>、民主制がその基礎とする民意形成のプロセスに不可欠で</w:t>
      </w:r>
      <w:r w:rsidR="00476053">
        <w:rPr>
          <w:rFonts w:hint="eastAsia"/>
        </w:rPr>
        <w:t>あるという価値が付加されているからであると</w:t>
      </w:r>
      <w:r>
        <w:rPr>
          <w:rFonts w:hint="eastAsia"/>
        </w:rPr>
        <w:t>考えられる</w:t>
      </w:r>
      <w:r w:rsidR="00633DA4">
        <w:rPr>
          <w:rStyle w:val="ab"/>
        </w:rPr>
        <w:footnoteReference w:id="15"/>
      </w:r>
      <w:r w:rsidR="00633DA4">
        <w:rPr>
          <w:rFonts w:hint="eastAsia"/>
        </w:rPr>
        <w:t>。</w:t>
      </w:r>
    </w:p>
    <w:p w14:paraId="0E72F876" w14:textId="71E728BE" w:rsidR="005B08CC" w:rsidRDefault="001A6AD0" w:rsidP="008713B7">
      <w:r>
        <w:rPr>
          <w:rFonts w:hint="eastAsia"/>
        </w:rPr>
        <w:t xml:space="preserve">　表現の自由は、自己統治に不可欠であるがゆえに優越的保障を受けるが、では、一見して政治に関係のない表現は表現の自由の保障を受けないのであろうか。そうではない。</w:t>
      </w:r>
      <w:r w:rsidR="00884B29">
        <w:rPr>
          <w:rFonts w:hint="eastAsia"/>
        </w:rPr>
        <w:t>奥平教授は、ペリーの「認知的価値論」を引いて、道徳的なものは、政治的なものであるとした</w:t>
      </w:r>
      <w:r w:rsidR="00633DA4">
        <w:rPr>
          <w:rStyle w:val="ab"/>
        </w:rPr>
        <w:footnoteReference w:id="16"/>
      </w:r>
      <w:r w:rsidR="00884B29">
        <w:rPr>
          <w:rFonts w:hint="eastAsia"/>
        </w:rPr>
        <w:t>。市民の政治参加と、政府の市民に対する責任制が民主主義の根幹であるところ、政府は市民が政府を評価するための情報の流通を妨げてはならない。政府の公共活動の評価に「役立つ」ものの流通を妨げてはならないのは当然であるが、「役に立つ」と「まあいえる」程度の情報も、それがブロックされることで、政府が責任逃れをする可能性があるために、保護される必要がある。「一見明白かつ支配的な政治的言論」でないにせよ、「思想・価値観・感性の表現、広くいえば、世界や世界の中の私たちの住んでいるところにかんする、特定の理解の仕方、物の見方又は経験の表現である」という意味において、「道徳的」である表現は存在するのであり、それは保護に値するのである。</w:t>
      </w:r>
      <w:r w:rsidR="00C90588">
        <w:rPr>
          <w:rFonts w:hint="eastAsia"/>
        </w:rPr>
        <w:t>政府の公共活動の評価の基底には、これはいいことだ、これは悪いことだ、という価値判断がなければいけないところ、「道徳的」な言論が保護されることは政治的な言論を保護することになるのである。</w:t>
      </w:r>
    </w:p>
    <w:p w14:paraId="48AD4E6A" w14:textId="3BA60E3A" w:rsidR="008713B7" w:rsidRDefault="008713B7" w:rsidP="008713B7"/>
    <w:p w14:paraId="2BBCFD35" w14:textId="7316CAF7" w:rsidR="008713B7" w:rsidRDefault="008713B7" w:rsidP="008713B7">
      <w:pPr>
        <w:pStyle w:val="1"/>
      </w:pPr>
      <w:r>
        <w:rPr>
          <w:rFonts w:hint="eastAsia"/>
        </w:rPr>
        <w:t>２．芸術の自由の保障根拠</w:t>
      </w:r>
    </w:p>
    <w:p w14:paraId="54E05E84" w14:textId="360A5302" w:rsidR="008713B7" w:rsidRDefault="00160E58" w:rsidP="00B17707">
      <w:pPr>
        <w:ind w:firstLineChars="100" w:firstLine="210"/>
      </w:pPr>
      <w:r>
        <w:rPr>
          <w:rFonts w:hint="eastAsia"/>
        </w:rPr>
        <w:t>本章ではまず、「芸術」という概念について法がどのように考えたのかを概観し、その後、前章で見た表現の自由の保障根拠が、芸術にも当てはまるのかについて、そして、芸術独自の保障根拠について、それが政治利用されてきた歴史から説く。</w:t>
      </w:r>
    </w:p>
    <w:p w14:paraId="6AC926AA" w14:textId="77777777" w:rsidR="008713B7" w:rsidRPr="008713B7" w:rsidRDefault="008713B7" w:rsidP="008713B7">
      <w:pPr>
        <w:ind w:firstLineChars="100" w:firstLine="210"/>
      </w:pPr>
    </w:p>
    <w:p w14:paraId="45A2C563" w14:textId="7CC969DE" w:rsidR="008713B7" w:rsidRDefault="00C47F3F" w:rsidP="008713B7">
      <w:pPr>
        <w:pStyle w:val="2"/>
      </w:pPr>
      <w:r>
        <w:rPr>
          <w:rFonts w:hint="eastAsia"/>
        </w:rPr>
        <w:t>(１)</w:t>
      </w:r>
      <w:r>
        <w:t xml:space="preserve"> </w:t>
      </w:r>
      <w:r w:rsidR="008713B7">
        <w:rPr>
          <w:rFonts w:hint="eastAsia"/>
        </w:rPr>
        <w:t>「芸術」の定義</w:t>
      </w:r>
    </w:p>
    <w:p w14:paraId="7E1DA349" w14:textId="26BD4755" w:rsidR="008713B7" w:rsidRDefault="008713B7" w:rsidP="008713B7">
      <w:r>
        <w:rPr>
          <w:rFonts w:hint="eastAsia"/>
        </w:rPr>
        <w:t xml:space="preserve">　芸術を定義するのは非常に困難な作業である。絵画、彫刻、インスタレーション、劇、音楽などが概念の中核として挙げられるであろうが、マルセル・デュシャンの《泉》—彼は、単なる市販品の小便器にサインをし、逆さにして台座に置いたものを展示しようとした—のように、芸術の概念に挑戦しようとする芸術作品もしばしば登場する</w:t>
      </w:r>
      <w:r>
        <w:rPr>
          <w:rStyle w:val="ab"/>
        </w:rPr>
        <w:footnoteReference w:id="17"/>
      </w:r>
      <w:r>
        <w:rPr>
          <w:rFonts w:hint="eastAsia"/>
        </w:rPr>
        <w:t>。</w:t>
      </w:r>
    </w:p>
    <w:p w14:paraId="53DF2909" w14:textId="77777777" w:rsidR="008218EA" w:rsidRDefault="008713B7" w:rsidP="008713B7">
      <w:r>
        <w:rPr>
          <w:rFonts w:hint="eastAsia"/>
        </w:rPr>
        <w:t xml:space="preserve">　芸術の定義について日本の最高裁は判示していないものの、基本法において芸術の自由を保障している</w:t>
      </w:r>
      <w:r>
        <w:rPr>
          <w:rStyle w:val="ab"/>
        </w:rPr>
        <w:footnoteReference w:id="18"/>
      </w:r>
      <w:r>
        <w:rPr>
          <w:rFonts w:hint="eastAsia"/>
        </w:rPr>
        <w:t>ドイツにおいては、判例で芸術のメルクマールを示すことで、一定の解決がなされている。</w:t>
      </w:r>
    </w:p>
    <w:p w14:paraId="4BC40456" w14:textId="38809028" w:rsidR="008218EA" w:rsidRDefault="008218EA" w:rsidP="008218EA">
      <w:pPr>
        <w:ind w:firstLineChars="100" w:firstLine="210"/>
      </w:pPr>
      <w:r>
        <w:rPr>
          <w:rFonts w:hint="eastAsia"/>
        </w:rPr>
        <w:t>メフィスト決定</w:t>
      </w:r>
      <w:r>
        <w:rPr>
          <w:rStyle w:val="ab"/>
        </w:rPr>
        <w:footnoteReference w:id="19"/>
      </w:r>
      <w:r>
        <w:rPr>
          <w:rFonts w:hint="eastAsia"/>
        </w:rPr>
        <w:t>は、「実質的芸術概念」と区分される芸術概念のメルクマールのひとつを示したリーディングケースである。連邦憲法裁判所は、芸術概念について、「ある特定の形式をとった表現方法を媒介として、芸術家の印象、経験を直接に観照させる、自由で創造的な形成である」とした。その後、時代錯誤行列事件</w:t>
      </w:r>
      <w:r>
        <w:rPr>
          <w:rStyle w:val="ab"/>
        </w:rPr>
        <w:footnoteReference w:id="20"/>
      </w:r>
      <w:r>
        <w:rPr>
          <w:rFonts w:hint="eastAsia"/>
        </w:rPr>
        <w:t>においては「形式的芸術概念」、「開かれた芸術概念」と呼称される芸術概念のメルクマールを示した。すなわち、「芸術作品の類型的な観察において、特定の作品類型のジャンルの要求が満たされているといことに求める、つまり、絵画、彫刻、詩などの活動や成果を引き合いに出すむしろ形式的な概念」と、「その表現内容の多様性を根拠として、継続的解釈という方法において作品から常にさらなる意味を引き出しうる」ものを芸術概念のメルクマールとして追加した。</w:t>
      </w:r>
      <w:r w:rsidR="00B42A1F">
        <w:rPr>
          <w:rFonts w:hint="eastAsia"/>
        </w:rPr>
        <w:t>ドイツ基本法の判例法理によれば</w:t>
      </w:r>
      <w:r w:rsidR="002044B2">
        <w:rPr>
          <w:rFonts w:hint="eastAsia"/>
        </w:rPr>
        <w:t>、</w:t>
      </w:r>
      <w:r>
        <w:rPr>
          <w:rFonts w:hint="eastAsia"/>
        </w:rPr>
        <w:t>「実質的芸術概念」、「形式的芸術概念」、「開かれた芸術概念」</w:t>
      </w:r>
      <w:r w:rsidR="002044B2">
        <w:rPr>
          <w:rFonts w:hint="eastAsia"/>
        </w:rPr>
        <w:t>の３つのメルクマールから当該表現が</w:t>
      </w:r>
      <w:r>
        <w:rPr>
          <w:rFonts w:hint="eastAsia"/>
        </w:rPr>
        <w:t>芸術</w:t>
      </w:r>
      <w:r w:rsidR="002044B2">
        <w:rPr>
          <w:rFonts w:hint="eastAsia"/>
        </w:rPr>
        <w:t>かどうか判断される</w:t>
      </w:r>
      <w:r w:rsidR="00B42A1F">
        <w:rPr>
          <w:rStyle w:val="ab"/>
        </w:rPr>
        <w:footnoteReference w:id="21"/>
      </w:r>
      <w:r w:rsidR="002044B2">
        <w:rPr>
          <w:rFonts w:hint="eastAsia"/>
        </w:rPr>
        <w:t>。</w:t>
      </w:r>
    </w:p>
    <w:p w14:paraId="33CF5C14" w14:textId="521FA8B8" w:rsidR="008218EA" w:rsidRDefault="008218EA" w:rsidP="008218EA">
      <w:pPr>
        <w:ind w:firstLineChars="100" w:firstLine="210"/>
      </w:pPr>
      <w:r>
        <w:rPr>
          <w:rFonts w:hint="eastAsia"/>
        </w:rPr>
        <w:t>芸術が既成概念を否定しながら発展してきたことを考えると、以上に挙げた芸術の定義に当てはまらない、芸術概念に挑戦するような作品が現れないとは限らないが、通説もこの広範囲をカバーするメルクマールを支持しており、芸術概念の一応の確定はなされていると考えられる。</w:t>
      </w:r>
    </w:p>
    <w:p w14:paraId="239875E2" w14:textId="77777777" w:rsidR="008218EA" w:rsidRDefault="008218EA" w:rsidP="008218EA">
      <w:pPr>
        <w:ind w:firstLineChars="100" w:firstLine="210"/>
      </w:pPr>
    </w:p>
    <w:p w14:paraId="122FCA40" w14:textId="1B3BAFC5" w:rsidR="001A6AD0" w:rsidRPr="001A6AD0" w:rsidRDefault="00C47F3F" w:rsidP="00C47F3F">
      <w:pPr>
        <w:pStyle w:val="2"/>
      </w:pPr>
      <w:r>
        <w:rPr>
          <w:rFonts w:hint="eastAsia"/>
        </w:rPr>
        <w:t xml:space="preserve">(２) </w:t>
      </w:r>
      <w:r w:rsidR="008218EA">
        <w:rPr>
          <w:rFonts w:hint="eastAsia"/>
        </w:rPr>
        <w:t>政治的主張を含んだ芸術表現と芸術の自由</w:t>
      </w:r>
    </w:p>
    <w:p w14:paraId="4E435668" w14:textId="095A5949" w:rsidR="00411C3F" w:rsidRDefault="008218EA" w:rsidP="008218EA">
      <w:r>
        <w:rPr>
          <w:rFonts w:hint="eastAsia"/>
        </w:rPr>
        <w:t xml:space="preserve">　</w:t>
      </w:r>
      <w:r w:rsidR="00411C3F">
        <w:rPr>
          <w:rFonts w:hint="eastAsia"/>
        </w:rPr>
        <w:t>表現の自由を保護する根拠の本質的なところは、民意形成の健全なプロセスの維持にあった。そこで、芸術の自由の保障根拠は一義的には政治的表現が絵画、インスタレーションのような芸術表現という媒体を通してしばしば行われ、鑑賞者にその作品が表す主張を考えさせたり、議論させたりしてきたことにある。また、前章で見てきたように、「道徳的」、社会的なことは、政治的でもあった。この節では、芸術が社会・政治的問題へアプローチを行っていること紹介する。</w:t>
      </w:r>
    </w:p>
    <w:p w14:paraId="49DF9753" w14:textId="0FF837A3" w:rsidR="00411C3F" w:rsidRDefault="00411C3F" w:rsidP="00D854C6">
      <w:pPr>
        <w:ind w:firstLineChars="100" w:firstLine="210"/>
      </w:pPr>
      <w:r>
        <w:rPr>
          <w:rFonts w:hint="eastAsia"/>
        </w:rPr>
        <w:t>社会・政治的主張を含んだ芸術表現は長い間行われてきた。古くは、風刺画が政治家を誹謗するような表現を伴いながら揶揄してきた。1960年前後以降は芸術概念の拡大に伴って、社会や政治に関連した芸術表現が活発になされるようになり、その後、2000年代中頃からは「ソーシャリー・エンゲージド・アート」と呼ばれる、作品やプロジェクトを通じて社会的・政治的問題にアプローチする芸術実践が盛んにおこなわれるようになった。</w:t>
      </w:r>
    </w:p>
    <w:p w14:paraId="35E8282D" w14:textId="00B5555A" w:rsidR="00411C3F" w:rsidRDefault="00411C3F" w:rsidP="008218EA">
      <w:r>
        <w:rPr>
          <w:rFonts w:hint="eastAsia"/>
        </w:rPr>
        <w:t xml:space="preserve">　1960年前後には、近代への反抗を出発点として、従来型の芸術概念に挑戦し、それを押し広げていく動きが世界各地で見られるようになった</w:t>
      </w:r>
      <w:r w:rsidR="00A817EA">
        <w:rPr>
          <w:rStyle w:val="ab"/>
        </w:rPr>
        <w:footnoteReference w:id="22"/>
      </w:r>
      <w:r>
        <w:rPr>
          <w:rFonts w:hint="eastAsia"/>
        </w:rPr>
        <w:t>。当時は、市民が、大量消費社会や管理社会の到来として具現化された資本主義や生政治(ビオ・ポリティーク)などの近代システム</w:t>
      </w:r>
      <w:r w:rsidR="002141FA">
        <w:rPr>
          <w:rFonts w:hint="eastAsia"/>
        </w:rPr>
        <w:t>に</w:t>
      </w:r>
      <w:r>
        <w:rPr>
          <w:rFonts w:hint="eastAsia"/>
        </w:rPr>
        <w:t>反発し、公民権運動やベトナム反戦運動として現れていた。また、第二波フェミニズム、性的マイノリティの人権を主張する運動の活発化も起こっていた。芸術家たちはその運動に影響され、また影響を与えるような作品を制作した</w:t>
      </w:r>
      <w:r w:rsidR="00A817EA">
        <w:rPr>
          <w:rStyle w:val="ab"/>
        </w:rPr>
        <w:footnoteReference w:id="23"/>
      </w:r>
      <w:r>
        <w:rPr>
          <w:rFonts w:hint="eastAsia"/>
        </w:rPr>
        <w:t>。</w:t>
      </w:r>
    </w:p>
    <w:p w14:paraId="280FF4B4" w14:textId="01E26EFB" w:rsidR="00411C3F" w:rsidRDefault="00411C3F" w:rsidP="008218EA">
      <w:r>
        <w:rPr>
          <w:rFonts w:hint="eastAsia"/>
        </w:rPr>
        <w:t xml:space="preserve">　2000年代には、1990年代の「リレーショナル・アート」の影響を受けて、「芸術/芸術家が他領域/他者と交わるプロセス」をより重視して社会・政治的変革を求める芸術実践が行われ始めた</w:t>
      </w:r>
      <w:r w:rsidR="00A85203">
        <w:rPr>
          <w:rFonts w:hint="eastAsia"/>
        </w:rPr>
        <w:t>(ソーシャリー・エンゲージド・アート)</w:t>
      </w:r>
      <w:r>
        <w:rPr>
          <w:rFonts w:hint="eastAsia"/>
        </w:rPr>
        <w:t>。</w:t>
      </w:r>
      <w:r w:rsidR="009704EF">
        <w:rPr>
          <w:rStyle w:val="ab"/>
        </w:rPr>
        <w:footnoteReference w:id="24"/>
      </w:r>
      <w:r w:rsidR="009704EF">
        <w:rPr>
          <w:rFonts w:hint="eastAsia"/>
        </w:rPr>
        <w:t>「ソーシャリー・エンゲージド・アート」の流れの中で、</w:t>
      </w:r>
      <w:r w:rsidR="00A85203">
        <w:rPr>
          <w:rFonts w:hint="eastAsia"/>
        </w:rPr>
        <w:t>人々が見ないようにつとめている、搾取、抑圧された存在を</w:t>
      </w:r>
      <w:r w:rsidR="00D854C6">
        <w:rPr>
          <w:rFonts w:hint="eastAsia"/>
        </w:rPr>
        <w:t>露呈させる</w:t>
      </w:r>
      <w:r w:rsidR="00A85203">
        <w:rPr>
          <w:rFonts w:hint="eastAsia"/>
        </w:rPr>
        <w:t>ような</w:t>
      </w:r>
      <w:r w:rsidR="00D854C6">
        <w:rPr>
          <w:rFonts w:hint="eastAsia"/>
        </w:rPr>
        <w:t>「敵対的な」</w:t>
      </w:r>
      <w:r w:rsidR="00A85203">
        <w:rPr>
          <w:rFonts w:hint="eastAsia"/>
        </w:rPr>
        <w:t>作品</w:t>
      </w:r>
      <w:r w:rsidR="00D854C6">
        <w:rPr>
          <w:rFonts w:hint="eastAsia"/>
        </w:rPr>
        <w:t>が作られた</w:t>
      </w:r>
      <w:r w:rsidR="005B1D77">
        <w:rPr>
          <w:rStyle w:val="ab"/>
        </w:rPr>
        <w:footnoteReference w:id="25"/>
      </w:r>
      <w:r w:rsidR="00A85203">
        <w:rPr>
          <w:rFonts w:hint="eastAsia"/>
        </w:rPr>
        <w:t>。</w:t>
      </w:r>
    </w:p>
    <w:p w14:paraId="2126C48C" w14:textId="5E25D42C" w:rsidR="00411C3F" w:rsidRPr="005F5497" w:rsidRDefault="00411C3F" w:rsidP="005B1D77">
      <w:pPr>
        <w:ind w:firstLineChars="100" w:firstLine="210"/>
      </w:pPr>
      <w:r>
        <w:rPr>
          <w:rFonts w:hint="eastAsia"/>
        </w:rPr>
        <w:t>日本でも、社会的・政治的</w:t>
      </w:r>
      <w:r w:rsidR="005F5497">
        <w:rPr>
          <w:rFonts w:hint="eastAsia"/>
        </w:rPr>
        <w:t>問題を露わにするよう</w:t>
      </w:r>
      <w:r>
        <w:rPr>
          <w:rFonts w:hint="eastAsia"/>
        </w:rPr>
        <w:t>な作品制作が行われている。</w:t>
      </w:r>
      <w:r w:rsidR="00A701FE">
        <w:rPr>
          <w:rFonts w:hint="eastAsia"/>
        </w:rPr>
        <w:t>特に最近では、東日本大震災を受けて、被災地の実情を伝える作品、原発に反対することを表明するような作品が作られた</w:t>
      </w:r>
      <w:r w:rsidR="00A817EA">
        <w:rPr>
          <w:rStyle w:val="ab"/>
        </w:rPr>
        <w:footnoteReference w:id="26"/>
      </w:r>
      <w:r w:rsidR="00A701FE">
        <w:rPr>
          <w:rFonts w:hint="eastAsia"/>
        </w:rPr>
        <w:t>。</w:t>
      </w:r>
      <w:r w:rsidR="00C56BEA">
        <w:rPr>
          <w:rFonts w:hint="eastAsia"/>
        </w:rPr>
        <w:t>「リエナクトメント(再演)」を通じた、戦争の歴史を顧みる作品</w:t>
      </w:r>
      <w:r w:rsidR="00C56BEA">
        <w:rPr>
          <w:rStyle w:val="ab"/>
        </w:rPr>
        <w:footnoteReference w:id="27"/>
      </w:r>
      <w:r w:rsidR="00C56BEA">
        <w:rPr>
          <w:rFonts w:hint="eastAsia"/>
        </w:rPr>
        <w:t>や、</w:t>
      </w:r>
      <w:r w:rsidR="00A701FE">
        <w:rPr>
          <w:rFonts w:hint="eastAsia"/>
        </w:rPr>
        <w:t>沖縄、在日コリアン、台湾人といった、少数者や帝国主義の犠牲になった歴史を持った芸術家による、脱植民地化を志す作品も制作されている</w:t>
      </w:r>
      <w:r w:rsidR="00A817EA">
        <w:rPr>
          <w:rStyle w:val="ab"/>
        </w:rPr>
        <w:footnoteReference w:id="28"/>
      </w:r>
      <w:r w:rsidR="00A701FE">
        <w:rPr>
          <w:rFonts w:hint="eastAsia"/>
        </w:rPr>
        <w:t>。</w:t>
      </w:r>
    </w:p>
    <w:p w14:paraId="58B54A42" w14:textId="22056527" w:rsidR="00411C3F" w:rsidRDefault="00411C3F" w:rsidP="008218EA">
      <w:r>
        <w:rPr>
          <w:rFonts w:hint="eastAsia"/>
        </w:rPr>
        <w:t xml:space="preserve">　《平和の少女像》が「表現の不自由展・その後」で展示されたことを巡る一連の騒動は、表現の自由について人々に考えさせる契機になったことは、記憶に新しい。もちろん、《平和の少女像》を作るにあたって作者が喚起したかったであろう問題が結局議論されなかったという問題点はあるが、一つの作品が人々に社会・政治的問題について議論させた例である(「表現の不自由展・その後」を巡る一連の騒動は、筆者に本稿を書かせるきっかけとなっているから、筆者は芸術作品によって社会・政治的問題に目を向けることになったわけである)。</w:t>
      </w:r>
    </w:p>
    <w:p w14:paraId="40037279" w14:textId="70509590" w:rsidR="00DF3877" w:rsidRPr="00DB3B70" w:rsidRDefault="00C47F3F" w:rsidP="00DF3877">
      <w:pPr>
        <w:pStyle w:val="2"/>
      </w:pPr>
      <w:r>
        <w:rPr>
          <w:rFonts w:hint="eastAsia"/>
        </w:rPr>
        <w:t>(３</w:t>
      </w:r>
      <w:r>
        <w:t xml:space="preserve">) </w:t>
      </w:r>
      <w:r w:rsidR="00DF3877">
        <w:rPr>
          <w:rFonts w:hint="eastAsia"/>
        </w:rPr>
        <w:t>「わいせつ」表現</w:t>
      </w:r>
    </w:p>
    <w:p w14:paraId="5F4B5815" w14:textId="21B96D40" w:rsidR="00DF3877" w:rsidRDefault="00DF3877" w:rsidP="00DF3877">
      <w:pPr>
        <w:ind w:firstLineChars="100" w:firstLine="210"/>
      </w:pPr>
      <w:r>
        <w:rPr>
          <w:rFonts w:hint="eastAsia"/>
        </w:rPr>
        <w:t>政治的主張を含んだ芸術作品についての表現の自由は、しばしばその主張が反権力的であるがゆえに、それを規制したい政府との関係で問題となってきた。ほかに芸術作品についての表現の自由で公権力による規制が問題となるのが、「わいせつ」表現である</w:t>
      </w:r>
      <w:r>
        <w:rPr>
          <w:rStyle w:val="ab"/>
        </w:rPr>
        <w:footnoteReference w:id="29"/>
      </w:r>
      <w:r>
        <w:rPr>
          <w:rFonts w:hint="eastAsia"/>
        </w:rPr>
        <w:t>、すなわち、日本の刑法においては、「わいせつ」表現は、175条でわいせつ物頒布等罪として刑罰の対象となっている。表現の自由の保障根拠の基底は健全な民意形成のプロセスの維持にあったが、「わいせつ」表現には、一見、そのような効用は</w:t>
      </w:r>
      <w:r w:rsidR="002141FA">
        <w:rPr>
          <w:rFonts w:hint="eastAsia"/>
        </w:rPr>
        <w:t>ないよう</w:t>
      </w:r>
      <w:r>
        <w:rPr>
          <w:rFonts w:hint="eastAsia"/>
        </w:rPr>
        <w:t>に思われる。しかし、「わいせつ」表現にも表現の自由の保障根拠は当てはまると考える。</w:t>
      </w:r>
    </w:p>
    <w:p w14:paraId="687F0C72" w14:textId="7EDB9CAE" w:rsidR="00DF3877" w:rsidRDefault="00DF3877" w:rsidP="00DF3877">
      <w:pPr>
        <w:ind w:firstLineChars="100" w:firstLine="210"/>
      </w:pPr>
      <w:r>
        <w:rPr>
          <w:rFonts w:hint="eastAsia"/>
        </w:rPr>
        <w:t>「わいせつ」表現は、ある種、タブーに触れる表現である。タブーに触れるような問題が表されたときに、人々は、タブーがなぜタブーたりえるのか再考を迫られる、すなわち、ここで、「道徳的」な問題について熟慮し、議論することになるのである。この熟慮、議論は、道徳的なものは政治的なものであると考えるペリーの考えに</w:t>
      </w:r>
      <w:r w:rsidR="002141FA">
        <w:rPr>
          <w:rFonts w:hint="eastAsia"/>
        </w:rPr>
        <w:t>依拠すれ</w:t>
      </w:r>
      <w:r>
        <w:rPr>
          <w:rFonts w:hint="eastAsia"/>
        </w:rPr>
        <w:t>ば、まさに自己統治に役立つのである。そして、そこでなされた再考によって、タブーの正当性が再確認されるかもしれないし、覆されるかもしれない。自分の意見の正当性、妥当性を疑い続け、「真理」を求めるプロセスに「真理」は宿るのであって、タブーに触れるような表現も、思想の自由市場に開かれることを妨げてはならないのである。</w:t>
      </w:r>
    </w:p>
    <w:p w14:paraId="6D0D640D" w14:textId="65658ACE" w:rsidR="00DF3877" w:rsidRDefault="00DF3877" w:rsidP="00DF3877">
      <w:pPr>
        <w:ind w:firstLineChars="100" w:firstLine="210"/>
      </w:pPr>
      <w:r>
        <w:rPr>
          <w:rFonts w:hint="eastAsia"/>
        </w:rPr>
        <w:t>ろくでなし子事件は、「わいせつ」表現が規制されていることへの疑問を世に投げかけた。マンガ家のろくでなし子氏は、女性器の形をしたソフトビニールの人形を制作し、その協力者に対して、自らの女性器の３Dデータを頒布したところ、刑法175条のわいせつ物頒布等罪に問われた(人形に関しては、高裁で無罪、３Dデータに関しては、最高裁で罰金刑が確定</w:t>
      </w:r>
      <w:r w:rsidR="008118B7">
        <w:rPr>
          <w:rStyle w:val="ab"/>
        </w:rPr>
        <w:footnoteReference w:id="30"/>
      </w:r>
      <w:r>
        <w:rPr>
          <w:rFonts w:hint="eastAsia"/>
        </w:rPr>
        <w:t>)。ろくでなし子氏は、「女性器はなぜ、卑猥なものとされ、タブーとされるのか？」という疑問を持ち、自分の体の一部にも関わらず、当然にわいせつとして罰せられることに反対をしてきた</w:t>
      </w:r>
      <w:r w:rsidR="00AA4FE0">
        <w:rPr>
          <w:rStyle w:val="ab"/>
        </w:rPr>
        <w:footnoteReference w:id="31"/>
      </w:r>
      <w:r>
        <w:rPr>
          <w:rFonts w:hint="eastAsia"/>
        </w:rPr>
        <w:t>。</w:t>
      </w:r>
    </w:p>
    <w:p w14:paraId="440647F6" w14:textId="77777777" w:rsidR="00DF3877" w:rsidRPr="00DF3877" w:rsidRDefault="00DF3877" w:rsidP="008218EA"/>
    <w:p w14:paraId="05D70AE6" w14:textId="54809E58" w:rsidR="00DF3877" w:rsidRDefault="00C47F3F" w:rsidP="00DF3877">
      <w:pPr>
        <w:pStyle w:val="2"/>
      </w:pPr>
      <w:r>
        <w:rPr>
          <w:rFonts w:hint="eastAsia"/>
        </w:rPr>
        <w:t>(４)</w:t>
      </w:r>
      <w:r>
        <w:t xml:space="preserve"> </w:t>
      </w:r>
      <w:r w:rsidR="00DF3877">
        <w:rPr>
          <w:rFonts w:hint="eastAsia"/>
        </w:rPr>
        <w:t>芸術と自己実現、萎縮効果</w:t>
      </w:r>
    </w:p>
    <w:p w14:paraId="04B36D52" w14:textId="28F4AEA1" w:rsidR="00DF3877" w:rsidRPr="00DF3877" w:rsidRDefault="00DF3877" w:rsidP="00DF3877">
      <w:r>
        <w:rPr>
          <w:rFonts w:hint="eastAsia"/>
        </w:rPr>
        <w:t xml:space="preserve">　前章で検討した表現の自由一般の保障根拠と芸術の関係で、自己実現と萎縮効果の問題を積み残していたので、節を分けて検討する。本節で検討する問題は、前二節で検討した領域に共通して当てはまる。</w:t>
      </w:r>
    </w:p>
    <w:p w14:paraId="1436C397" w14:textId="74ADB9FD" w:rsidR="00411C3F" w:rsidRPr="00D62FFE" w:rsidRDefault="00B17707" w:rsidP="008218EA">
      <w:r>
        <w:rPr>
          <w:rFonts w:hint="eastAsia"/>
        </w:rPr>
        <w:t xml:space="preserve">　自己実現は、前章で検討した表現の自由一般の保障根拠の一つをなしていた。芸術にもこの根拠が当てはまるかどうかが問題となるが、これは、芸術にも当てはまると解していいであろう。ポストモダンの芸術家は、</w:t>
      </w:r>
      <w:r w:rsidR="00B85B7B">
        <w:rPr>
          <w:rFonts w:hint="eastAsia"/>
        </w:rPr>
        <w:t>作品の外見よりも</w:t>
      </w:r>
      <w:r w:rsidR="00D62FFE">
        <w:rPr>
          <w:rFonts w:hint="eastAsia"/>
        </w:rPr>
        <w:t>作品に現れた思想</w:t>
      </w:r>
      <w:r w:rsidR="00B85B7B">
        <w:rPr>
          <w:rFonts w:hint="eastAsia"/>
        </w:rPr>
        <w:t>を重視</w:t>
      </w:r>
      <w:r w:rsidR="00D62FFE">
        <w:rPr>
          <w:rFonts w:hint="eastAsia"/>
        </w:rPr>
        <w:t>してきた</w:t>
      </w:r>
      <w:r w:rsidR="00B85B7B">
        <w:rPr>
          <w:rFonts w:hint="eastAsia"/>
        </w:rPr>
        <w:t>（「コンセプチュアル・アート」）</w:t>
      </w:r>
      <w:r w:rsidR="00311885">
        <w:rPr>
          <w:rStyle w:val="ab"/>
        </w:rPr>
        <w:footnoteReference w:id="32"/>
      </w:r>
      <w:r w:rsidR="00AB57DF">
        <w:rPr>
          <w:rFonts w:hint="eastAsia"/>
        </w:rPr>
        <w:t>。</w:t>
      </w:r>
      <w:r w:rsidR="00D62FFE">
        <w:rPr>
          <w:rFonts w:hint="eastAsia"/>
        </w:rPr>
        <w:t>現代美術の作品には、作家が何を正しいと判断したのかが作品に反映されているのである。</w:t>
      </w:r>
    </w:p>
    <w:p w14:paraId="7060F0DA" w14:textId="0759EA73" w:rsidR="00D62FFE" w:rsidRDefault="00D62FFE" w:rsidP="008218EA">
      <w:r>
        <w:rPr>
          <w:rFonts w:hint="eastAsia"/>
        </w:rPr>
        <w:t xml:space="preserve">　芸術と萎縮効果についても</w:t>
      </w:r>
      <w:r w:rsidR="0090191F">
        <w:rPr>
          <w:rFonts w:hint="eastAsia"/>
        </w:rPr>
        <w:t>触れて</w:t>
      </w:r>
      <w:r>
        <w:rPr>
          <w:rFonts w:hint="eastAsia"/>
        </w:rPr>
        <w:t>おく。</w:t>
      </w:r>
      <w:r w:rsidR="00DB3B70">
        <w:rPr>
          <w:rFonts w:hint="eastAsia"/>
        </w:rPr>
        <w:t>確かに、</w:t>
      </w:r>
      <w:r>
        <w:rPr>
          <w:rFonts w:hint="eastAsia"/>
        </w:rPr>
        <w:t>公権力からの圧力に対して萎縮せずに活動している芸術家の例は枚挙にいとまがない</w:t>
      </w:r>
      <w:r w:rsidR="00DB3B70">
        <w:rPr>
          <w:rFonts w:hint="eastAsia"/>
        </w:rPr>
        <w:t>し、反体制的な表現はしばしば、検閲のコードをすり抜けて行われる</w:t>
      </w:r>
      <w:r w:rsidR="00A817EA">
        <w:rPr>
          <w:rStyle w:val="ab"/>
        </w:rPr>
        <w:footnoteReference w:id="33"/>
      </w:r>
      <w:r w:rsidR="00DB3B70">
        <w:rPr>
          <w:rFonts w:hint="eastAsia"/>
        </w:rPr>
        <w:t>。</w:t>
      </w:r>
      <w:r w:rsidR="007108A5">
        <w:rPr>
          <w:rFonts w:hint="eastAsia"/>
        </w:rPr>
        <w:t>芸術家にとっては、検閲に屈する方が悪いのであろうが、公権力の側が「検閲に屈する方が悪い」というのは違うように思える。</w:t>
      </w:r>
      <w:r w:rsidR="0090191F">
        <w:rPr>
          <w:rFonts w:hint="eastAsia"/>
        </w:rPr>
        <w:t>芸術家が検閲に屈しなくても、美術館の方が、法令違反や、公権力からの資金援助が切られる危険性に委縮して、自己検閲を行ってしまう危険性もある</w:t>
      </w:r>
      <w:r w:rsidR="00A817EA">
        <w:rPr>
          <w:rStyle w:val="ab"/>
        </w:rPr>
        <w:footnoteReference w:id="34"/>
      </w:r>
      <w:r w:rsidR="0090191F">
        <w:rPr>
          <w:rFonts w:hint="eastAsia"/>
        </w:rPr>
        <w:t>。芸術家も、作品を売ったり貸し出したりして金を稼がなくてはならないから、作品を美術館に拒否されて収入が得られないくらいであれば、政治的思想を持たない目に優しい作品を作るようになっても不思議ではない</w:t>
      </w:r>
      <w:r w:rsidR="00A701FE">
        <w:rPr>
          <w:rFonts w:hint="eastAsia"/>
        </w:rPr>
        <w:t>(</w:t>
      </w:r>
      <w:r w:rsidR="004121E6">
        <w:rPr>
          <w:rFonts w:hint="eastAsia"/>
        </w:rPr>
        <w:t>2019年、存命のアーティストの作品として史上最高額で落札された《ラビット》は、ジェフ・クーンズ</w:t>
      </w:r>
      <w:r w:rsidR="008118B7">
        <w:rPr>
          <w:rFonts w:hint="eastAsia"/>
        </w:rPr>
        <w:t>の作品</w:t>
      </w:r>
      <w:r w:rsidR="004121E6">
        <w:rPr>
          <w:rFonts w:hint="eastAsia"/>
        </w:rPr>
        <w:t>であった</w:t>
      </w:r>
      <w:r w:rsidR="004121E6">
        <w:rPr>
          <w:rStyle w:val="ab"/>
        </w:rPr>
        <w:footnoteReference w:id="35"/>
      </w:r>
      <w:r w:rsidR="004121E6">
        <w:rPr>
          <w:rFonts w:hint="eastAsia"/>
        </w:rPr>
        <w:t>。彼の作風は商業主義に乗った「キッチュ」な作品であるとされている</w:t>
      </w:r>
      <w:r w:rsidR="004121E6">
        <w:rPr>
          <w:rStyle w:val="ab"/>
        </w:rPr>
        <w:footnoteReference w:id="36"/>
      </w:r>
      <w:r w:rsidR="004121E6">
        <w:rPr>
          <w:rFonts w:hint="eastAsia"/>
        </w:rPr>
        <w:t>。大衆受けする作品が金になるのである</w:t>
      </w:r>
      <w:r w:rsidR="00A701FE">
        <w:rPr>
          <w:rFonts w:hint="eastAsia"/>
        </w:rPr>
        <w:t>)</w:t>
      </w:r>
      <w:r w:rsidR="0090191F">
        <w:rPr>
          <w:rFonts w:hint="eastAsia"/>
        </w:rPr>
        <w:t>。</w:t>
      </w:r>
      <w:r w:rsidR="00DF3877">
        <w:rPr>
          <w:rFonts w:hint="eastAsia"/>
        </w:rPr>
        <w:t>芸術は、美術館が委縮しやすいという問題や、作家も食いつないでいかなければいけないという問題があるため、規制に対して萎縮しやすいのである。</w:t>
      </w:r>
    </w:p>
    <w:p w14:paraId="420D34AE" w14:textId="0FAAD1BA" w:rsidR="00602E2B" w:rsidRDefault="00602E2B" w:rsidP="00311885"/>
    <w:p w14:paraId="273C903B" w14:textId="0BC4B942" w:rsidR="00602E2B" w:rsidRDefault="00C47F3F" w:rsidP="00602E2B">
      <w:pPr>
        <w:pStyle w:val="2"/>
      </w:pPr>
      <w:r>
        <w:rPr>
          <w:rFonts w:hint="eastAsia"/>
        </w:rPr>
        <w:t>(５)</w:t>
      </w:r>
      <w:r>
        <w:t xml:space="preserve"> </w:t>
      </w:r>
      <w:r w:rsidR="00602E2B">
        <w:rPr>
          <w:rFonts w:hint="eastAsia"/>
        </w:rPr>
        <w:t>政治利用の歴史</w:t>
      </w:r>
    </w:p>
    <w:p w14:paraId="3D8A11AF" w14:textId="7B942C26" w:rsidR="00602E2B" w:rsidRDefault="00602E2B" w:rsidP="00602E2B">
      <w:r>
        <w:rPr>
          <w:rFonts w:hint="eastAsia"/>
        </w:rPr>
        <w:t xml:space="preserve">　芸術は、人々の心に強く働きかける力を持つが、その裏返しとして、政治的に利用されてきた歴史がある。古い例としては、カトリック教会が、文字の読めない一般の信徒にキリスト教の教えを伝えるために、キリストやキリスト教の殉教者にまつわる伝説を絵に描かせたことが挙げられる。</w:t>
      </w:r>
      <w:r w:rsidR="008118B7">
        <w:rPr>
          <w:rFonts w:hint="eastAsia"/>
        </w:rPr>
        <w:t>先</w:t>
      </w:r>
      <w:r>
        <w:rPr>
          <w:rFonts w:hint="eastAsia"/>
        </w:rPr>
        <w:t>の大戦においても、芸術は国威発揚のために用いられた。</w:t>
      </w:r>
    </w:p>
    <w:p w14:paraId="77433E1B" w14:textId="3AADED8E" w:rsidR="00722FE2" w:rsidRDefault="00602E2B" w:rsidP="00602E2B">
      <w:pPr>
        <w:ind w:firstLineChars="100" w:firstLine="210"/>
      </w:pPr>
      <w:r>
        <w:rPr>
          <w:rFonts w:hint="eastAsia"/>
        </w:rPr>
        <w:t>ナチス・ドイツは、国をあげて価値を均一化同一化するために、ドイツ民族主義的な芸術をのみを称揚した。ドイツ民族主義にそぐわない芸術は、「退廃芸術」として排除された。女優兼映画監督であったレニー・リーフェンシュタールは、ヒトラーの命を受けて、『信念の勝利』(1933年)、『意志の勝利』(1935年)、『オリンピア』などのプロパガンダ映画を作成した。ナチスの党大会を記録した『意志の勝利』は、ドイツ国内で記録的動員数をたたき出すなど、リーフェンシュタールのプロパガンダ映画は、ナチスの「偉大さ」を民衆に印象付けるのに一役買った</w:t>
      </w:r>
      <w:r w:rsidR="00311885">
        <w:rPr>
          <w:rStyle w:val="ab"/>
        </w:rPr>
        <w:footnoteReference w:id="37"/>
      </w:r>
      <w:r w:rsidR="00494179">
        <w:rPr>
          <w:rFonts w:hint="eastAsia"/>
        </w:rPr>
        <w:t>。</w:t>
      </w:r>
    </w:p>
    <w:p w14:paraId="318DDE45" w14:textId="69A31983" w:rsidR="00602E2B" w:rsidRDefault="00722FE2" w:rsidP="00602E2B">
      <w:pPr>
        <w:ind w:firstLineChars="100" w:firstLine="210"/>
      </w:pPr>
      <w:r>
        <w:rPr>
          <w:rFonts w:hint="eastAsia"/>
        </w:rPr>
        <w:t>ちなみに、ドイツ基本法は、５条３項で芸術の自由を</w:t>
      </w:r>
      <w:r w:rsidR="00655A6B">
        <w:rPr>
          <w:rFonts w:hint="eastAsia"/>
        </w:rPr>
        <w:t>明文で</w:t>
      </w:r>
      <w:r>
        <w:rPr>
          <w:rFonts w:hint="eastAsia"/>
        </w:rPr>
        <w:t>保障しているにも関わらず、芸術の自由の保障について</w:t>
      </w:r>
      <w:r w:rsidR="00655A6B">
        <w:rPr>
          <w:rFonts w:hint="eastAsia"/>
        </w:rPr>
        <w:t>起草過程では議論がなされなかった</w:t>
      </w:r>
      <w:r w:rsidR="00655A6B">
        <w:rPr>
          <w:rStyle w:val="ab"/>
        </w:rPr>
        <w:footnoteReference w:id="38"/>
      </w:r>
      <w:r w:rsidR="00655A6B">
        <w:rPr>
          <w:rFonts w:hint="eastAsia"/>
        </w:rPr>
        <w:t>。基本法制定後、連邦憲法裁判所は、先述のメフィスト決定において、「憲法制定者にとって、芸術と芸術家を政治イデオロギー的な目的設定に完全に依存せざるをえない立場に置き、口をつむぐことを余儀なくさせたナチス体制の時代による経験に基づいて、芸術という問題領域の独自性と自律性を特別に保障せんとするきっかけが生まれた」と述べた</w:t>
      </w:r>
      <w:r w:rsidR="00655A6B">
        <w:rPr>
          <w:rStyle w:val="ab"/>
        </w:rPr>
        <w:footnoteReference w:id="39"/>
      </w:r>
      <w:r w:rsidR="00655A6B">
        <w:rPr>
          <w:rFonts w:hint="eastAsia"/>
        </w:rPr>
        <w:t>。</w:t>
      </w:r>
    </w:p>
    <w:p w14:paraId="3206EBD9" w14:textId="767CD5BC" w:rsidR="00602E2B" w:rsidRDefault="00602E2B" w:rsidP="00602E2B">
      <w:pPr>
        <w:ind w:firstLineChars="100" w:firstLine="210"/>
      </w:pPr>
      <w:r>
        <w:rPr>
          <w:rFonts w:hint="eastAsia"/>
        </w:rPr>
        <w:t>日本においても、国家総動員体制の中、国民を一つにする目的で「戦争画」が描かれた。従軍して経験のある画家たちによって結成された「大日本陸軍従軍画家協会(のちに「陸軍美術協会」に改称)」は、戦争画の展覧会を開き、多くの人を集めた</w:t>
      </w:r>
      <w:r w:rsidR="00A817EA">
        <w:rPr>
          <w:rStyle w:val="ab"/>
        </w:rPr>
        <w:footnoteReference w:id="40"/>
      </w:r>
      <w:r>
        <w:rPr>
          <w:rFonts w:hint="eastAsia"/>
        </w:rPr>
        <w:t>。</w:t>
      </w:r>
    </w:p>
    <w:p w14:paraId="2A87DBEC" w14:textId="2362851B" w:rsidR="00602E2B" w:rsidRDefault="00602E2B" w:rsidP="00602E2B">
      <w:pPr>
        <w:ind w:firstLineChars="100" w:firstLine="210"/>
      </w:pPr>
      <w:r>
        <w:rPr>
          <w:rFonts w:hint="eastAsia"/>
        </w:rPr>
        <w:t>「安定的に成立している意味の秩序を動揺させ、場合によっては破壊しうる訴求力」</w:t>
      </w:r>
      <w:r>
        <w:rPr>
          <w:rStyle w:val="ab"/>
        </w:rPr>
        <w:footnoteReference w:id="41"/>
      </w:r>
      <w:r>
        <w:rPr>
          <w:rFonts w:hint="eastAsia"/>
        </w:rPr>
        <w:t>をもつ芸術の特異性ゆえに、時の権力者は、芸術を支配しようとしてきた。芸術を支配し、意味の秩序を支配、操作することで、人心収攬することができる</w:t>
      </w:r>
      <w:r>
        <w:rPr>
          <w:rStyle w:val="ab"/>
        </w:rPr>
        <w:footnoteReference w:id="42"/>
      </w:r>
      <w:r>
        <w:rPr>
          <w:rFonts w:hint="eastAsia"/>
        </w:rPr>
        <w:t>。そのような動機を本来的に有している公権力から芸術を保護する必要性が認められるのである。</w:t>
      </w:r>
    </w:p>
    <w:p w14:paraId="1599196E" w14:textId="188A0D7F" w:rsidR="00602E2B" w:rsidRDefault="00602E2B" w:rsidP="00602E2B">
      <w:pPr>
        <w:pStyle w:val="1"/>
      </w:pPr>
      <w:r>
        <w:rPr>
          <w:rFonts w:hint="eastAsia"/>
        </w:rPr>
        <w:t>おわりに</w:t>
      </w:r>
    </w:p>
    <w:p w14:paraId="03348F85" w14:textId="7BBCB051" w:rsidR="00602E2B" w:rsidRDefault="00602E2B" w:rsidP="00ED2F09">
      <w:pPr>
        <w:ind w:firstLineChars="100" w:firstLine="210"/>
      </w:pPr>
      <w:r>
        <w:rPr>
          <w:rFonts w:hint="eastAsia"/>
        </w:rPr>
        <w:t>以上、表現の自由一般の保障根拠を見たのち、芸術の自由の保障根拠について考察してきた。</w:t>
      </w:r>
      <w:r w:rsidR="00ED2F09">
        <w:rPr>
          <w:rFonts w:hint="eastAsia"/>
        </w:rPr>
        <w:t>筆者が最初に持っていた、「芸術の自由」は、結局は一般的行為の自由と変わらないのではないか、という疑問は、ひとまず解決したように思う。</w:t>
      </w:r>
      <w:r w:rsidR="00814CFD">
        <w:rPr>
          <w:rFonts w:hint="eastAsia"/>
        </w:rPr>
        <w:t>かなりつづめていえば、</w:t>
      </w:r>
      <w:r w:rsidR="00ED2F09">
        <w:rPr>
          <w:rFonts w:hint="eastAsia"/>
        </w:rPr>
        <w:t>芸術は、社会・政治的に大きな影響を与え、</w:t>
      </w:r>
      <w:r w:rsidR="00814CFD">
        <w:rPr>
          <w:rFonts w:hint="eastAsia"/>
        </w:rPr>
        <w:t>民主的プロセスを支えるために、その自由が保障されるのである。</w:t>
      </w:r>
    </w:p>
    <w:p w14:paraId="22659D76" w14:textId="77777777" w:rsidR="00237A8E" w:rsidRDefault="00814CFD" w:rsidP="00237A8E">
      <w:pPr>
        <w:ind w:firstLineChars="100" w:firstLine="210"/>
      </w:pPr>
      <w:r>
        <w:rPr>
          <w:rFonts w:hint="eastAsia"/>
        </w:rPr>
        <w:t>最後に</w:t>
      </w:r>
      <w:r w:rsidR="00ED2F09">
        <w:rPr>
          <w:rFonts w:hint="eastAsia"/>
        </w:rPr>
        <w:t>、扱いきれなかった問題に少し触れておきたい。</w:t>
      </w:r>
    </w:p>
    <w:p w14:paraId="7B478B31" w14:textId="11C499C4" w:rsidR="00EC21E1" w:rsidRDefault="00ED2F09" w:rsidP="00237A8E">
      <w:pPr>
        <w:ind w:firstLineChars="100" w:firstLine="210"/>
      </w:pPr>
      <w:r>
        <w:rPr>
          <w:rFonts w:hint="eastAsia"/>
        </w:rPr>
        <w:t>グラフィティは</w:t>
      </w:r>
      <w:r w:rsidR="00814CFD">
        <w:rPr>
          <w:rFonts w:hint="eastAsia"/>
        </w:rPr>
        <w:t>、公共物や民家にスプレーで「落書き」をする表現行為であるが、非常に難しい問題をはらんでいる</w:t>
      </w:r>
      <w:r w:rsidR="00A817EA">
        <w:rPr>
          <w:rStyle w:val="ab"/>
        </w:rPr>
        <w:footnoteReference w:id="43"/>
      </w:r>
      <w:r w:rsidR="00814CFD">
        <w:rPr>
          <w:rFonts w:hint="eastAsia"/>
        </w:rPr>
        <w:t>。公共物や民家への「落書き」は当然所有権を侵害し、器物損壊</w:t>
      </w:r>
      <w:r w:rsidR="00311885">
        <w:rPr>
          <w:rFonts w:hint="eastAsia"/>
        </w:rPr>
        <w:t>罪</w:t>
      </w:r>
      <w:r w:rsidR="00814CFD">
        <w:rPr>
          <w:rFonts w:hint="eastAsia"/>
        </w:rPr>
        <w:t>として罰せられる。しかし、バンクシーのような著名なグラフィティ作家が「落書き」をした場合にはどうなるのか。器物損壊は、そのものの価値が減少するために可罰であるのだが、バンクシーが「落書き」をしたものの価値は減少するどころかかえって高騰するであろう</w:t>
      </w:r>
      <w:r w:rsidR="00EC21E1">
        <w:rPr>
          <w:rFonts w:hint="eastAsia"/>
        </w:rPr>
        <w:t>(グラフィティという芸術ジャンルは、このような法的問題を提起している点で、検討した芸術の自由としての保障根拠を満たしているといえる)</w:t>
      </w:r>
      <w:r w:rsidR="00814CFD">
        <w:rPr>
          <w:rFonts w:hint="eastAsia"/>
        </w:rPr>
        <w:t>。</w:t>
      </w:r>
      <w:r w:rsidR="00EC21E1">
        <w:rPr>
          <w:rFonts w:hint="eastAsia"/>
        </w:rPr>
        <w:t>では</w:t>
      </w:r>
      <w:r w:rsidR="00814CFD">
        <w:rPr>
          <w:rFonts w:hint="eastAsia"/>
        </w:rPr>
        <w:t>「落書き」行為を</w:t>
      </w:r>
      <w:r w:rsidR="00EC21E1">
        <w:rPr>
          <w:rFonts w:hint="eastAsia"/>
        </w:rPr>
        <w:t>一律に禁止しない、ものの価値が上がる場合には不可罰であるとすることは妥当であろうか。今度は、どのようにして基準を設けるのか、「落書き」をしたグラフィティ作家が高名かそうでないかによって可罰かそうでないかを分けることが妥当かどうかが問題となってくる。</w:t>
      </w:r>
    </w:p>
    <w:p w14:paraId="71174107" w14:textId="2F568771" w:rsidR="00602E2B" w:rsidRDefault="00722FE2" w:rsidP="00722FE2">
      <w:pPr>
        <w:ind w:firstLineChars="100" w:firstLine="210"/>
      </w:pPr>
      <w:r>
        <w:rPr>
          <w:rFonts w:hint="eastAsia"/>
        </w:rPr>
        <w:t>もっともこ</w:t>
      </w:r>
      <w:r w:rsidR="00237A8E">
        <w:rPr>
          <w:rFonts w:hint="eastAsia"/>
        </w:rPr>
        <w:t>の問題</w:t>
      </w:r>
      <w:r>
        <w:rPr>
          <w:rFonts w:hint="eastAsia"/>
        </w:rPr>
        <w:t>は、芸術の自由の保障根拠単体を論じるだけでは意味がない(もちろん、保障根拠を論じなければ始まらないが)。対抗利益との関係で、芸術の自由が優越するのか否かを論じていく必要がある。</w:t>
      </w:r>
    </w:p>
    <w:p w14:paraId="2596D025" w14:textId="7B52F27A" w:rsidR="00237A8E" w:rsidRPr="00602E2B" w:rsidRDefault="00237A8E" w:rsidP="00722FE2">
      <w:pPr>
        <w:ind w:firstLineChars="100" w:firstLine="210"/>
      </w:pPr>
      <w:r>
        <w:rPr>
          <w:rFonts w:hint="eastAsia"/>
        </w:rPr>
        <w:t>また、今回、博物館教育の観点から、芸術の自由の保障根拠のアプローチを加えることがかなわなかった。美術教育において、VTS</w:t>
      </w:r>
      <w:r w:rsidR="00944A6B">
        <w:t xml:space="preserve"> </w:t>
      </w:r>
      <w:r w:rsidR="00944A6B">
        <w:rPr>
          <w:rFonts w:hint="eastAsia"/>
        </w:rPr>
        <w:t>(</w:t>
      </w:r>
      <w:r w:rsidR="00944A6B">
        <w:t>Visual Thinking Strategies</w:t>
      </w:r>
      <w:r w:rsidR="00944A6B">
        <w:rPr>
          <w:rFonts w:hint="eastAsia"/>
        </w:rPr>
        <w:t>)</w:t>
      </w:r>
      <w:r>
        <w:rPr>
          <w:rFonts w:hint="eastAsia"/>
        </w:rPr>
        <w:t>と呼ばれる教育方法が行われており、芸術作品の作品の視覚情報を言語化していく方法を身に着けることができるプログラムになっている</w:t>
      </w:r>
      <w:r w:rsidR="00A817EA">
        <w:rPr>
          <w:rStyle w:val="ab"/>
        </w:rPr>
        <w:footnoteReference w:id="44"/>
      </w:r>
      <w:r>
        <w:rPr>
          <w:rFonts w:hint="eastAsia"/>
        </w:rPr>
        <w:t>。「表現の不自由展・その後」でも、物事を深く考えずに抗議をする市民の存在が浮き彫りとなった。思想性を有した</w:t>
      </w:r>
      <w:r w:rsidR="005B1D77">
        <w:rPr>
          <w:rFonts w:hint="eastAsia"/>
        </w:rPr>
        <w:t>作品の鑑賞を通じて、社会・政治的問題を議論することができる市民が増えれば、民主主義の健全なプロセスに資するのではないか。《平和の少女像》も、表現の自由とは違うところでの議論が巻き起こっていたはずである。</w:t>
      </w:r>
    </w:p>
    <w:sectPr w:rsidR="00237A8E" w:rsidRPr="00602E2B">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FA5E00" w14:textId="77777777" w:rsidR="00633DA4" w:rsidRDefault="00633DA4" w:rsidP="00692999">
      <w:r>
        <w:separator/>
      </w:r>
    </w:p>
  </w:endnote>
  <w:endnote w:type="continuationSeparator" w:id="0">
    <w:p w14:paraId="2A645DA8" w14:textId="77777777" w:rsidR="00633DA4" w:rsidRDefault="00633DA4" w:rsidP="00692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6868332"/>
      <w:docPartObj>
        <w:docPartGallery w:val="Page Numbers (Bottom of Page)"/>
        <w:docPartUnique/>
      </w:docPartObj>
    </w:sdtPr>
    <w:sdtEndPr/>
    <w:sdtContent>
      <w:p w14:paraId="2B91151B" w14:textId="6CE574AB" w:rsidR="00633DA4" w:rsidRDefault="00633DA4">
        <w:pPr>
          <w:pStyle w:val="a5"/>
          <w:jc w:val="center"/>
        </w:pPr>
        <w:r>
          <w:fldChar w:fldCharType="begin"/>
        </w:r>
        <w:r>
          <w:instrText>PAGE   \* MERGEFORMAT</w:instrText>
        </w:r>
        <w:r>
          <w:fldChar w:fldCharType="separate"/>
        </w:r>
        <w:r>
          <w:rPr>
            <w:lang w:val="ja-JP"/>
          </w:rPr>
          <w:t>2</w:t>
        </w:r>
        <w:r>
          <w:fldChar w:fldCharType="end"/>
        </w:r>
      </w:p>
    </w:sdtContent>
  </w:sdt>
  <w:p w14:paraId="763EC13C" w14:textId="77777777" w:rsidR="00633DA4" w:rsidRDefault="00633DA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A26B14" w14:textId="77777777" w:rsidR="00633DA4" w:rsidRDefault="00633DA4" w:rsidP="00692999">
      <w:r>
        <w:separator/>
      </w:r>
    </w:p>
  </w:footnote>
  <w:footnote w:type="continuationSeparator" w:id="0">
    <w:p w14:paraId="4A5C063B" w14:textId="77777777" w:rsidR="00633DA4" w:rsidRDefault="00633DA4" w:rsidP="00692999">
      <w:r>
        <w:continuationSeparator/>
      </w:r>
    </w:p>
  </w:footnote>
  <w:footnote w:id="1">
    <w:p w14:paraId="1FFF8946" w14:textId="77777777" w:rsidR="00C47F3F" w:rsidRPr="00991297" w:rsidRDefault="00C47F3F" w:rsidP="00C47F3F">
      <w:pPr>
        <w:pStyle w:val="a9"/>
      </w:pPr>
      <w:r>
        <w:rPr>
          <w:rStyle w:val="ab"/>
        </w:rPr>
        <w:footnoteRef/>
      </w:r>
      <w:r>
        <w:t xml:space="preserve"> </w:t>
      </w:r>
      <w:r>
        <w:rPr>
          <w:rFonts w:hint="eastAsia"/>
        </w:rPr>
        <w:t>美術手帖2020年４月号34-37頁。「補助金不交付撤回求め集会　賛同署名、10万筆に」日本経済新聞、2019年11月8日付。</w:t>
      </w:r>
    </w:p>
  </w:footnote>
  <w:footnote w:id="2">
    <w:p w14:paraId="03CE9F8F" w14:textId="19BB7381" w:rsidR="00633DA4" w:rsidRPr="00D62595" w:rsidRDefault="00633DA4">
      <w:pPr>
        <w:pStyle w:val="a9"/>
      </w:pPr>
      <w:r>
        <w:rPr>
          <w:rStyle w:val="ab"/>
        </w:rPr>
        <w:footnoteRef/>
      </w:r>
      <w:r>
        <w:t xml:space="preserve"> </w:t>
      </w:r>
      <w:r>
        <w:rPr>
          <w:rFonts w:hint="eastAsia"/>
        </w:rPr>
        <w:t>新井誠ほか『憲法II人権』(日本評論社、2016年)</w:t>
      </w:r>
      <w:r w:rsidR="00A817EA">
        <w:t xml:space="preserve"> </w:t>
      </w:r>
      <w:r>
        <w:rPr>
          <w:rFonts w:hint="eastAsia"/>
        </w:rPr>
        <w:t>43頁</w:t>
      </w:r>
      <w:r w:rsidR="00B72501">
        <w:rPr>
          <w:rFonts w:hint="eastAsia"/>
        </w:rPr>
        <w:t>。</w:t>
      </w:r>
    </w:p>
  </w:footnote>
  <w:footnote w:id="3">
    <w:p w14:paraId="3FE0AF46" w14:textId="5E939466" w:rsidR="00633DA4" w:rsidRDefault="00633DA4">
      <w:pPr>
        <w:pStyle w:val="a9"/>
      </w:pPr>
      <w:r>
        <w:rPr>
          <w:rStyle w:val="ab"/>
        </w:rPr>
        <w:footnoteRef/>
      </w:r>
      <w:r>
        <w:t xml:space="preserve"> </w:t>
      </w:r>
      <w:r w:rsidR="005572B2">
        <w:rPr>
          <w:rFonts w:hint="eastAsia"/>
        </w:rPr>
        <w:t>同上</w:t>
      </w:r>
      <w:r>
        <w:rPr>
          <w:rFonts w:hint="eastAsia"/>
        </w:rPr>
        <w:t>109頁</w:t>
      </w:r>
      <w:r w:rsidR="00B72501">
        <w:rPr>
          <w:rFonts w:hint="eastAsia"/>
        </w:rPr>
        <w:t>。</w:t>
      </w:r>
    </w:p>
  </w:footnote>
  <w:footnote w:id="4">
    <w:p w14:paraId="13114462" w14:textId="32528DE9" w:rsidR="00633DA4" w:rsidRDefault="00633DA4">
      <w:pPr>
        <w:pStyle w:val="a9"/>
      </w:pPr>
      <w:r>
        <w:rPr>
          <w:rStyle w:val="ab"/>
        </w:rPr>
        <w:footnoteRef/>
      </w:r>
      <w:r>
        <w:t xml:space="preserve"> </w:t>
      </w:r>
      <w:r>
        <w:rPr>
          <w:rFonts w:hint="eastAsia"/>
        </w:rPr>
        <w:t>最大判昭和61・６・11民集40巻４号872頁</w:t>
      </w:r>
      <w:r w:rsidR="00B72501">
        <w:rPr>
          <w:rFonts w:hint="eastAsia"/>
        </w:rPr>
        <w:t>。</w:t>
      </w:r>
    </w:p>
  </w:footnote>
  <w:footnote w:id="5">
    <w:p w14:paraId="229DC5E0" w14:textId="5F60A589" w:rsidR="00633DA4" w:rsidRPr="00160E58" w:rsidRDefault="00633DA4">
      <w:pPr>
        <w:pStyle w:val="a9"/>
      </w:pPr>
      <w:r>
        <w:rPr>
          <w:rStyle w:val="ab"/>
        </w:rPr>
        <w:footnoteRef/>
      </w:r>
      <w:r>
        <w:t xml:space="preserve"> </w:t>
      </w:r>
      <w:r w:rsidR="00C47F3F">
        <w:rPr>
          <w:rFonts w:hint="eastAsia"/>
        </w:rPr>
        <w:t>新井誠ほか</w:t>
      </w:r>
      <w:r w:rsidR="00C47F3F">
        <w:rPr>
          <w:rFonts w:hint="eastAsia"/>
        </w:rPr>
        <w:t>・</w:t>
      </w:r>
      <w:r w:rsidR="005572B2">
        <w:rPr>
          <w:rFonts w:hint="eastAsia"/>
        </w:rPr>
        <w:t>前掲注</w:t>
      </w:r>
      <w:r w:rsidR="00C47F3F">
        <w:rPr>
          <w:rFonts w:hint="eastAsia"/>
        </w:rPr>
        <w:t>(</w:t>
      </w:r>
      <w:r w:rsidR="005572B2">
        <w:rPr>
          <w:rFonts w:hint="eastAsia"/>
        </w:rPr>
        <w:t>２</w:t>
      </w:r>
      <w:r w:rsidR="00C47F3F">
        <w:rPr>
          <w:rFonts w:hint="eastAsia"/>
        </w:rPr>
        <w:t>)</w:t>
      </w:r>
      <w:r w:rsidR="00A817EA">
        <w:rPr>
          <w:rFonts w:hint="eastAsia"/>
        </w:rPr>
        <w:t xml:space="preserve"> </w:t>
      </w:r>
      <w:r>
        <w:rPr>
          <w:rFonts w:hint="eastAsia"/>
        </w:rPr>
        <w:t>109頁</w:t>
      </w:r>
      <w:r w:rsidR="00B72501">
        <w:rPr>
          <w:rFonts w:hint="eastAsia"/>
        </w:rPr>
        <w:t>。</w:t>
      </w:r>
    </w:p>
  </w:footnote>
  <w:footnote w:id="6">
    <w:p w14:paraId="482436B6" w14:textId="3328BAE8" w:rsidR="00633DA4" w:rsidRPr="00845FCB" w:rsidRDefault="00633DA4" w:rsidP="00845FCB">
      <w:pPr>
        <w:pStyle w:val="a9"/>
      </w:pPr>
      <w:r>
        <w:rPr>
          <w:rStyle w:val="ab"/>
        </w:rPr>
        <w:footnoteRef/>
      </w:r>
      <w:r>
        <w:t xml:space="preserve"> </w:t>
      </w:r>
      <w:r>
        <w:rPr>
          <w:rFonts w:hint="eastAsia"/>
        </w:rPr>
        <w:t>250</w:t>
      </w:r>
      <w:r>
        <w:t xml:space="preserve"> U.S. 616 (1919)</w:t>
      </w:r>
      <w:r w:rsidR="00494179">
        <w:t>.</w:t>
      </w:r>
    </w:p>
  </w:footnote>
  <w:footnote w:id="7">
    <w:p w14:paraId="07E3E97B" w14:textId="4EA63F07" w:rsidR="00633DA4" w:rsidRPr="00A042B4" w:rsidRDefault="00633DA4" w:rsidP="00A042B4">
      <w:r>
        <w:rPr>
          <w:rStyle w:val="ab"/>
        </w:rPr>
        <w:footnoteRef/>
      </w:r>
      <w:r>
        <w:t xml:space="preserve"> </w:t>
      </w:r>
      <w:r>
        <w:rPr>
          <w:rFonts w:hint="eastAsia"/>
        </w:rPr>
        <w:t>駒村圭吾「多様性の再生産と準拠枠構築」駒村圭吾、鈴木秀美編『表現の自由I』(尚学社、2011年)11-14頁</w:t>
      </w:r>
      <w:r w:rsidR="00B72501">
        <w:rPr>
          <w:rFonts w:hint="eastAsia"/>
        </w:rPr>
        <w:t>。</w:t>
      </w:r>
      <w:r>
        <w:rPr>
          <w:rFonts w:hint="eastAsia"/>
        </w:rPr>
        <w:t>金井光生「表現空間の設計構想(アメリカ)」駒村圭吾、鈴木秀美編『表現の自由I』(尚学社、2011年)</w:t>
      </w:r>
      <w:r w:rsidR="00A817EA">
        <w:t xml:space="preserve"> </w:t>
      </w:r>
      <w:r>
        <w:rPr>
          <w:rFonts w:hint="eastAsia"/>
        </w:rPr>
        <w:t>89-94頁</w:t>
      </w:r>
      <w:r w:rsidR="00B72501">
        <w:rPr>
          <w:rFonts w:hint="eastAsia"/>
        </w:rPr>
        <w:t>。</w:t>
      </w:r>
    </w:p>
  </w:footnote>
  <w:footnote w:id="8">
    <w:p w14:paraId="3942AECD" w14:textId="5ACCCD6D" w:rsidR="00633DA4" w:rsidRPr="00633DA4" w:rsidRDefault="00633DA4">
      <w:pPr>
        <w:pStyle w:val="a9"/>
      </w:pPr>
      <w:r>
        <w:rPr>
          <w:rStyle w:val="ab"/>
        </w:rPr>
        <w:footnoteRef/>
      </w:r>
      <w:r>
        <w:t xml:space="preserve"> </w:t>
      </w:r>
      <w:r>
        <w:rPr>
          <w:rFonts w:hint="eastAsia"/>
        </w:rPr>
        <w:t>奥平康弘『なぜ「表現の自由」か』(東京大学出版</w:t>
      </w:r>
      <w:r w:rsidR="00A817EA">
        <w:rPr>
          <w:rFonts w:hint="eastAsia"/>
        </w:rPr>
        <w:t>会</w:t>
      </w:r>
      <w:r>
        <w:rPr>
          <w:rFonts w:hint="eastAsia"/>
        </w:rPr>
        <w:t>、1988年)</w:t>
      </w:r>
      <w:r w:rsidR="00A817EA">
        <w:t xml:space="preserve"> </w:t>
      </w:r>
      <w:r>
        <w:rPr>
          <w:rFonts w:hint="eastAsia"/>
        </w:rPr>
        <w:t>27-37頁</w:t>
      </w:r>
      <w:r w:rsidR="00B72501">
        <w:rPr>
          <w:rFonts w:hint="eastAsia"/>
        </w:rPr>
        <w:t>。</w:t>
      </w:r>
    </w:p>
  </w:footnote>
  <w:footnote w:id="9">
    <w:p w14:paraId="5C33F3B3" w14:textId="00F66F33" w:rsidR="00633DA4" w:rsidRPr="00C90588" w:rsidRDefault="00633DA4">
      <w:pPr>
        <w:pStyle w:val="a9"/>
      </w:pPr>
      <w:r>
        <w:rPr>
          <w:rStyle w:val="ab"/>
        </w:rPr>
        <w:footnoteRef/>
      </w:r>
      <w:r>
        <w:t xml:space="preserve"> </w:t>
      </w:r>
      <w:r>
        <w:rPr>
          <w:rFonts w:hint="eastAsia"/>
        </w:rPr>
        <w:t>筆者の能力上、カント哲学の領域にまで踏み込むことはできなかったが、何をなすことが(他人や社会にとって)正しいことなのかを考え実践することがカントの考える道徳的な生き方であろう。</w:t>
      </w:r>
    </w:p>
  </w:footnote>
  <w:footnote w:id="10">
    <w:p w14:paraId="0A243F2B" w14:textId="53746CB5" w:rsidR="00A817EA" w:rsidRPr="00633DA4" w:rsidRDefault="00A817EA" w:rsidP="00A817EA">
      <w:pPr>
        <w:pStyle w:val="a9"/>
      </w:pPr>
      <w:r>
        <w:rPr>
          <w:rStyle w:val="ab"/>
        </w:rPr>
        <w:footnoteRef/>
      </w:r>
      <w:r>
        <w:t xml:space="preserve"> </w:t>
      </w:r>
      <w:r>
        <w:rPr>
          <w:rFonts w:hint="eastAsia"/>
        </w:rPr>
        <w:t>奥平・</w:t>
      </w:r>
      <w:r>
        <w:rPr>
          <w:rFonts w:hint="eastAsia"/>
        </w:rPr>
        <w:t>前掲注</w:t>
      </w:r>
      <w:r>
        <w:rPr>
          <w:rFonts w:hint="eastAsia"/>
        </w:rPr>
        <w:t xml:space="preserve"> (</w:t>
      </w:r>
      <w:r>
        <w:rPr>
          <w:rFonts w:hint="eastAsia"/>
        </w:rPr>
        <w:t>８</w:t>
      </w:r>
      <w:r>
        <w:rPr>
          <w:rFonts w:hint="eastAsia"/>
        </w:rPr>
        <w:t xml:space="preserve">) </w:t>
      </w:r>
      <w:r>
        <w:rPr>
          <w:rFonts w:hint="eastAsia"/>
        </w:rPr>
        <w:t>27頁。</w:t>
      </w:r>
    </w:p>
  </w:footnote>
  <w:footnote w:id="11">
    <w:p w14:paraId="4780E38A" w14:textId="7DF1BF49" w:rsidR="00FA3514" w:rsidRPr="00633DA4" w:rsidRDefault="00FA3514" w:rsidP="00FA3514">
      <w:pPr>
        <w:pStyle w:val="a9"/>
      </w:pPr>
      <w:r>
        <w:rPr>
          <w:rStyle w:val="ab"/>
        </w:rPr>
        <w:footnoteRef/>
      </w:r>
      <w:r>
        <w:t xml:space="preserve"> </w:t>
      </w:r>
      <w:r>
        <w:rPr>
          <w:rFonts w:hint="eastAsia"/>
        </w:rPr>
        <w:t>毛利透「表現の自由と民主制」阪口正二郎ほか編『なぜ表現の自由か—理論的視座と現状への問い—』(2017年、法律文化社)</w:t>
      </w:r>
      <w:r w:rsidR="00A817EA">
        <w:t xml:space="preserve"> </w:t>
      </w:r>
      <w:r w:rsidR="003F4CB4">
        <w:rPr>
          <w:rFonts w:hint="eastAsia"/>
        </w:rPr>
        <w:t>33</w:t>
      </w:r>
      <w:r>
        <w:rPr>
          <w:rFonts w:hint="eastAsia"/>
        </w:rPr>
        <w:t>-3</w:t>
      </w:r>
      <w:r w:rsidR="003F4CB4">
        <w:rPr>
          <w:rFonts w:hint="eastAsia"/>
        </w:rPr>
        <w:t>8</w:t>
      </w:r>
      <w:r>
        <w:rPr>
          <w:rFonts w:hint="eastAsia"/>
        </w:rPr>
        <w:t>頁</w:t>
      </w:r>
      <w:r w:rsidR="00B72501">
        <w:rPr>
          <w:rFonts w:hint="eastAsia"/>
        </w:rPr>
        <w:t>。</w:t>
      </w:r>
    </w:p>
  </w:footnote>
  <w:footnote w:id="12">
    <w:p w14:paraId="634DBBB0" w14:textId="5F1D0AB7" w:rsidR="00476053" w:rsidRPr="00476053" w:rsidRDefault="00476053">
      <w:pPr>
        <w:pStyle w:val="a9"/>
      </w:pPr>
      <w:r>
        <w:rPr>
          <w:rStyle w:val="ab"/>
        </w:rPr>
        <w:footnoteRef/>
      </w:r>
      <w:r>
        <w:t xml:space="preserve"> </w:t>
      </w:r>
      <w:r>
        <w:rPr>
          <w:rFonts w:hint="eastAsia"/>
        </w:rPr>
        <w:t>阪口正二郎、「表現の自由はなぜ大切か」阪口正二郎ほか編『なぜ表現の自由か—理論的視座と現状への問い—』(</w:t>
      </w:r>
      <w:r w:rsidR="002141FA">
        <w:rPr>
          <w:rFonts w:hint="eastAsia"/>
        </w:rPr>
        <w:t>法律文化社</w:t>
      </w:r>
      <w:r w:rsidR="002141FA">
        <w:rPr>
          <w:rFonts w:hint="eastAsia"/>
        </w:rPr>
        <w:t>、</w:t>
      </w:r>
      <w:r>
        <w:rPr>
          <w:rFonts w:hint="eastAsia"/>
        </w:rPr>
        <w:t>2017年)</w:t>
      </w:r>
      <w:r w:rsidR="00A817EA">
        <w:t xml:space="preserve"> </w:t>
      </w:r>
      <w:r>
        <w:rPr>
          <w:rFonts w:hint="eastAsia"/>
        </w:rPr>
        <w:t>19-21頁</w:t>
      </w:r>
      <w:r w:rsidR="00B72501">
        <w:rPr>
          <w:rFonts w:hint="eastAsia"/>
        </w:rPr>
        <w:t>。</w:t>
      </w:r>
    </w:p>
  </w:footnote>
  <w:footnote w:id="13">
    <w:p w14:paraId="237C6641" w14:textId="498ABA2F" w:rsidR="00633DA4" w:rsidRDefault="00633DA4">
      <w:pPr>
        <w:pStyle w:val="a9"/>
      </w:pPr>
      <w:r>
        <w:rPr>
          <w:rStyle w:val="ab"/>
        </w:rPr>
        <w:footnoteRef/>
      </w:r>
      <w:r>
        <w:t xml:space="preserve"> </w:t>
      </w:r>
      <w:r>
        <w:rPr>
          <w:rFonts w:hint="eastAsia"/>
        </w:rPr>
        <w:t>久米郁男ほか『政治学』(有斐閣、2017年)</w:t>
      </w:r>
      <w:r w:rsidR="00A817EA">
        <w:t xml:space="preserve"> </w:t>
      </w:r>
      <w:r w:rsidR="00FA3514">
        <w:rPr>
          <w:rFonts w:hint="eastAsia"/>
        </w:rPr>
        <w:t>39-40頁</w:t>
      </w:r>
      <w:r w:rsidR="00B72501">
        <w:rPr>
          <w:rFonts w:hint="eastAsia"/>
        </w:rPr>
        <w:t>。</w:t>
      </w:r>
    </w:p>
  </w:footnote>
  <w:footnote w:id="14">
    <w:p w14:paraId="51E5AF8F" w14:textId="347B34C5" w:rsidR="00FA3514" w:rsidRDefault="00FA3514">
      <w:pPr>
        <w:pStyle w:val="a9"/>
      </w:pPr>
      <w:r>
        <w:rPr>
          <w:rStyle w:val="ab"/>
        </w:rPr>
        <w:footnoteRef/>
      </w:r>
      <w:r>
        <w:t xml:space="preserve"> </w:t>
      </w:r>
      <w:r w:rsidR="00A817EA">
        <w:rPr>
          <w:rFonts w:hint="eastAsia"/>
        </w:rPr>
        <w:t>毛利</w:t>
      </w:r>
      <w:r w:rsidR="00A817EA">
        <w:rPr>
          <w:rFonts w:hint="eastAsia"/>
        </w:rPr>
        <w:t>・</w:t>
      </w:r>
      <w:r w:rsidR="005572B2">
        <w:rPr>
          <w:rFonts w:hint="eastAsia"/>
        </w:rPr>
        <w:t>前掲注</w:t>
      </w:r>
      <w:r w:rsidR="00A817EA">
        <w:rPr>
          <w:rFonts w:hint="eastAsia"/>
        </w:rPr>
        <w:t xml:space="preserve"> (</w:t>
      </w:r>
      <w:r w:rsidR="005572B2">
        <w:rPr>
          <w:rFonts w:hint="eastAsia"/>
        </w:rPr>
        <w:t>11</w:t>
      </w:r>
      <w:r w:rsidR="00A817EA">
        <w:rPr>
          <w:rFonts w:hint="eastAsia"/>
        </w:rPr>
        <w:t>)</w:t>
      </w:r>
      <w:r w:rsidR="00A817EA">
        <w:t xml:space="preserve"> </w:t>
      </w:r>
      <w:r>
        <w:rPr>
          <w:rFonts w:hint="eastAsia"/>
        </w:rPr>
        <w:t>40-45頁</w:t>
      </w:r>
      <w:r w:rsidR="00B72501">
        <w:rPr>
          <w:rFonts w:hint="eastAsia"/>
        </w:rPr>
        <w:t>。</w:t>
      </w:r>
    </w:p>
  </w:footnote>
  <w:footnote w:id="15">
    <w:p w14:paraId="728927C3" w14:textId="4169A01F" w:rsidR="00633DA4" w:rsidRPr="00476053" w:rsidRDefault="00633DA4">
      <w:pPr>
        <w:pStyle w:val="a9"/>
      </w:pPr>
      <w:r>
        <w:rPr>
          <w:rStyle w:val="ab"/>
        </w:rPr>
        <w:footnoteRef/>
      </w:r>
      <w:r>
        <w:t xml:space="preserve"> </w:t>
      </w:r>
      <w:r w:rsidR="00A817EA">
        <w:rPr>
          <w:rFonts w:hint="eastAsia"/>
        </w:rPr>
        <w:t>奥平・</w:t>
      </w:r>
      <w:r w:rsidR="005572B2">
        <w:rPr>
          <w:rFonts w:hint="eastAsia"/>
        </w:rPr>
        <w:t>前掲注</w:t>
      </w:r>
      <w:r w:rsidR="00A817EA">
        <w:rPr>
          <w:rFonts w:hint="eastAsia"/>
        </w:rPr>
        <w:t xml:space="preserve"> (８)</w:t>
      </w:r>
      <w:r w:rsidR="00A817EA">
        <w:t xml:space="preserve"> </w:t>
      </w:r>
      <w:r w:rsidR="00476053">
        <w:rPr>
          <w:rFonts w:hint="eastAsia"/>
        </w:rPr>
        <w:t>59頁</w:t>
      </w:r>
      <w:r w:rsidR="00B72501">
        <w:rPr>
          <w:rFonts w:hint="eastAsia"/>
        </w:rPr>
        <w:t>。</w:t>
      </w:r>
    </w:p>
  </w:footnote>
  <w:footnote w:id="16">
    <w:p w14:paraId="4C12E341" w14:textId="3E29689F" w:rsidR="00633DA4" w:rsidRPr="00633DA4" w:rsidRDefault="00633DA4">
      <w:pPr>
        <w:pStyle w:val="a9"/>
      </w:pPr>
      <w:r>
        <w:rPr>
          <w:rStyle w:val="ab"/>
        </w:rPr>
        <w:footnoteRef/>
      </w:r>
      <w:r>
        <w:t xml:space="preserve"> </w:t>
      </w:r>
      <w:r w:rsidR="005572B2">
        <w:rPr>
          <w:rFonts w:hint="eastAsia"/>
        </w:rPr>
        <w:t>同上</w:t>
      </w:r>
      <w:r w:rsidR="00476053">
        <w:rPr>
          <w:rFonts w:hint="eastAsia"/>
        </w:rPr>
        <w:t>37-42頁</w:t>
      </w:r>
      <w:r w:rsidR="00B72501">
        <w:rPr>
          <w:rFonts w:hint="eastAsia"/>
        </w:rPr>
        <w:t>。</w:t>
      </w:r>
    </w:p>
  </w:footnote>
  <w:footnote w:id="17">
    <w:p w14:paraId="5B6CEDC7" w14:textId="7830F1E8" w:rsidR="00633DA4" w:rsidRDefault="00633DA4">
      <w:pPr>
        <w:pStyle w:val="a9"/>
      </w:pPr>
      <w:r>
        <w:rPr>
          <w:rStyle w:val="ab"/>
        </w:rPr>
        <w:footnoteRef/>
      </w:r>
      <w:r>
        <w:t xml:space="preserve"> </w:t>
      </w:r>
      <w:r>
        <w:rPr>
          <w:rFonts w:hint="eastAsia"/>
        </w:rPr>
        <w:t>山本浩貴『現代美術史』(中公新書、2019年)</w:t>
      </w:r>
      <w:r>
        <w:t>ii</w:t>
      </w:r>
      <w:r>
        <w:rPr>
          <w:rFonts w:hint="eastAsia"/>
        </w:rPr>
        <w:t>頁</w:t>
      </w:r>
      <w:r w:rsidR="00B72501">
        <w:rPr>
          <w:rFonts w:hint="eastAsia"/>
        </w:rPr>
        <w:t>。</w:t>
      </w:r>
    </w:p>
  </w:footnote>
  <w:footnote w:id="18">
    <w:p w14:paraId="0E70DAAD" w14:textId="67159E17" w:rsidR="00633DA4" w:rsidRDefault="00633DA4">
      <w:pPr>
        <w:pStyle w:val="a9"/>
      </w:pPr>
      <w:r>
        <w:rPr>
          <w:rStyle w:val="ab"/>
        </w:rPr>
        <w:footnoteRef/>
      </w:r>
      <w:r>
        <w:t xml:space="preserve"> </w:t>
      </w:r>
      <w:r>
        <w:rPr>
          <w:rFonts w:hint="eastAsia"/>
        </w:rPr>
        <w:t>ドイツ基本法５条３項</w:t>
      </w:r>
      <w:r w:rsidR="00B72501">
        <w:rPr>
          <w:rFonts w:hint="eastAsia"/>
        </w:rPr>
        <w:t>。</w:t>
      </w:r>
    </w:p>
  </w:footnote>
  <w:footnote w:id="19">
    <w:p w14:paraId="6DEEE583" w14:textId="435EC022" w:rsidR="00633DA4" w:rsidRDefault="00633DA4">
      <w:pPr>
        <w:pStyle w:val="a9"/>
      </w:pPr>
      <w:r>
        <w:rPr>
          <w:rStyle w:val="ab"/>
        </w:rPr>
        <w:footnoteRef/>
      </w:r>
      <w:r>
        <w:t xml:space="preserve"> </w:t>
      </w:r>
      <w:r w:rsidR="009050AC">
        <w:rPr>
          <w:rFonts w:hint="eastAsia"/>
        </w:rPr>
        <w:t>BVerfGE</w:t>
      </w:r>
      <w:r w:rsidR="009050AC">
        <w:t xml:space="preserve"> 30, 173</w:t>
      </w:r>
      <w:r w:rsidR="00B72501">
        <w:t>.</w:t>
      </w:r>
    </w:p>
  </w:footnote>
  <w:footnote w:id="20">
    <w:p w14:paraId="56C6C179" w14:textId="24FDA1C9" w:rsidR="00633DA4" w:rsidRDefault="00633DA4">
      <w:pPr>
        <w:pStyle w:val="a9"/>
      </w:pPr>
      <w:r>
        <w:rPr>
          <w:rStyle w:val="ab"/>
        </w:rPr>
        <w:footnoteRef/>
      </w:r>
      <w:r>
        <w:t xml:space="preserve"> </w:t>
      </w:r>
      <w:r w:rsidR="009050AC">
        <w:t>BVerfGE 67, 130</w:t>
      </w:r>
      <w:r w:rsidR="00B72501">
        <w:t>.</w:t>
      </w:r>
    </w:p>
  </w:footnote>
  <w:footnote w:id="21">
    <w:p w14:paraId="3D2DA56C" w14:textId="31344FCC" w:rsidR="00B42A1F" w:rsidRPr="00B42A1F" w:rsidRDefault="00B42A1F">
      <w:pPr>
        <w:pStyle w:val="a9"/>
      </w:pPr>
      <w:r>
        <w:rPr>
          <w:rStyle w:val="ab"/>
        </w:rPr>
        <w:footnoteRef/>
      </w:r>
      <w:r>
        <w:t xml:space="preserve"> </w:t>
      </w:r>
      <w:r>
        <w:rPr>
          <w:rFonts w:hint="eastAsia"/>
        </w:rPr>
        <w:t>奥山亜喜子、「芸術と法、国家(１)—ドイツ連邦共和国基本法５条３項における「芸術の自由」概念をめぐって(前)」女子美術大学研究紀要30号(2000年)121頁</w:t>
      </w:r>
      <w:r w:rsidR="00B72501">
        <w:rPr>
          <w:rFonts w:hint="eastAsia"/>
        </w:rPr>
        <w:t>。</w:t>
      </w:r>
    </w:p>
  </w:footnote>
  <w:footnote w:id="22">
    <w:p w14:paraId="4B4DDFC9" w14:textId="0E6BD499" w:rsidR="00A817EA" w:rsidRDefault="00A817EA" w:rsidP="00A817EA">
      <w:pPr>
        <w:pStyle w:val="a9"/>
      </w:pPr>
      <w:r>
        <w:rPr>
          <w:rStyle w:val="ab"/>
        </w:rPr>
        <w:footnoteRef/>
      </w:r>
      <w:r>
        <w:t xml:space="preserve"> </w:t>
      </w:r>
      <w:r>
        <w:rPr>
          <w:rFonts w:hint="eastAsia"/>
        </w:rPr>
        <w:t>山本</w:t>
      </w:r>
      <w:r>
        <w:rPr>
          <w:rFonts w:hint="eastAsia"/>
        </w:rPr>
        <w:t>・</w:t>
      </w:r>
      <w:r>
        <w:rPr>
          <w:rFonts w:hint="eastAsia"/>
        </w:rPr>
        <w:t>前掲注</w:t>
      </w:r>
      <w:r>
        <w:rPr>
          <w:rFonts w:hint="eastAsia"/>
        </w:rPr>
        <w:t xml:space="preserve"> (</w:t>
      </w:r>
      <w:r>
        <w:rPr>
          <w:rFonts w:hint="eastAsia"/>
        </w:rPr>
        <w:t>17</w:t>
      </w:r>
      <w:r>
        <w:rPr>
          <w:rFonts w:hint="eastAsia"/>
        </w:rPr>
        <w:t>)</w:t>
      </w:r>
      <w:r>
        <w:t xml:space="preserve"> </w:t>
      </w:r>
      <w:r>
        <w:rPr>
          <w:rFonts w:hint="eastAsia"/>
        </w:rPr>
        <w:t>37頁。</w:t>
      </w:r>
    </w:p>
  </w:footnote>
  <w:footnote w:id="23">
    <w:p w14:paraId="17650E60" w14:textId="14E68C52" w:rsidR="00A817EA" w:rsidRPr="009704EF" w:rsidRDefault="00A817EA" w:rsidP="00A817EA">
      <w:pPr>
        <w:pStyle w:val="a9"/>
      </w:pPr>
      <w:r>
        <w:rPr>
          <w:rStyle w:val="ab"/>
        </w:rPr>
        <w:footnoteRef/>
      </w:r>
      <w:r>
        <w:t xml:space="preserve"> </w:t>
      </w:r>
      <w:r>
        <w:rPr>
          <w:rFonts w:hint="eastAsia"/>
        </w:rPr>
        <w:t>山本</w:t>
      </w:r>
      <w:r>
        <w:rPr>
          <w:rFonts w:hint="eastAsia"/>
        </w:rPr>
        <w:t>・</w:t>
      </w:r>
      <w:r>
        <w:rPr>
          <w:rFonts w:hint="eastAsia"/>
        </w:rPr>
        <w:t>前掲注</w:t>
      </w:r>
      <w:r>
        <w:rPr>
          <w:rFonts w:hint="eastAsia"/>
        </w:rPr>
        <w:t xml:space="preserve"> (</w:t>
      </w:r>
      <w:r>
        <w:t>17</w:t>
      </w:r>
      <w:r>
        <w:rPr>
          <w:rFonts w:hint="eastAsia"/>
        </w:rPr>
        <w:t>)</w:t>
      </w:r>
      <w:r>
        <w:t xml:space="preserve"> </w:t>
      </w:r>
      <w:r>
        <w:rPr>
          <w:rFonts w:hint="eastAsia"/>
        </w:rPr>
        <w:t>37～39頁、同書49～56頁には、そのような芸術実践の具体例が紹介されている。</w:t>
      </w:r>
    </w:p>
  </w:footnote>
  <w:footnote w:id="24">
    <w:p w14:paraId="66C83CEB" w14:textId="13213E93" w:rsidR="00633DA4" w:rsidRPr="009704EF" w:rsidRDefault="00633DA4">
      <w:pPr>
        <w:pStyle w:val="a9"/>
      </w:pPr>
      <w:r>
        <w:rPr>
          <w:rStyle w:val="ab"/>
        </w:rPr>
        <w:footnoteRef/>
      </w:r>
      <w:r>
        <w:t xml:space="preserve"> </w:t>
      </w:r>
      <w:r w:rsidR="005572B2">
        <w:rPr>
          <w:rFonts w:hint="eastAsia"/>
        </w:rPr>
        <w:t>同上</w:t>
      </w:r>
      <w:r>
        <w:rPr>
          <w:rFonts w:hint="eastAsia"/>
        </w:rPr>
        <w:t>91～93頁</w:t>
      </w:r>
      <w:r w:rsidR="00B72501">
        <w:rPr>
          <w:rFonts w:hint="eastAsia"/>
        </w:rPr>
        <w:t>。</w:t>
      </w:r>
    </w:p>
  </w:footnote>
  <w:footnote w:id="25">
    <w:p w14:paraId="00B53C53" w14:textId="73E35736" w:rsidR="00633DA4" w:rsidRPr="005B1D77" w:rsidRDefault="00633DA4">
      <w:pPr>
        <w:pStyle w:val="a9"/>
      </w:pPr>
      <w:r>
        <w:rPr>
          <w:rStyle w:val="ab"/>
        </w:rPr>
        <w:footnoteRef/>
      </w:r>
      <w:r>
        <w:t xml:space="preserve"> </w:t>
      </w:r>
      <w:r w:rsidR="005572B2">
        <w:rPr>
          <w:rFonts w:hint="eastAsia"/>
        </w:rPr>
        <w:t>同上</w:t>
      </w:r>
      <w:r>
        <w:rPr>
          <w:rFonts w:hint="eastAsia"/>
        </w:rPr>
        <w:t>94～97頁</w:t>
      </w:r>
      <w:r w:rsidR="00B72501">
        <w:rPr>
          <w:rFonts w:hint="eastAsia"/>
        </w:rPr>
        <w:t>。</w:t>
      </w:r>
      <w:r>
        <w:rPr>
          <w:rFonts w:hint="eastAsia"/>
        </w:rPr>
        <w:t>サンティエゴ・シエラの《段ボールに閉じ込められた支払いを受けることのできない労働者たち》は、不法入国者である労働者たちに、少ない賃金をわたして、６週間にわたり、１日４時間、息をひそめて段ボールに隠れてもらうパフォーマンスを行った。このパフォーマンスは、立場の弱い労働者たちが現実に搾取されている現実を示している。また、ジョルジュ・バタイユはドクメンタ11に《バタイユ・モニュメント》出展したが、彼は移民労働者の多い僻地に展示した。客は、彼の作品を見るためにはトルコ人運転手の運転するバスに乗らなければならず、華やかな芸術祭の裏側を見ることになった。</w:t>
      </w:r>
    </w:p>
  </w:footnote>
  <w:footnote w:id="26">
    <w:p w14:paraId="5D79CA73" w14:textId="77777777" w:rsidR="00A817EA" w:rsidRPr="00C56BEA" w:rsidRDefault="00A817EA" w:rsidP="00A817EA">
      <w:pPr>
        <w:pStyle w:val="a9"/>
      </w:pPr>
      <w:r>
        <w:rPr>
          <w:rStyle w:val="ab"/>
        </w:rPr>
        <w:footnoteRef/>
      </w:r>
      <w:r>
        <w:t xml:space="preserve"> </w:t>
      </w:r>
      <w:r>
        <w:rPr>
          <w:rFonts w:hint="eastAsia"/>
        </w:rPr>
        <w:t>同上198～210頁。</w:t>
      </w:r>
    </w:p>
  </w:footnote>
  <w:footnote w:id="27">
    <w:p w14:paraId="57AFECFF" w14:textId="4D4754BE" w:rsidR="00633DA4" w:rsidRPr="00C56BEA" w:rsidRDefault="00633DA4">
      <w:pPr>
        <w:pStyle w:val="a9"/>
      </w:pPr>
      <w:r>
        <w:rPr>
          <w:rStyle w:val="ab"/>
        </w:rPr>
        <w:footnoteRef/>
      </w:r>
      <w:r>
        <w:t xml:space="preserve"> </w:t>
      </w:r>
      <w:r w:rsidR="005572B2">
        <w:rPr>
          <w:rFonts w:hint="eastAsia"/>
        </w:rPr>
        <w:t>同上</w:t>
      </w:r>
      <w:r>
        <w:rPr>
          <w:rFonts w:hint="eastAsia"/>
        </w:rPr>
        <w:t>263～282頁</w:t>
      </w:r>
      <w:r w:rsidR="00B72501">
        <w:rPr>
          <w:rFonts w:hint="eastAsia"/>
        </w:rPr>
        <w:t>。</w:t>
      </w:r>
    </w:p>
  </w:footnote>
  <w:footnote w:id="28">
    <w:p w14:paraId="6C4971B3" w14:textId="77777777" w:rsidR="00A817EA" w:rsidRPr="00C56BEA" w:rsidRDefault="00A817EA" w:rsidP="00A817EA">
      <w:pPr>
        <w:pStyle w:val="a9"/>
      </w:pPr>
      <w:r>
        <w:rPr>
          <w:rStyle w:val="ab"/>
        </w:rPr>
        <w:footnoteRef/>
      </w:r>
      <w:r>
        <w:t xml:space="preserve"> </w:t>
      </w:r>
      <w:r>
        <w:rPr>
          <w:rFonts w:hint="eastAsia"/>
        </w:rPr>
        <w:t>同上256～260頁。</w:t>
      </w:r>
    </w:p>
  </w:footnote>
  <w:footnote w:id="29">
    <w:p w14:paraId="35C4437B" w14:textId="77777777" w:rsidR="00633DA4" w:rsidRDefault="00633DA4" w:rsidP="00DF3877">
      <w:pPr>
        <w:pStyle w:val="a9"/>
      </w:pPr>
      <w:r>
        <w:rPr>
          <w:rStyle w:val="ab"/>
        </w:rPr>
        <w:footnoteRef/>
      </w:r>
      <w:r>
        <w:t xml:space="preserve"> </w:t>
      </w:r>
      <w:r>
        <w:rPr>
          <w:rFonts w:hint="eastAsia"/>
        </w:rPr>
        <w:t>ここで検討する「わいせつ」表現は、上記で紹介した、ドイツ憲法裁判所が示した芸術のメルクマールに当てはまるようなものであることを前提として議論する。芸術に当てはまる「わいせつ」表現の限界については、紙幅と筆者の能力の都合上、割愛することを許されたい。</w:t>
      </w:r>
    </w:p>
  </w:footnote>
  <w:footnote w:id="30">
    <w:p w14:paraId="038AFAC0" w14:textId="0406732D" w:rsidR="008118B7" w:rsidRPr="008118B7" w:rsidRDefault="008118B7">
      <w:pPr>
        <w:pStyle w:val="a9"/>
        <w:rPr>
          <w:rFonts w:hint="eastAsia"/>
        </w:rPr>
      </w:pPr>
      <w:r>
        <w:rPr>
          <w:rStyle w:val="ab"/>
        </w:rPr>
        <w:footnoteRef/>
      </w:r>
      <w:r>
        <w:t xml:space="preserve"> </w:t>
      </w:r>
      <w:r>
        <w:rPr>
          <w:rFonts w:hint="eastAsia"/>
        </w:rPr>
        <w:t>最一令和２年７月16日裁判所HP参照 (平成29年(あ)第829号)。</w:t>
      </w:r>
    </w:p>
  </w:footnote>
  <w:footnote w:id="31">
    <w:p w14:paraId="65886CA6" w14:textId="689E827C" w:rsidR="00AA4FE0" w:rsidRPr="00AA4FE0" w:rsidRDefault="00AA4FE0">
      <w:pPr>
        <w:pStyle w:val="a9"/>
      </w:pPr>
      <w:r>
        <w:rPr>
          <w:rStyle w:val="ab"/>
        </w:rPr>
        <w:footnoteRef/>
      </w:r>
      <w:r>
        <w:t xml:space="preserve"> </w:t>
      </w:r>
      <w:r>
        <w:rPr>
          <w:rFonts w:hint="eastAsia"/>
        </w:rPr>
        <w:t>ろくでなし子、「わたしの最高裁判決につきまして」(</w:t>
      </w:r>
      <w:r w:rsidRPr="00AA4FE0">
        <w:rPr>
          <w:color w:val="000000" w:themeColor="text1"/>
        </w:rPr>
        <w:t>https://6d745.com/2020/07/16/%E3%82%8F%E3%81%9F%E3%81%97%E3%81%AE%E6%9C%80%E9%AB%98%E8%A3%81%E5%88%A4%E6%B1%BA%E3%81%AB%E3%81%A4%E3%81%8D%E3%81%BE%E3%81%97%E3%81%A6/</w:t>
      </w:r>
      <w:r w:rsidRPr="00AA4FE0">
        <w:rPr>
          <w:rFonts w:hint="eastAsia"/>
          <w:color w:val="000000" w:themeColor="text1"/>
        </w:rPr>
        <w:t>)</w:t>
      </w:r>
      <w:r w:rsidRPr="00AA4FE0">
        <w:rPr>
          <w:color w:val="000000" w:themeColor="text1"/>
        </w:rPr>
        <w:t xml:space="preserve"> </w:t>
      </w:r>
      <w:r w:rsidRPr="00AA4FE0">
        <w:rPr>
          <w:rFonts w:hint="eastAsia"/>
          <w:color w:val="000000" w:themeColor="text1"/>
        </w:rPr>
        <w:t>(2020年８月25</w:t>
      </w:r>
      <w:r>
        <w:rPr>
          <w:rFonts w:hint="eastAsia"/>
        </w:rPr>
        <w:t>日確認)</w:t>
      </w:r>
      <w:r w:rsidR="00B72501">
        <w:rPr>
          <w:rFonts w:hint="eastAsia"/>
        </w:rPr>
        <w:t>。</w:t>
      </w:r>
    </w:p>
  </w:footnote>
  <w:footnote w:id="32">
    <w:p w14:paraId="119510DE" w14:textId="2400BF97" w:rsidR="00633DA4" w:rsidRPr="00311885" w:rsidRDefault="00633DA4">
      <w:pPr>
        <w:pStyle w:val="a9"/>
      </w:pPr>
      <w:r>
        <w:rPr>
          <w:rStyle w:val="ab"/>
        </w:rPr>
        <w:footnoteRef/>
      </w:r>
      <w:r>
        <w:t xml:space="preserve"> </w:t>
      </w:r>
      <w:r w:rsidR="00AB57DF">
        <w:rPr>
          <w:rFonts w:hint="eastAsia"/>
        </w:rPr>
        <w:t>松井みどり、『アート：“芸術”が終わった後の“アート”』(朝日出版、2003年)28-29頁</w:t>
      </w:r>
      <w:r w:rsidR="00B72501">
        <w:rPr>
          <w:rFonts w:hint="eastAsia"/>
        </w:rPr>
        <w:t>。</w:t>
      </w:r>
    </w:p>
  </w:footnote>
  <w:footnote w:id="33">
    <w:p w14:paraId="3E212D5A" w14:textId="77777777" w:rsidR="00A817EA" w:rsidRPr="00311885" w:rsidRDefault="00A817EA" w:rsidP="00A817EA">
      <w:pPr>
        <w:pStyle w:val="a9"/>
      </w:pPr>
      <w:r>
        <w:rPr>
          <w:rStyle w:val="ab"/>
        </w:rPr>
        <w:footnoteRef/>
      </w:r>
      <w:r>
        <w:t xml:space="preserve"> </w:t>
      </w:r>
      <w:r>
        <w:rPr>
          <w:rFonts w:hint="eastAsia"/>
        </w:rPr>
        <w:t>美術手帖1081号(美術出版社、2020年)58-61頁。</w:t>
      </w:r>
    </w:p>
  </w:footnote>
  <w:footnote w:id="34">
    <w:p w14:paraId="74A40CD9" w14:textId="09A2E4FD" w:rsidR="00A817EA" w:rsidRPr="00311885" w:rsidRDefault="00A817EA" w:rsidP="00A817EA">
      <w:pPr>
        <w:pStyle w:val="a9"/>
      </w:pPr>
      <w:r>
        <w:rPr>
          <w:rStyle w:val="ab"/>
        </w:rPr>
        <w:footnoteRef/>
      </w:r>
      <w:r>
        <w:t xml:space="preserve"> </w:t>
      </w:r>
      <w:r w:rsidR="008118B7">
        <w:rPr>
          <w:rFonts w:hint="eastAsia"/>
        </w:rPr>
        <w:t>王崇橋「</w:t>
      </w:r>
      <w:r>
        <w:rPr>
          <w:rFonts w:hint="eastAsia"/>
        </w:rPr>
        <w:t>香港の美術界は「国家安全法」にどのように反応しているのか？「アートによる抵抗は恐怖では消えない」」</w:t>
      </w:r>
      <w:r w:rsidR="00944A6B">
        <w:rPr>
          <w:rFonts w:hint="eastAsia"/>
        </w:rPr>
        <w:t>ウェブ版美術手帖2020年８月２日</w:t>
      </w:r>
      <w:r>
        <w:rPr>
          <w:rFonts w:hint="eastAsia"/>
        </w:rPr>
        <w:t>(</w:t>
      </w:r>
      <w:r w:rsidRPr="00311885">
        <w:t>https://bijutsutecho.com/magazine/insight/22415</w:t>
      </w:r>
      <w:r>
        <w:rPr>
          <w:rFonts w:hint="eastAsia"/>
        </w:rPr>
        <w:t>)(2020年８月25日確認)。</w:t>
      </w:r>
    </w:p>
  </w:footnote>
  <w:footnote w:id="35">
    <w:p w14:paraId="640EFBD1" w14:textId="7FB6A7E6" w:rsidR="00633DA4" w:rsidRPr="004121E6" w:rsidRDefault="00633DA4">
      <w:pPr>
        <w:pStyle w:val="a9"/>
      </w:pPr>
      <w:r>
        <w:rPr>
          <w:rStyle w:val="ab"/>
        </w:rPr>
        <w:footnoteRef/>
      </w:r>
      <w:r>
        <w:t xml:space="preserve"> </w:t>
      </w:r>
      <w:r w:rsidR="002141FA">
        <w:rPr>
          <w:rFonts w:hint="eastAsia"/>
        </w:rPr>
        <w:t>山本</w:t>
      </w:r>
      <w:r w:rsidR="002141FA">
        <w:rPr>
          <w:rFonts w:hint="eastAsia"/>
        </w:rPr>
        <w:t>・</w:t>
      </w:r>
      <w:r w:rsidR="005572B2">
        <w:rPr>
          <w:rFonts w:hint="eastAsia"/>
        </w:rPr>
        <w:t>前掲注</w:t>
      </w:r>
      <w:r w:rsidR="00A817EA">
        <w:rPr>
          <w:rFonts w:hint="eastAsia"/>
        </w:rPr>
        <w:t xml:space="preserve"> (</w:t>
      </w:r>
      <w:r w:rsidR="005572B2">
        <w:rPr>
          <w:rFonts w:hint="eastAsia"/>
        </w:rPr>
        <w:t>17</w:t>
      </w:r>
      <w:r w:rsidR="002141FA">
        <w:t xml:space="preserve">) </w:t>
      </w:r>
      <w:r>
        <w:rPr>
          <w:rFonts w:hint="eastAsia"/>
        </w:rPr>
        <w:t>89頁</w:t>
      </w:r>
      <w:r w:rsidR="00494179">
        <w:rPr>
          <w:rFonts w:hint="eastAsia"/>
        </w:rPr>
        <w:t>。</w:t>
      </w:r>
    </w:p>
  </w:footnote>
  <w:footnote w:id="36">
    <w:p w14:paraId="180F5349" w14:textId="38FD184E" w:rsidR="00633DA4" w:rsidRPr="004121E6" w:rsidRDefault="00633DA4">
      <w:pPr>
        <w:pStyle w:val="a9"/>
      </w:pPr>
      <w:r>
        <w:rPr>
          <w:rStyle w:val="ab"/>
        </w:rPr>
        <w:footnoteRef/>
      </w:r>
      <w:r>
        <w:t xml:space="preserve"> </w:t>
      </w:r>
      <w:r w:rsidR="002141FA">
        <w:rPr>
          <w:rFonts w:hint="eastAsia"/>
        </w:rPr>
        <w:t>松井・</w:t>
      </w:r>
      <w:r w:rsidR="00A07772">
        <w:rPr>
          <w:rFonts w:hint="eastAsia"/>
        </w:rPr>
        <w:t>前掲注</w:t>
      </w:r>
      <w:r w:rsidR="002141FA">
        <w:rPr>
          <w:rFonts w:hint="eastAsia"/>
        </w:rPr>
        <w:t xml:space="preserve"> (</w:t>
      </w:r>
      <w:r w:rsidR="00A07772">
        <w:rPr>
          <w:rFonts w:hint="eastAsia"/>
        </w:rPr>
        <w:t>31</w:t>
      </w:r>
      <w:r w:rsidR="002141FA">
        <w:rPr>
          <w:rFonts w:hint="eastAsia"/>
        </w:rPr>
        <w:t>)</w:t>
      </w:r>
      <w:r w:rsidR="002141FA">
        <w:t xml:space="preserve"> </w:t>
      </w:r>
      <w:r>
        <w:rPr>
          <w:rFonts w:hint="eastAsia"/>
        </w:rPr>
        <w:t>83頁</w:t>
      </w:r>
      <w:r w:rsidR="00494179">
        <w:rPr>
          <w:rFonts w:hint="eastAsia"/>
        </w:rPr>
        <w:t>。</w:t>
      </w:r>
    </w:p>
  </w:footnote>
  <w:footnote w:id="37">
    <w:p w14:paraId="1A70B5F8" w14:textId="6466ADC4" w:rsidR="00633DA4" w:rsidRPr="00311885" w:rsidRDefault="00633DA4">
      <w:pPr>
        <w:pStyle w:val="a9"/>
      </w:pPr>
      <w:r>
        <w:rPr>
          <w:rStyle w:val="ab"/>
        </w:rPr>
        <w:footnoteRef/>
      </w:r>
      <w:r>
        <w:t xml:space="preserve"> </w:t>
      </w:r>
      <w:r w:rsidR="002141FA">
        <w:rPr>
          <w:rFonts w:hint="eastAsia"/>
        </w:rPr>
        <w:t>山本</w:t>
      </w:r>
      <w:r w:rsidR="002141FA">
        <w:rPr>
          <w:rFonts w:hint="eastAsia"/>
        </w:rPr>
        <w:t>・</w:t>
      </w:r>
      <w:r w:rsidR="00A07772">
        <w:rPr>
          <w:rFonts w:hint="eastAsia"/>
        </w:rPr>
        <w:t>前掲注</w:t>
      </w:r>
      <w:r w:rsidR="002141FA">
        <w:rPr>
          <w:rFonts w:hint="eastAsia"/>
        </w:rPr>
        <w:t xml:space="preserve"> (17)</w:t>
      </w:r>
      <w:r w:rsidR="002141FA">
        <w:t xml:space="preserve"> </w:t>
      </w:r>
      <w:r w:rsidR="00494179">
        <w:rPr>
          <w:rFonts w:hint="eastAsia"/>
        </w:rPr>
        <w:t>295-296頁。</w:t>
      </w:r>
    </w:p>
  </w:footnote>
  <w:footnote w:id="38">
    <w:p w14:paraId="151C7B57" w14:textId="12C8BE4C" w:rsidR="00633DA4" w:rsidRPr="00655A6B" w:rsidRDefault="00633DA4">
      <w:pPr>
        <w:pStyle w:val="a9"/>
      </w:pPr>
      <w:r>
        <w:rPr>
          <w:rStyle w:val="ab"/>
        </w:rPr>
        <w:footnoteRef/>
      </w:r>
      <w:r>
        <w:t xml:space="preserve"> </w:t>
      </w:r>
      <w:r w:rsidR="00E77CF2">
        <w:rPr>
          <w:rFonts w:hint="eastAsia"/>
        </w:rPr>
        <w:t>初宿正典、「憲法と芸術の自由　学問の自由との関連にも触れながら」</w:t>
      </w:r>
      <w:r>
        <w:rPr>
          <w:rFonts w:hint="eastAsia"/>
        </w:rPr>
        <w:t>京都大学法学部百周年記念論文集刊行委員会編</w:t>
      </w:r>
      <w:r w:rsidR="00E77CF2">
        <w:rPr>
          <w:rFonts w:hint="eastAsia"/>
        </w:rPr>
        <w:t>『</w:t>
      </w:r>
      <w:r>
        <w:rPr>
          <w:rFonts w:hint="eastAsia"/>
        </w:rPr>
        <w:t>創立百</w:t>
      </w:r>
      <w:r w:rsidR="00E77CF2">
        <w:rPr>
          <w:rFonts w:hint="eastAsia"/>
        </w:rPr>
        <w:t>周年</w:t>
      </w:r>
      <w:r>
        <w:rPr>
          <w:rFonts w:hint="eastAsia"/>
        </w:rPr>
        <w:t>論文集</w:t>
      </w:r>
      <w:r w:rsidR="00E77CF2">
        <w:rPr>
          <w:rFonts w:hint="eastAsia"/>
        </w:rPr>
        <w:t>第２巻』</w:t>
      </w:r>
      <w:r w:rsidR="00B42A1F">
        <w:rPr>
          <w:rFonts w:hint="eastAsia"/>
        </w:rPr>
        <w:t>(有斐閣、1999年)</w:t>
      </w:r>
      <w:r w:rsidR="002044B2">
        <w:rPr>
          <w:rFonts w:hint="eastAsia"/>
        </w:rPr>
        <w:t>124-125頁</w:t>
      </w:r>
      <w:r w:rsidR="00494179">
        <w:rPr>
          <w:rFonts w:hint="eastAsia"/>
        </w:rPr>
        <w:t>。</w:t>
      </w:r>
    </w:p>
  </w:footnote>
  <w:footnote w:id="39">
    <w:p w14:paraId="3116A94E" w14:textId="53B2F0B2" w:rsidR="00633DA4" w:rsidRPr="00655A6B" w:rsidRDefault="00633DA4">
      <w:pPr>
        <w:pStyle w:val="a9"/>
      </w:pPr>
      <w:r>
        <w:rPr>
          <w:rStyle w:val="ab"/>
        </w:rPr>
        <w:footnoteRef/>
      </w:r>
      <w:r>
        <w:t xml:space="preserve"> </w:t>
      </w:r>
      <w:r w:rsidR="002044B2">
        <w:rPr>
          <w:rFonts w:hint="eastAsia"/>
        </w:rPr>
        <w:t>BVerfGE</w:t>
      </w:r>
      <w:r w:rsidR="002044B2">
        <w:t xml:space="preserve"> 30, 173[189 u. 193]</w:t>
      </w:r>
      <w:r w:rsidR="00494179">
        <w:t>.</w:t>
      </w:r>
    </w:p>
  </w:footnote>
  <w:footnote w:id="40">
    <w:p w14:paraId="2E208436" w14:textId="3041F97E" w:rsidR="00A817EA" w:rsidRPr="00311885" w:rsidRDefault="00A817EA" w:rsidP="00A817EA">
      <w:pPr>
        <w:pStyle w:val="a9"/>
      </w:pPr>
      <w:r>
        <w:rPr>
          <w:rStyle w:val="ab"/>
        </w:rPr>
        <w:footnoteRef/>
      </w:r>
      <w:r>
        <w:t xml:space="preserve"> </w:t>
      </w:r>
      <w:r w:rsidR="002141FA">
        <w:rPr>
          <w:rFonts w:hint="eastAsia"/>
        </w:rPr>
        <w:t>山本</w:t>
      </w:r>
      <w:r w:rsidR="002141FA">
        <w:rPr>
          <w:rFonts w:hint="eastAsia"/>
        </w:rPr>
        <w:t>・</w:t>
      </w:r>
      <w:r>
        <w:rPr>
          <w:rFonts w:hint="eastAsia"/>
        </w:rPr>
        <w:t>前掲注</w:t>
      </w:r>
      <w:r w:rsidR="002141FA">
        <w:rPr>
          <w:rFonts w:hint="eastAsia"/>
        </w:rPr>
        <w:t xml:space="preserve"> (</w:t>
      </w:r>
      <w:r>
        <w:rPr>
          <w:rFonts w:hint="eastAsia"/>
        </w:rPr>
        <w:t>17</w:t>
      </w:r>
      <w:r w:rsidR="002141FA">
        <w:rPr>
          <w:rFonts w:hint="eastAsia"/>
        </w:rPr>
        <w:t>)</w:t>
      </w:r>
      <w:r w:rsidR="002141FA">
        <w:t xml:space="preserve"> </w:t>
      </w:r>
      <w:r>
        <w:rPr>
          <w:rFonts w:hint="eastAsia"/>
        </w:rPr>
        <w:t>300-301頁。</w:t>
      </w:r>
    </w:p>
  </w:footnote>
  <w:footnote w:id="41">
    <w:p w14:paraId="4FE07577" w14:textId="400319CA" w:rsidR="00633DA4" w:rsidRDefault="00633DA4">
      <w:pPr>
        <w:pStyle w:val="a9"/>
      </w:pPr>
      <w:r>
        <w:rPr>
          <w:rStyle w:val="ab"/>
        </w:rPr>
        <w:footnoteRef/>
      </w:r>
      <w:r>
        <w:t xml:space="preserve"> </w:t>
      </w:r>
      <w:r>
        <w:rPr>
          <w:rFonts w:hint="eastAsia"/>
        </w:rPr>
        <w:t>駒村圭吾、「憲法問題としての芸術—表現の自由保障“生誕100年”に寄せて」</w:t>
      </w:r>
      <w:r w:rsidR="00B42A1F">
        <w:rPr>
          <w:rFonts w:hint="eastAsia"/>
        </w:rPr>
        <w:t>法学セミナー786号(2020)</w:t>
      </w:r>
      <w:r>
        <w:rPr>
          <w:rFonts w:hint="eastAsia"/>
        </w:rPr>
        <w:t>13頁</w:t>
      </w:r>
      <w:r w:rsidR="00494179">
        <w:rPr>
          <w:rFonts w:hint="eastAsia"/>
        </w:rPr>
        <w:t>。</w:t>
      </w:r>
    </w:p>
  </w:footnote>
  <w:footnote w:id="42">
    <w:p w14:paraId="029346EE" w14:textId="64C3933A" w:rsidR="00633DA4" w:rsidRDefault="00633DA4">
      <w:pPr>
        <w:pStyle w:val="a9"/>
      </w:pPr>
      <w:r>
        <w:rPr>
          <w:rStyle w:val="ab"/>
        </w:rPr>
        <w:footnoteRef/>
      </w:r>
      <w:r>
        <w:t xml:space="preserve"> </w:t>
      </w:r>
      <w:r w:rsidR="00A07772">
        <w:rPr>
          <w:rFonts w:hint="eastAsia"/>
        </w:rPr>
        <w:t>同</w:t>
      </w:r>
      <w:r w:rsidR="00944F73">
        <w:rPr>
          <w:rFonts w:hint="eastAsia"/>
        </w:rPr>
        <w:t>上</w:t>
      </w:r>
      <w:r w:rsidR="00494179">
        <w:rPr>
          <w:rFonts w:hint="eastAsia"/>
        </w:rPr>
        <w:t>。</w:t>
      </w:r>
    </w:p>
  </w:footnote>
  <w:footnote w:id="43">
    <w:p w14:paraId="3E4BB6E4" w14:textId="77777777" w:rsidR="00A817EA" w:rsidRPr="00991297" w:rsidRDefault="00A817EA" w:rsidP="00A817EA">
      <w:r w:rsidRPr="00991297">
        <w:rPr>
          <w:rStyle w:val="ab"/>
          <w:szCs w:val="21"/>
        </w:rPr>
        <w:footnoteRef/>
      </w:r>
      <w:r w:rsidRPr="00991297">
        <w:t xml:space="preserve"> </w:t>
      </w:r>
      <w:r>
        <w:rPr>
          <w:rFonts w:hint="eastAsia"/>
        </w:rPr>
        <w:t>吉荒夕記、「</w:t>
      </w:r>
      <w:r w:rsidRPr="00991297">
        <w:t>盗難相次ぐバンクシー作品。ストリートアートはどう守られるべきか？</w:t>
      </w:r>
      <w:r>
        <w:rPr>
          <w:rFonts w:hint="eastAsia"/>
        </w:rPr>
        <w:t>」(</w:t>
      </w:r>
      <w:r w:rsidRPr="00E77CF2">
        <w:t>https://bijutsutecho.com/magazine/insight/20674</w:t>
      </w:r>
      <w:r w:rsidRPr="00E77CF2">
        <w:rPr>
          <w:rFonts w:hint="eastAsia"/>
        </w:rPr>
        <w:t>)</w:t>
      </w:r>
      <w:r w:rsidRPr="00E77CF2">
        <w:t xml:space="preserve"> </w:t>
      </w:r>
      <w:r w:rsidRPr="00E77CF2">
        <w:rPr>
          <w:rFonts w:hint="eastAsia"/>
        </w:rPr>
        <w:t>(2020</w:t>
      </w:r>
      <w:r>
        <w:rPr>
          <w:rFonts w:hint="eastAsia"/>
        </w:rPr>
        <w:t>年８月2</w:t>
      </w:r>
      <w:r>
        <w:t>5</w:t>
      </w:r>
      <w:r>
        <w:rPr>
          <w:rFonts w:hint="eastAsia"/>
        </w:rPr>
        <w:t>日確認)。</w:t>
      </w:r>
    </w:p>
  </w:footnote>
  <w:footnote w:id="44">
    <w:p w14:paraId="739C13F7" w14:textId="77777777" w:rsidR="00A817EA" w:rsidRDefault="00A817EA" w:rsidP="00A817EA">
      <w:pPr>
        <w:pStyle w:val="a9"/>
      </w:pPr>
      <w:r>
        <w:rPr>
          <w:rStyle w:val="ab"/>
        </w:rPr>
        <w:footnoteRef/>
      </w:r>
      <w:r>
        <w:t xml:space="preserve"> </w:t>
      </w:r>
      <w:r>
        <w:rPr>
          <w:rFonts w:hint="eastAsia"/>
        </w:rPr>
        <w:t>黒沢浩『博物館教育論』(講談社、2015年)88-95頁。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savePreviewPicture/>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36"/>
    <w:rsid w:val="00001EE9"/>
    <w:rsid w:val="00115FD3"/>
    <w:rsid w:val="00156B71"/>
    <w:rsid w:val="00160E58"/>
    <w:rsid w:val="001A6AD0"/>
    <w:rsid w:val="001F39D6"/>
    <w:rsid w:val="001F7AE4"/>
    <w:rsid w:val="002044B2"/>
    <w:rsid w:val="002141FA"/>
    <w:rsid w:val="00237A8E"/>
    <w:rsid w:val="00300A5E"/>
    <w:rsid w:val="00311885"/>
    <w:rsid w:val="00385958"/>
    <w:rsid w:val="003D24D7"/>
    <w:rsid w:val="003F4CB4"/>
    <w:rsid w:val="00411C3F"/>
    <w:rsid w:val="004121E6"/>
    <w:rsid w:val="00440E17"/>
    <w:rsid w:val="0046503B"/>
    <w:rsid w:val="00476053"/>
    <w:rsid w:val="00494179"/>
    <w:rsid w:val="00494F22"/>
    <w:rsid w:val="004A51D6"/>
    <w:rsid w:val="005572B2"/>
    <w:rsid w:val="005B08CC"/>
    <w:rsid w:val="005B1D77"/>
    <w:rsid w:val="005F5497"/>
    <w:rsid w:val="00602E2B"/>
    <w:rsid w:val="006334A8"/>
    <w:rsid w:val="00633DA4"/>
    <w:rsid w:val="00655A6B"/>
    <w:rsid w:val="00692999"/>
    <w:rsid w:val="006A6EAA"/>
    <w:rsid w:val="007108A5"/>
    <w:rsid w:val="00722FE2"/>
    <w:rsid w:val="00732C36"/>
    <w:rsid w:val="007E416C"/>
    <w:rsid w:val="008118B7"/>
    <w:rsid w:val="00814CFD"/>
    <w:rsid w:val="008218EA"/>
    <w:rsid w:val="00825119"/>
    <w:rsid w:val="00841D81"/>
    <w:rsid w:val="00845FCB"/>
    <w:rsid w:val="008713B7"/>
    <w:rsid w:val="00884B29"/>
    <w:rsid w:val="008D0B50"/>
    <w:rsid w:val="0090191F"/>
    <w:rsid w:val="00902C74"/>
    <w:rsid w:val="009050AC"/>
    <w:rsid w:val="00944A6B"/>
    <w:rsid w:val="00944F73"/>
    <w:rsid w:val="009704EF"/>
    <w:rsid w:val="00991297"/>
    <w:rsid w:val="009E0B2A"/>
    <w:rsid w:val="00A042B4"/>
    <w:rsid w:val="00A07772"/>
    <w:rsid w:val="00A701FE"/>
    <w:rsid w:val="00A817EA"/>
    <w:rsid w:val="00A85203"/>
    <w:rsid w:val="00AA4FE0"/>
    <w:rsid w:val="00AB57DF"/>
    <w:rsid w:val="00AD1AAC"/>
    <w:rsid w:val="00B17707"/>
    <w:rsid w:val="00B42A1F"/>
    <w:rsid w:val="00B72501"/>
    <w:rsid w:val="00B85B7B"/>
    <w:rsid w:val="00C00E3D"/>
    <w:rsid w:val="00C47F3F"/>
    <w:rsid w:val="00C53609"/>
    <w:rsid w:val="00C56BEA"/>
    <w:rsid w:val="00C90588"/>
    <w:rsid w:val="00D62595"/>
    <w:rsid w:val="00D62FFE"/>
    <w:rsid w:val="00D854C6"/>
    <w:rsid w:val="00DB3B70"/>
    <w:rsid w:val="00DF3877"/>
    <w:rsid w:val="00E1192F"/>
    <w:rsid w:val="00E77CF2"/>
    <w:rsid w:val="00E84EC4"/>
    <w:rsid w:val="00EC21E1"/>
    <w:rsid w:val="00ED2F09"/>
    <w:rsid w:val="00F7185E"/>
    <w:rsid w:val="00FA3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4:docId w14:val="3C72006B"/>
  <w15:chartTrackingRefBased/>
  <w15:docId w15:val="{C6004B8F-9CBE-48F0-AB6F-26842EC1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2C36"/>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692999"/>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32C36"/>
    <w:rPr>
      <w:rFonts w:asciiTheme="majorHAnsi" w:eastAsiaTheme="majorEastAsia" w:hAnsiTheme="majorHAnsi" w:cstheme="majorBidi"/>
      <w:sz w:val="24"/>
      <w:szCs w:val="24"/>
    </w:rPr>
  </w:style>
  <w:style w:type="character" w:customStyle="1" w:styleId="20">
    <w:name w:val="見出し 2 (文字)"/>
    <w:basedOn w:val="a0"/>
    <w:link w:val="2"/>
    <w:uiPriority w:val="9"/>
    <w:rsid w:val="00692999"/>
    <w:rPr>
      <w:rFonts w:asciiTheme="majorHAnsi" w:eastAsiaTheme="majorEastAsia" w:hAnsiTheme="majorHAnsi" w:cstheme="majorBidi"/>
    </w:rPr>
  </w:style>
  <w:style w:type="paragraph" w:styleId="a3">
    <w:name w:val="header"/>
    <w:basedOn w:val="a"/>
    <w:link w:val="a4"/>
    <w:uiPriority w:val="99"/>
    <w:unhideWhenUsed/>
    <w:rsid w:val="00692999"/>
    <w:pPr>
      <w:tabs>
        <w:tab w:val="center" w:pos="4252"/>
        <w:tab w:val="right" w:pos="8504"/>
      </w:tabs>
      <w:snapToGrid w:val="0"/>
    </w:pPr>
  </w:style>
  <w:style w:type="character" w:customStyle="1" w:styleId="a4">
    <w:name w:val="ヘッダー (文字)"/>
    <w:basedOn w:val="a0"/>
    <w:link w:val="a3"/>
    <w:uiPriority w:val="99"/>
    <w:rsid w:val="00692999"/>
  </w:style>
  <w:style w:type="paragraph" w:styleId="a5">
    <w:name w:val="footer"/>
    <w:basedOn w:val="a"/>
    <w:link w:val="a6"/>
    <w:uiPriority w:val="99"/>
    <w:unhideWhenUsed/>
    <w:rsid w:val="00692999"/>
    <w:pPr>
      <w:tabs>
        <w:tab w:val="center" w:pos="4252"/>
        <w:tab w:val="right" w:pos="8504"/>
      </w:tabs>
      <w:snapToGrid w:val="0"/>
    </w:pPr>
  </w:style>
  <w:style w:type="character" w:customStyle="1" w:styleId="a6">
    <w:name w:val="フッター (文字)"/>
    <w:basedOn w:val="a0"/>
    <w:link w:val="a5"/>
    <w:uiPriority w:val="99"/>
    <w:rsid w:val="00692999"/>
  </w:style>
  <w:style w:type="paragraph" w:styleId="a7">
    <w:name w:val="Title"/>
    <w:basedOn w:val="a"/>
    <w:next w:val="a"/>
    <w:link w:val="a8"/>
    <w:uiPriority w:val="10"/>
    <w:qFormat/>
    <w:rsid w:val="00692999"/>
    <w:pPr>
      <w:spacing w:before="240" w:after="120"/>
      <w:jc w:val="center"/>
      <w:outlineLvl w:val="0"/>
    </w:pPr>
    <w:rPr>
      <w:rFonts w:asciiTheme="majorHAnsi" w:eastAsiaTheme="majorEastAsia" w:hAnsiTheme="majorHAnsi" w:cstheme="majorBidi"/>
      <w:sz w:val="32"/>
      <w:szCs w:val="32"/>
    </w:rPr>
  </w:style>
  <w:style w:type="character" w:customStyle="1" w:styleId="a8">
    <w:name w:val="表題 (文字)"/>
    <w:basedOn w:val="a0"/>
    <w:link w:val="a7"/>
    <w:uiPriority w:val="10"/>
    <w:rsid w:val="00692999"/>
    <w:rPr>
      <w:rFonts w:asciiTheme="majorHAnsi" w:eastAsiaTheme="majorEastAsia" w:hAnsiTheme="majorHAnsi" w:cstheme="majorBidi"/>
      <w:sz w:val="32"/>
      <w:szCs w:val="32"/>
    </w:rPr>
  </w:style>
  <w:style w:type="paragraph" w:styleId="a9">
    <w:name w:val="footnote text"/>
    <w:basedOn w:val="a"/>
    <w:link w:val="aa"/>
    <w:uiPriority w:val="99"/>
    <w:semiHidden/>
    <w:unhideWhenUsed/>
    <w:rsid w:val="00E1192F"/>
    <w:pPr>
      <w:snapToGrid w:val="0"/>
      <w:jc w:val="left"/>
    </w:pPr>
  </w:style>
  <w:style w:type="character" w:customStyle="1" w:styleId="aa">
    <w:name w:val="脚注文字列 (文字)"/>
    <w:basedOn w:val="a0"/>
    <w:link w:val="a9"/>
    <w:uiPriority w:val="99"/>
    <w:semiHidden/>
    <w:rsid w:val="00E1192F"/>
  </w:style>
  <w:style w:type="character" w:styleId="ab">
    <w:name w:val="footnote reference"/>
    <w:basedOn w:val="a0"/>
    <w:uiPriority w:val="99"/>
    <w:semiHidden/>
    <w:unhideWhenUsed/>
    <w:rsid w:val="00E1192F"/>
    <w:rPr>
      <w:vertAlign w:val="superscript"/>
    </w:rPr>
  </w:style>
  <w:style w:type="character" w:styleId="ac">
    <w:name w:val="annotation reference"/>
    <w:basedOn w:val="a0"/>
    <w:uiPriority w:val="99"/>
    <w:semiHidden/>
    <w:unhideWhenUsed/>
    <w:rsid w:val="006A6EAA"/>
    <w:rPr>
      <w:sz w:val="18"/>
      <w:szCs w:val="18"/>
    </w:rPr>
  </w:style>
  <w:style w:type="paragraph" w:styleId="ad">
    <w:name w:val="annotation text"/>
    <w:basedOn w:val="a"/>
    <w:link w:val="ae"/>
    <w:uiPriority w:val="99"/>
    <w:semiHidden/>
    <w:unhideWhenUsed/>
    <w:rsid w:val="006A6EAA"/>
    <w:pPr>
      <w:jc w:val="left"/>
    </w:pPr>
  </w:style>
  <w:style w:type="character" w:customStyle="1" w:styleId="ae">
    <w:name w:val="コメント文字列 (文字)"/>
    <w:basedOn w:val="a0"/>
    <w:link w:val="ad"/>
    <w:uiPriority w:val="99"/>
    <w:semiHidden/>
    <w:rsid w:val="006A6EAA"/>
  </w:style>
  <w:style w:type="paragraph" w:styleId="af">
    <w:name w:val="annotation subject"/>
    <w:basedOn w:val="ad"/>
    <w:next w:val="ad"/>
    <w:link w:val="af0"/>
    <w:uiPriority w:val="99"/>
    <w:semiHidden/>
    <w:unhideWhenUsed/>
    <w:rsid w:val="006A6EAA"/>
    <w:rPr>
      <w:b/>
      <w:bCs/>
    </w:rPr>
  </w:style>
  <w:style w:type="character" w:customStyle="1" w:styleId="af0">
    <w:name w:val="コメント内容 (文字)"/>
    <w:basedOn w:val="ae"/>
    <w:link w:val="af"/>
    <w:uiPriority w:val="99"/>
    <w:semiHidden/>
    <w:rsid w:val="006A6EAA"/>
    <w:rPr>
      <w:b/>
      <w:bCs/>
    </w:rPr>
  </w:style>
  <w:style w:type="paragraph" w:styleId="af1">
    <w:name w:val="Balloon Text"/>
    <w:basedOn w:val="a"/>
    <w:link w:val="af2"/>
    <w:uiPriority w:val="99"/>
    <w:semiHidden/>
    <w:unhideWhenUsed/>
    <w:rsid w:val="006A6EAA"/>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6A6EAA"/>
    <w:rPr>
      <w:rFonts w:asciiTheme="majorHAnsi" w:eastAsiaTheme="majorEastAsia" w:hAnsiTheme="majorHAnsi" w:cstheme="majorBidi"/>
      <w:sz w:val="18"/>
      <w:szCs w:val="18"/>
    </w:rPr>
  </w:style>
  <w:style w:type="character" w:styleId="af3">
    <w:name w:val="Hyperlink"/>
    <w:basedOn w:val="a0"/>
    <w:uiPriority w:val="99"/>
    <w:unhideWhenUsed/>
    <w:rsid w:val="00311885"/>
    <w:rPr>
      <w:color w:val="0000FF"/>
      <w:u w:val="single"/>
    </w:rPr>
  </w:style>
  <w:style w:type="character" w:styleId="af4">
    <w:name w:val="Unresolved Mention"/>
    <w:basedOn w:val="a0"/>
    <w:uiPriority w:val="99"/>
    <w:semiHidden/>
    <w:unhideWhenUsed/>
    <w:rsid w:val="00E77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801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16766-B963-4CF5-A3AF-8D981A785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10131</Words>
  <Characters>247</Characters>
  <Application>Microsoft Office Word</Application>
  <DocSecurity>0</DocSecurity>
  <Lines>2</Lines>
  <Paragraphs>20</Paragraphs>
  <ScaleCrop>false</ScaleCrop>
  <HeadingPairs>
    <vt:vector size="4" baseType="variant">
      <vt:variant>
        <vt:lpstr>タイトル</vt:lpstr>
      </vt:variant>
      <vt:variant>
        <vt:i4>1</vt:i4>
      </vt:variant>
      <vt:variant>
        <vt:lpstr>見出し</vt:lpstr>
      </vt:variant>
      <vt:variant>
        <vt:i4>15</vt:i4>
      </vt:variant>
    </vt:vector>
  </HeadingPairs>
  <TitlesOfParts>
    <vt:vector size="16" baseType="lpstr">
      <vt:lpstr/>
      <vt:lpstr>芸術の自由の保障根拠</vt:lpstr>
      <vt:lpstr>はじめに</vt:lpstr>
      <vt:lpstr>１．　表現の自由一般の保障根拠</vt:lpstr>
      <vt:lpstr>    (１) 自己統治</vt:lpstr>
      <vt:lpstr>    (２) 表現の自由市場論</vt:lpstr>
      <vt:lpstr>    (３) 自己実現</vt:lpstr>
      <vt:lpstr>    (４) 萎縮効果論</vt:lpstr>
      <vt:lpstr>    (５) 小括</vt:lpstr>
      <vt:lpstr>２．芸術の自由の保障根拠</vt:lpstr>
      <vt:lpstr>    (１) 「芸術」の定義</vt:lpstr>
      <vt:lpstr>    (２) 政治的主張を含んだ芸術表現と芸術の自由</vt:lpstr>
      <vt:lpstr>    (３) 「わいせつ」表現</vt:lpstr>
      <vt:lpstr>    (４) 芸術と自己実現、萎縮効果</vt:lpstr>
      <vt:lpstr>    (５) 政治利用の歴史</vt:lpstr>
      <vt:lpstr>おわりに</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石井 勝哉</dc:creator>
  <cp:keywords/>
  <dc:description/>
  <cp:lastModifiedBy>石井 勝哉</cp:lastModifiedBy>
  <cp:revision>5</cp:revision>
  <cp:lastPrinted>2020-08-25T14:48:00Z</cp:lastPrinted>
  <dcterms:created xsi:type="dcterms:W3CDTF">2020-08-25T14:35:00Z</dcterms:created>
  <dcterms:modified xsi:type="dcterms:W3CDTF">2020-12-28T06:08:00Z</dcterms:modified>
</cp:coreProperties>
</file>