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79103B" w14:textId="562EEE36" w:rsidR="00B9175F" w:rsidRDefault="00CF70FA" w:rsidP="00B9175F">
      <w:pPr>
        <w:pStyle w:val="ad"/>
      </w:pPr>
      <w:r>
        <w:rPr>
          <w:rFonts w:hint="eastAsia"/>
        </w:rPr>
        <w:t>フェイクニュース規制</w:t>
      </w:r>
      <w:r w:rsidR="000D180E">
        <w:rPr>
          <w:rFonts w:hint="eastAsia"/>
        </w:rPr>
        <w:t>のあり方</w:t>
      </w:r>
    </w:p>
    <w:p w14:paraId="3C83695D" w14:textId="2B14E3D3" w:rsidR="00CF70FA" w:rsidRPr="00CF70FA" w:rsidRDefault="00CF70FA" w:rsidP="00CF70FA">
      <w:pPr>
        <w:jc w:val="right"/>
        <w:rPr>
          <w:rFonts w:hint="eastAsia"/>
        </w:rPr>
      </w:pPr>
      <w:r>
        <w:rPr>
          <w:rFonts w:hint="eastAsia"/>
        </w:rPr>
        <w:t>石井勝哉、吉田知代</w:t>
      </w:r>
    </w:p>
    <w:p w14:paraId="362B7FFD" w14:textId="492F0900" w:rsidR="00BD3D82" w:rsidRDefault="00BD3D82" w:rsidP="00BD3D82">
      <w:pPr>
        <w:pStyle w:val="1"/>
      </w:pPr>
      <w:r>
        <w:rPr>
          <w:rFonts w:hint="eastAsia"/>
        </w:rPr>
        <w:t>はじめに</w:t>
      </w:r>
    </w:p>
    <w:p w14:paraId="3DD9EBEB" w14:textId="77777777" w:rsidR="00BD3D82" w:rsidRDefault="00BD3D82" w:rsidP="00BD3D82">
      <w:pPr>
        <w:rPr>
          <w:rFonts w:hint="eastAsia"/>
        </w:rPr>
      </w:pPr>
      <w:r>
        <w:rPr>
          <w:rFonts w:hint="eastAsia"/>
        </w:rPr>
        <w:t xml:space="preserve">　2020年に行われたアメリカ大統領選挙において大きな焦点となったのは、デマや陰謀論といった「フェイクニュース」だった。真偽不明である記事がFacebookやTwitterといったソーシャルメディアによって拡散され、荒唐無稽な言説や陰謀論が幅を利かせた。これは少なからぬ人から支持を得て、世論形成にも深刻な影響を与えている。実際に、アメリカン・エンタープラウズ研究所(AEI)によると「ディープ・ステート(一部のエリートからなる”ディープ・ステート＝闇の政府”がアメリカの政界やメディアを支配し、国民を貶めようとしていて、トランプ大統領はその陰謀を阻止する救世主であるという主張</w:t>
      </w:r>
      <w:r>
        <w:rPr>
          <w:rStyle w:val="a5"/>
        </w:rPr>
        <w:footnoteReference w:id="1"/>
      </w:r>
      <w:r>
        <w:rPr>
          <w:rFonts w:hint="eastAsia"/>
        </w:rPr>
        <w:t>)がトランプ政権を傷めようとしているとみる人は米全体で29%、共和党員では55%に達していた</w:t>
      </w:r>
      <w:r>
        <w:rPr>
          <w:rStyle w:val="a5"/>
        </w:rPr>
        <w:footnoteReference w:id="2"/>
      </w:r>
      <w:r>
        <w:rPr>
          <w:rFonts w:hint="eastAsia"/>
        </w:rPr>
        <w:t>。</w:t>
      </w:r>
    </w:p>
    <w:p w14:paraId="6C3C7C7F" w14:textId="47517161" w:rsidR="00BD3D82" w:rsidRDefault="00BD3D82" w:rsidP="00BD3D82">
      <w:pPr>
        <w:rPr>
          <w:rFonts w:hint="eastAsia"/>
        </w:rPr>
      </w:pPr>
      <w:r>
        <w:rPr>
          <w:rFonts w:hint="eastAsia"/>
        </w:rPr>
        <w:t xml:space="preserve"> フェイクニュースによる問題が顕在化したのは、2020年アメリカ大統領選挙に始まったことではない。2016年アメリカ大統領選挙においても、「ヒラリー・クリントン氏がワシントンのピザ店を拠点とした児童性愛ネットワークに関与している」という偽ニュースを信じた男が発表事件を起こした「ピザ</w:t>
      </w:r>
      <w:r w:rsidR="00570619">
        <w:rPr>
          <w:rFonts w:hint="eastAsia"/>
        </w:rPr>
        <w:t>・</w:t>
      </w:r>
      <w:r>
        <w:rPr>
          <w:rFonts w:hint="eastAsia"/>
        </w:rPr>
        <w:t>ゲート事件」</w:t>
      </w:r>
      <w:r>
        <w:rPr>
          <w:rStyle w:val="a5"/>
        </w:rPr>
        <w:footnoteReference w:id="3"/>
      </w:r>
      <w:r>
        <w:rPr>
          <w:rFonts w:hint="eastAsia"/>
        </w:rPr>
        <w:t>をはじめ、2016年にイギリスEU離脱国民投票での有権者による投票行動への影響</w:t>
      </w:r>
      <w:r>
        <w:rPr>
          <w:rStyle w:val="a5"/>
        </w:rPr>
        <w:footnoteReference w:id="4"/>
      </w:r>
      <w:r>
        <w:rPr>
          <w:rFonts w:hint="eastAsia"/>
        </w:rPr>
        <w:t>など、ソーシャルメディア上で拡散したフェイクニュースが政治にも影響を及ぼす事案が多数発生していた。</w:t>
      </w:r>
    </w:p>
    <w:p w14:paraId="67810414" w14:textId="6511B2B2" w:rsidR="00BD3D82" w:rsidRDefault="00BD3D82" w:rsidP="00BD3D82">
      <w:pPr>
        <w:jc w:val="left"/>
      </w:pPr>
      <w:r>
        <w:rPr>
          <w:rFonts w:hint="eastAsia"/>
        </w:rPr>
        <w:t xml:space="preserve">　本稿の目的は、このようなフェイクニュースの拡散を未然に防ぎ、偽情報の害悪を被ることのない健全な民主主義を維持するために、フェイクニュースが拡散する土壌となるソーシャルメディア上のルール作りの在り方について検討することにある。主に日本における法制度や規制に目を向けながら、表現の自由との関係や、フェイクニュースの発生・拡散メカニズムに目を向けながら、規制をするべきポイントはどこにあるのか、規制にあたり関係者間でどのようなスキームを構築すれば良いのかを提案したい。その上で、本稿の構成は以下のようになっている。</w:t>
      </w:r>
      <w:r w:rsidRPr="00BD3D82">
        <w:rPr>
          <w:rFonts w:hint="eastAsia"/>
        </w:rPr>
        <w:t>第1章で、フェイクニュースの定義と発生・拡散のメカニズムについて検討する。第2章では、表現の自由の権利内容について考察する。第3章</w:t>
      </w:r>
      <w:r w:rsidRPr="00BD3D82">
        <w:rPr>
          <w:rFonts w:hint="eastAsia"/>
        </w:rPr>
        <w:lastRenderedPageBreak/>
        <w:t>では、諸外国での取り組みを中心に、規制とプラットフォーム事業者による対策とを紹介する。第4章では、現在日本においてどのような議論がなされているのかについて政府の検討会における議論や動きを中心に考察する。第5章では、日本においてこれから取りうるフェイクニュース対策について検討する。</w:t>
      </w:r>
      <w:r>
        <w:br w:type="page"/>
      </w:r>
    </w:p>
    <w:p w14:paraId="2DEEC7FD" w14:textId="34204313" w:rsidR="00BD3D82" w:rsidRDefault="00BD3D82" w:rsidP="00BD3D82">
      <w:pPr>
        <w:pStyle w:val="1"/>
        <w:jc w:val="left"/>
      </w:pPr>
      <w:r>
        <w:rPr>
          <w:rFonts w:hint="eastAsia"/>
        </w:rPr>
        <w:t>1</w:t>
      </w:r>
      <w:r>
        <w:t xml:space="preserve">. </w:t>
      </w:r>
      <w:r>
        <w:rPr>
          <w:rFonts w:hint="eastAsia"/>
        </w:rPr>
        <w:t>フェイクニュースの定義と発生・拡散のメカニズム</w:t>
      </w:r>
    </w:p>
    <w:p w14:paraId="3C7AF679" w14:textId="49BA9431" w:rsidR="00BD3D82" w:rsidRDefault="00BD3D82" w:rsidP="00BD3D82">
      <w:pPr>
        <w:pStyle w:val="2"/>
        <w:jc w:val="left"/>
        <w:rPr>
          <w:rFonts w:hint="eastAsia"/>
        </w:rPr>
      </w:pPr>
      <w:r>
        <w:rPr>
          <w:rFonts w:hint="eastAsia"/>
        </w:rPr>
        <w:t>1</w:t>
      </w:r>
      <w:r>
        <w:t xml:space="preserve">-1. </w:t>
      </w:r>
      <w:r>
        <w:rPr>
          <w:rFonts w:hint="eastAsia"/>
        </w:rPr>
        <w:t>フェイクニュースの定義</w:t>
      </w:r>
    </w:p>
    <w:p w14:paraId="544E5753" w14:textId="77777777" w:rsidR="00BD3D82" w:rsidRDefault="00BD3D82" w:rsidP="00BD3D82">
      <w:pPr>
        <w:jc w:val="left"/>
        <w:rPr>
          <w:rFonts w:hint="eastAsia"/>
        </w:rPr>
      </w:pPr>
      <w:r>
        <w:rPr>
          <w:rFonts w:hint="eastAsia"/>
        </w:rPr>
        <w:t xml:space="preserve">　フェイクニュースの定義は、研究者によって様々である</w:t>
      </w:r>
      <w:r>
        <w:rPr>
          <w:rStyle w:val="a5"/>
        </w:rPr>
        <w:footnoteReference w:id="5"/>
      </w:r>
      <w:r>
        <w:rPr>
          <w:rFonts w:hint="eastAsia"/>
        </w:rPr>
        <w:t>。というのも、嘘やデマ、陰謀論やプロパガンダ(政治的な宣伝行為)、誤情報(ミスインフォメーション)や偽情報(ディスインフォメーション)、扇情的なゴシップやディープフェイク(人工知能の技術で合成した偽動画)、これらの情報がインターネット上を拡散して現実世界に負の影響をもたらす現象が、フェイクニュースという言葉で一括りにされているからである</w:t>
      </w:r>
      <w:r>
        <w:rPr>
          <w:rStyle w:val="a5"/>
        </w:rPr>
        <w:footnoteReference w:id="6"/>
      </w:r>
      <w:r>
        <w:rPr>
          <w:rFonts w:hint="eastAsia"/>
        </w:rPr>
        <w:t>。一方で、辞書的な定義を確認してみると、虚偽情報が拡散され、問題化されている状況を受けて、権威ある辞書がフェイクニュースという言葉を定義し始めている。代表的な辞書の一つであるコリンズ辞書では「Fake News(フェイクニュース)」」は「ニュース報道の体裁で拡散される、虚偽の、しばしば、扇情的な内容の情報(false, often sensational, information disseminated under the guise of news reporting) 」と定義しており、意味合いとして「ニュースに擬態した(感情を刺激する偽情報)」だということ、「拡散する」ということに力点を置いているように見える。しかし、この辞書的な定義は前章において挙げた事例に象徴される現代的なフェイクニュースの複雑性を的確に捉えているとは言えないという問題性がある。なぜなら、この定義を用いると、インターネット発明以前から存在していた嘘や噂、都市伝説と区別をすることができないからである</w:t>
      </w:r>
      <w:r>
        <w:rPr>
          <w:rStyle w:val="a5"/>
        </w:rPr>
        <w:footnoteReference w:id="7"/>
      </w:r>
      <w:r>
        <w:rPr>
          <w:rFonts w:hint="eastAsia"/>
        </w:rPr>
        <w:t>。</w:t>
      </w:r>
    </w:p>
    <w:p w14:paraId="5C78DD0C" w14:textId="77777777" w:rsidR="00BD3D82" w:rsidRDefault="00BD3D82" w:rsidP="00BD3D82">
      <w:pPr>
        <w:jc w:val="left"/>
        <w:rPr>
          <w:rFonts w:hint="eastAsia"/>
        </w:rPr>
      </w:pPr>
      <w:r>
        <w:rPr>
          <w:rFonts w:hint="eastAsia"/>
        </w:rPr>
        <w:t xml:space="preserve">　この状況を受けて、ハーバード大学ショレンスタイン・センターにて誤情報・偽情報に対抗すべく発足されたプロジェクト「ファーストドラフト(First Draft)のディレクターを務めるクレア・ウォードルは、フェイクニュースを理解するために、虚偽情報の種類、動機、拡散様式の3つを理解する必要があるとする。虚偽情報の種類としては、「風刺・パロディ(害を与える意図はないがだまされる可能性がある)」「ミスリーディングな内容(誤解を与えるような情報の使い方)」「偽装された内容(正しい情報源が偽装されている)」「捏造された内容(騙したり害を与えるために新たに作られた100%嘘の内容)」「誤った関連付け(見出し、画像、キャプションなどが内容と合っていない)」「嘘の文脈(正しい内容が間違った文脈と共有されている)」「操作された内容(騙す目的で情報や画像が操作されている)」といった7類型に分類されている。虚偽情報が作られる動機としては、「質の悪いジャーナリズム」「うけねらい」「扇動・いたずら」「感情」「党派心」「金儲け」「政治的影響力」「プロパガンダ」という8つに分類される。虚偽情報の拡散様式については、FacebookやTwitterといったソーシャルメディアの仕組みを悪用したものが挙げられる。例えば、「いいね！」や「リツイートの数に応じてさらに目立つ場所に表示されるようになるソーシャルネットワーク上のアルゴリズムや、「ボット(Bot)」と呼ばれるコンピュータープログラムによるデマの拡散が挙げられる</w:t>
      </w:r>
      <w:r>
        <w:rPr>
          <w:rStyle w:val="a5"/>
        </w:rPr>
        <w:footnoteReference w:id="8"/>
      </w:r>
      <w:r>
        <w:rPr>
          <w:rFonts w:hint="eastAsia"/>
        </w:rPr>
        <w:t>。</w:t>
      </w:r>
    </w:p>
    <w:p w14:paraId="23C503A8" w14:textId="77777777" w:rsidR="00BD3D82" w:rsidRDefault="00BD3D82" w:rsidP="00BD3D82">
      <w:pPr>
        <w:jc w:val="left"/>
        <w:rPr>
          <w:rFonts w:hint="eastAsia"/>
        </w:rPr>
      </w:pPr>
      <w:r>
        <w:rPr>
          <w:rFonts w:hint="eastAsia"/>
        </w:rPr>
        <w:t xml:space="preserve">　各国の政策文書レベルでは、「フェイクニュース」は国際的に決まった定義がないため、「disinformation(偽情報)」や「misinformation(誤情報)」という言葉が用いられることが多い。国際的に確立された定義があるわけではないが、欧州委員会の政策文書(Tackling online disinformation: a European Approach)では、「検証可能な、虚偽又は誤解を招く情報で、経済的利益を得るため又は公共を欺くことを目的として生成、表示、拡散され、それによって公共への損害が損じうるもの」と定義している</w:t>
      </w:r>
      <w:r>
        <w:rPr>
          <w:rStyle w:val="a5"/>
        </w:rPr>
        <w:footnoteReference w:id="9"/>
      </w:r>
    </w:p>
    <w:p w14:paraId="582A05E4" w14:textId="5F4E0E34" w:rsidR="00BD3D82" w:rsidRDefault="00BD3D82" w:rsidP="00BD3D82">
      <w:pPr>
        <w:pStyle w:val="2"/>
        <w:jc w:val="left"/>
        <w:rPr>
          <w:rFonts w:hint="eastAsia"/>
        </w:rPr>
      </w:pPr>
      <w:r>
        <w:rPr>
          <w:rFonts w:hint="eastAsia"/>
        </w:rPr>
        <w:t>1</w:t>
      </w:r>
      <w:r>
        <w:t xml:space="preserve">-2. </w:t>
      </w:r>
      <w:r>
        <w:rPr>
          <w:rFonts w:hint="eastAsia"/>
        </w:rPr>
        <w:t>フェイクニュースの拡散</w:t>
      </w:r>
    </w:p>
    <w:p w14:paraId="5F30EF11" w14:textId="77777777" w:rsidR="00BD3D82" w:rsidRDefault="00BD3D82" w:rsidP="00BD3D82">
      <w:pPr>
        <w:jc w:val="left"/>
        <w:rPr>
          <w:rFonts w:hint="eastAsia"/>
        </w:rPr>
      </w:pPr>
      <w:r>
        <w:rPr>
          <w:rFonts w:hint="eastAsia"/>
        </w:rPr>
        <w:t xml:space="preserve">　フェイクニュースがどのように拡散され、デモクラシーに影響を及ぼしていくのかというプロセスを検討する。検討の意図は、どのような点に規制をかけることができるのか、あるいは効果的かを考えるための切り口を見出すことにある。</w:t>
      </w:r>
    </w:p>
    <w:p w14:paraId="735046F3" w14:textId="77777777" w:rsidR="00BD3D82" w:rsidRDefault="00BD3D82" w:rsidP="00BD3D82">
      <w:pPr>
        <w:jc w:val="left"/>
        <w:rPr>
          <w:rFonts w:hint="eastAsia"/>
        </w:rPr>
      </w:pPr>
      <w:r>
        <w:rPr>
          <w:rFonts w:hint="eastAsia"/>
        </w:rPr>
        <w:t xml:space="preserve">　フェイクニュース拡散の議論の前提として、デジタルメディアの発展が「思想の自由市場」に与えた変化について触れる。そもそも「思想の自由市場」においては、アメリカ連邦裁判所の姿勢に依拠すると、あらゆる表現は対応に流通する機会を与えられるべきであり、その一方で、情報の取捨選択については個々人の「買い手危険負担」を原則とし、政府介入はよほどのことがない限り控えられるべきだと考えられていた。しかし、デジタルメディアが普及する前の社会においては、思想の自由市場にアクセスするための「媒体」をマスメディアが独占しており、マスメディアが情報のスクリーニングとパッケージングを行い、「受け手(買い手)」に供給してきたという背景があったため、「買い手危険負担」の原則が辛うじて成り立っていた。ところが、現代において、情報を得たり、発信したりすることが、ソーシャルメディアをはじめとしたデジタルメディアにアクセスすることによって達成されるようになったことで、思想の自由市場の健全化を支えていたプロフェッショナルとしてのマスメディアの弱体化が浮き彫りになった。これにより、現代においては、誤った情報や不確かな情報がマスメディアなどの伝統的制度が行ってきたスクリーニングなしに情報を発信できるようになり、多くの人々に対して非常に速いスピードで広範囲かつ容易に「拡散」できてしまう。加えて、フェイクニュースは正確な情報よりもより早く拡散されることがわかってきたという点が、これをさらに深刻化させているという認識があることも留意していく必要がある</w:t>
      </w:r>
      <w:r>
        <w:rPr>
          <w:rStyle w:val="a5"/>
        </w:rPr>
        <w:footnoteReference w:id="10"/>
      </w:r>
      <w:r>
        <w:rPr>
          <w:rFonts w:hint="eastAsia"/>
        </w:rPr>
        <w:t>。</w:t>
      </w:r>
    </w:p>
    <w:p w14:paraId="69BEC811" w14:textId="77777777" w:rsidR="00BD3D82" w:rsidRDefault="00BD3D82" w:rsidP="00BD3D82">
      <w:pPr>
        <w:jc w:val="left"/>
        <w:rPr>
          <w:rFonts w:hint="eastAsia"/>
        </w:rPr>
      </w:pPr>
      <w:r>
        <w:rPr>
          <w:rFonts w:hint="eastAsia"/>
        </w:rPr>
        <w:t xml:space="preserve">　フェイクニュースの拡散は、ソーシャルメディア上の「環境」を形成している「技術」を用いて促進されている。その「技術」は大きく3つある。1つ目に、ソーシャルメディアのプラットフォームのビジネスモデルが生み出したパーソナライズ・フィルターによる「個別化」である。ユーザーの興味関心事を予測するアルゴリズムを用いて、似たユーザー同士を結び付くものであり、フェイクニュースはこうして結びつけられた類似したユーザー間で共有され、対抗する情報が入ってくることなく、情報が強化されている。これにより、いわゆる「フィルターバブル」が発生する。2つ目に、オンライン上のデジタル広告である。「個別化」技術の下、センセーショナルかつバイラルな広告を個々のユーザーに届ける「ターゲティング広告」によって、感情に訴えかける偽情報はより精緻に、狙いすまして効果的に配信できる。3つ目に、自動化ボットである。いわゆるトロールと呼ばれているような、背後に実在のユーザーが存在しない偽アカウントであり、オンライン上に潜むことで偽情報の伝播を人為的に増幅させることが可能になる</w:t>
      </w:r>
      <w:r>
        <w:rPr>
          <w:rStyle w:val="a5"/>
        </w:rPr>
        <w:footnoteReference w:id="11"/>
      </w:r>
    </w:p>
    <w:p w14:paraId="730130CD" w14:textId="77777777" w:rsidR="00BD3D82" w:rsidRDefault="00BD3D82" w:rsidP="00BD3D82">
      <w:pPr>
        <w:jc w:val="left"/>
        <w:rPr>
          <w:rFonts w:hint="eastAsia"/>
          <w:highlight w:val="yellow"/>
        </w:rPr>
      </w:pPr>
    </w:p>
    <w:p w14:paraId="0BB6A3DB" w14:textId="2403CD59" w:rsidR="00BD3D82" w:rsidRDefault="00BD3D82" w:rsidP="00BD3D82">
      <w:pPr>
        <w:pStyle w:val="1"/>
      </w:pPr>
      <w:r>
        <w:rPr>
          <w:rFonts w:hint="eastAsia"/>
        </w:rPr>
        <w:t>2</w:t>
      </w:r>
      <w:r>
        <w:t xml:space="preserve">. </w:t>
      </w:r>
      <w:r>
        <w:rPr>
          <w:rFonts w:hint="eastAsia"/>
        </w:rPr>
        <w:t>フェイクニュースと表現の自由</w:t>
      </w:r>
    </w:p>
    <w:p w14:paraId="78B8C34D" w14:textId="71E1B472" w:rsidR="00BD3D82" w:rsidRDefault="00BD3D82" w:rsidP="00BD3D82">
      <w:pPr>
        <w:pStyle w:val="2"/>
        <w:rPr>
          <w:rFonts w:hint="eastAsia"/>
        </w:rPr>
      </w:pPr>
      <w:r>
        <w:rPr>
          <w:rFonts w:hint="eastAsia"/>
        </w:rPr>
        <w:t>2</w:t>
      </w:r>
      <w:r>
        <w:t xml:space="preserve">-1. </w:t>
      </w:r>
      <w:r>
        <w:rPr>
          <w:rFonts w:hint="eastAsia"/>
        </w:rPr>
        <w:t>表現の自由</w:t>
      </w:r>
    </w:p>
    <w:p w14:paraId="63294A65" w14:textId="77777777" w:rsidR="00BD3D82" w:rsidRDefault="00BD3D82" w:rsidP="00BD3D82">
      <w:pPr>
        <w:rPr>
          <w:rFonts w:hint="eastAsia"/>
        </w:rPr>
      </w:pPr>
      <w:r>
        <w:rPr>
          <w:rFonts w:hint="eastAsia"/>
        </w:rPr>
        <w:t xml:space="preserve">　表現の自由は、内心の置ける思想や信仰は、外部に表明され、他者に伝達されてはじめて社会的効用を発揮するという意味で、精神的自由権の中でもとりわけ重要な権利として位置付けられている</w:t>
      </w:r>
      <w:r>
        <w:rPr>
          <w:rStyle w:val="a5"/>
        </w:rPr>
        <w:footnoteReference w:id="12"/>
      </w:r>
      <w:r>
        <w:rPr>
          <w:rFonts w:hint="eastAsia"/>
        </w:rPr>
        <w:t>。</w:t>
      </w:r>
    </w:p>
    <w:p w14:paraId="4217F469" w14:textId="77777777" w:rsidR="00BD3D82" w:rsidRDefault="00BD3D82" w:rsidP="00BD3D82">
      <w:pPr>
        <w:rPr>
          <w:rFonts w:hint="eastAsia"/>
        </w:rPr>
      </w:pPr>
      <w:r>
        <w:rPr>
          <w:rFonts w:hint="eastAsia"/>
        </w:rPr>
        <w:t xml:space="preserve">　表現の自由の意義として、通説的な理解では、自己実現と自己統治という2つの価値が挙げられる。自己実現は、個人が独立の人格を有する自律的存在として自己を発展させていくことが重要であり、その過程においては自ら試行し、その結果を外部に表明することが不可欠であるとされている。他方、自己統治とは、民主政において国家権力は国民の意思に沿って行使されなければならないということであり、表現の自由は諸個人が政治過程に参加し、人々の間で強制によらない共同意思が形成されるために必須の要件とされる。</w:t>
      </w:r>
      <w:r>
        <w:rPr>
          <w:rStyle w:val="a5"/>
        </w:rPr>
        <w:footnoteReference w:id="13"/>
      </w:r>
    </w:p>
    <w:p w14:paraId="2C083351" w14:textId="77777777" w:rsidR="00BD3D82" w:rsidRDefault="00BD3D82" w:rsidP="00BD3D82">
      <w:pPr>
        <w:rPr>
          <w:rFonts w:hint="eastAsia"/>
        </w:rPr>
      </w:pPr>
      <w:r>
        <w:rPr>
          <w:rFonts w:hint="eastAsia"/>
        </w:rPr>
        <w:t xml:space="preserve">　表現の自由の保障内容は、情報発信の自由と情報受容の自由から構成される。情報発信の自由とは、個人の認識や思想を含めた広い意味での情報を外部に伝達しようとする活動の自由のことであり、表現内容は内容によって区分することなく基本的には全て表現の自由の保護を受けるとしつつ、内容に基づく例外的制約が認められる場合について個別に検討していくという立場が一般的とされている</w:t>
      </w:r>
      <w:r>
        <w:rPr>
          <w:rStyle w:val="a5"/>
        </w:rPr>
        <w:footnoteReference w:id="14"/>
      </w:r>
      <w:r>
        <w:rPr>
          <w:rFonts w:hint="eastAsia"/>
        </w:rPr>
        <w:t>。情報受容の自由とは、情報発信者が情報を他者に伝えるという意図を実現することを目的にしており、主に国家との関係で、自分の知りたい言論から遠ざけられない自由としている</w:t>
      </w:r>
      <w:r>
        <w:rPr>
          <w:rStyle w:val="a5"/>
        </w:rPr>
        <w:footnoteReference w:id="15"/>
      </w:r>
      <w:r>
        <w:rPr>
          <w:rFonts w:hint="eastAsia"/>
        </w:rPr>
        <w:t>。最高裁は、よど号記事抹消事件において、「およそ各人が、自由に、さまざまな意見、知識、情報に接し、これを摂取する機会を持つことは、その者が個人として自己の思想及び人格を形成・発展させ、社会生活の中でこれを反映させていくうえにおいて欠くことのできないものであり、また、民主主義社会における思想の自由な伝達、交流の確保という基本原理を真に実効あるものにたらしめるためにも、必要なところである。それゆえ、これらの意見、知識、情報の伝達媒体である新聞紙、図書等の閲読の自由が憲法上保障されるべきことは、思想及び良心の自由の不可侵を定めた憲法19条の規定や、表現の自由を保障した憲法21条の規定の趣旨、目的から、いわばその派生原理として当然に導かれるところ」としており、これを通して、自己実現と自己統治の価値の実現のためには、憲法上の保障が情報提供のみならず受領にまで及ぶ必要があるという考え方を示したと考えられる</w:t>
      </w:r>
      <w:r>
        <w:rPr>
          <w:rStyle w:val="a5"/>
        </w:rPr>
        <w:footnoteReference w:id="16"/>
      </w:r>
      <w:r>
        <w:rPr>
          <w:rFonts w:hint="eastAsia"/>
        </w:rPr>
        <w:t>。また、最高裁はその後、札幌税関事件において、「表現の自由の保障は、他面において、これを受ける者の側の知る自由の保障をも伴うものと解すべき」であるとも判示し、情報受容権が表現の自由の保障範囲に属することを明示している</w:t>
      </w:r>
      <w:r>
        <w:rPr>
          <w:rStyle w:val="a5"/>
        </w:rPr>
        <w:footnoteReference w:id="17"/>
      </w:r>
      <w:r>
        <w:rPr>
          <w:rFonts w:hint="eastAsia"/>
        </w:rPr>
        <w:t>。</w:t>
      </w:r>
    </w:p>
    <w:p w14:paraId="51A575BA" w14:textId="77777777" w:rsidR="00BD3D82" w:rsidRDefault="00BD3D82" w:rsidP="00BD3D82">
      <w:pPr>
        <w:rPr>
          <w:rFonts w:hint="eastAsia"/>
        </w:rPr>
      </w:pPr>
    </w:p>
    <w:p w14:paraId="53A24F77" w14:textId="2A493100" w:rsidR="00BD3D82" w:rsidRDefault="00BD3D82" w:rsidP="00BD3D82">
      <w:pPr>
        <w:pStyle w:val="2"/>
        <w:rPr>
          <w:rFonts w:hint="eastAsia"/>
        </w:rPr>
      </w:pPr>
      <w:r>
        <w:rPr>
          <w:rFonts w:hint="eastAsia"/>
        </w:rPr>
        <w:t>2</w:t>
      </w:r>
      <w:r>
        <w:t xml:space="preserve">-2. </w:t>
      </w:r>
      <w:r>
        <w:rPr>
          <w:rFonts w:hint="eastAsia"/>
        </w:rPr>
        <w:t>フェイクニュースとの関係における思想の自由市場と表現の自由</w:t>
      </w:r>
    </w:p>
    <w:p w14:paraId="14CF5B7B" w14:textId="77777777" w:rsidR="00BD3D82" w:rsidRDefault="00BD3D82" w:rsidP="00BD3D82">
      <w:pPr>
        <w:rPr>
          <w:rFonts w:hint="eastAsia"/>
        </w:rPr>
      </w:pPr>
      <w:r>
        <w:rPr>
          <w:rFonts w:hint="eastAsia"/>
        </w:rPr>
        <w:t xml:space="preserve">　これまで述べてきたような憲法学における表現の自由の議論は、情報の受け手側により、思想の自由市場において情報の真偽の判断を含めた議論が行われることを期待し、それを前提に、表現領域における政府介入を原則として否定的に捉えてきた。しかし、第1章で触れたようなフェイクニュースを拡散せしめるソーシャルメディア上の技術やデジタルメディアの普及によって、思想の自由市場が機能不全に陥り、フェイクニュースの拡散、ひいては民主主義への脅威を助長しているという点が指摘され、フェイクニュースとの関係では、表現の自由の内容について再検討する必要性がある</w:t>
      </w:r>
      <w:r>
        <w:rPr>
          <w:rStyle w:val="a5"/>
        </w:rPr>
        <w:footnoteReference w:id="18"/>
      </w:r>
      <w:r>
        <w:rPr>
          <w:rFonts w:hint="eastAsia"/>
        </w:rPr>
        <w:t>。</w:t>
      </w:r>
    </w:p>
    <w:p w14:paraId="71F52997" w14:textId="77777777" w:rsidR="00BD3D82" w:rsidRDefault="00BD3D82" w:rsidP="00BD3D82">
      <w:pPr>
        <w:rPr>
          <w:rFonts w:hint="eastAsia"/>
        </w:rPr>
      </w:pPr>
      <w:r>
        <w:rPr>
          <w:rFonts w:hint="eastAsia"/>
        </w:rPr>
        <w:t xml:space="preserve">　思想の自由市場の機能不全について掘り下げて考えると、インターネットの普及により、古典的な思想の自由市場論の考えの見直しが迫られているという点にも目を向ける必要がある。アメリカにおけるReno v. ACLU判決はインターネットを「広大な民主的プラットフォーム」と捉え、その「新しい思想の自由市場の劇的な拡大」に期待を寄せ、この点に対応するように駒村圭吾の表現の自由優越論における「表現の自由の優越的地位が論証されたとしても、そのような特別な価値が認められ、特別な保護が与えられる表現の自由が有効に機能する『場』の構築に関する議論もまた、『原理論』の一環として必要なのではないか」とし、思想の自由市場論を「情報空間の設計構想」として捉えようとしている</w:t>
      </w:r>
      <w:r>
        <w:rPr>
          <w:rStyle w:val="a5"/>
        </w:rPr>
        <w:footnoteReference w:id="19"/>
      </w:r>
      <w:r>
        <w:rPr>
          <w:rFonts w:hint="eastAsia"/>
        </w:rPr>
        <w:t>。このように考えると、現代における言論空間の大半がアルゴリズムによって形成される中で、言論の背景に潜むアルゴリズムの存在をはじめとしたインターネットというテクノロジーの出現によって、既存の思想の自由市場論には再設計の必要性がある</w:t>
      </w:r>
      <w:r>
        <w:rPr>
          <w:rStyle w:val="a5"/>
        </w:rPr>
        <w:footnoteReference w:id="20"/>
      </w:r>
      <w:r>
        <w:rPr>
          <w:rFonts w:hint="eastAsia"/>
        </w:rPr>
        <w:t>。また、テクノロジーとの関係という面以外でも、既存の思想の自由市場論については、「個人」中心的な側面の限界が指摘されている。具体的には、思想の自由市場論の最も主要な提唱者の一人であるホームズ裁判官は思想の自由市場を「諸個人が互いの利益のために費用をかけずに競争するアトム的な場としての市場(the marketplace as an atomistic place)として説明」したとした上で、実際、市場においては、良いアイデアや商品を探し出して評価し、入手するためにかかる費用が生じるという「取引コスト」の存在を看過しているという議論がある</w:t>
      </w:r>
      <w:r>
        <w:rPr>
          <w:rStyle w:val="a5"/>
        </w:rPr>
        <w:footnoteReference w:id="21"/>
      </w:r>
      <w:r>
        <w:rPr>
          <w:rFonts w:hint="eastAsia"/>
        </w:rPr>
        <w:t>。この点、フェイクニュースの問題も、マスメディアをはじめとして情報プロフェッショナルの介在の欠如という点で、同じような文脈で捉えられる</w:t>
      </w:r>
      <w:r>
        <w:rPr>
          <w:vertAlign w:val="superscript"/>
        </w:rPr>
        <w:footnoteReference w:id="22"/>
      </w:r>
      <w:r>
        <w:rPr>
          <w:rFonts w:hint="eastAsia"/>
        </w:rPr>
        <w:t>。</w:t>
      </w:r>
    </w:p>
    <w:p w14:paraId="654970A0" w14:textId="77777777" w:rsidR="00BD3D82" w:rsidRDefault="00BD3D82" w:rsidP="00BD3D82">
      <w:pPr>
        <w:rPr>
          <w:rFonts w:hint="eastAsia"/>
        </w:rPr>
      </w:pPr>
      <w:r>
        <w:rPr>
          <w:rFonts w:hint="eastAsia"/>
        </w:rPr>
        <w:t xml:space="preserve">　このような点を踏まえ、民主主義を守るためには、従来一般的であった「表現者」中心アプローチから「環境」中心アプローチへの転換が求められる。「表現者」中心アプローチとは、より「表現者」の自由を保障するべきであり、法相領域など一部の例外を除き、政府による規制、とりわけ内容規制については慎重に行われる必要があるという考え方で、「環境」中心アプローチとは、民主主義と表現空間の諸問題について、より情報流通のシステム全体のデザインを踏まえ、議会や行政と言った政府にも、情報が流通する思想の自由市場という「環境」それ自体を設計する役割があるという考え方である。後者の「環境」中心アプローチを考えるにあたり、政府にはどの部分について積極的な役割が求められるのかという点と、その権限の限界をどこに設定するかという点を議論する必要がある</w:t>
      </w:r>
      <w:r>
        <w:rPr>
          <w:rStyle w:val="a5"/>
        </w:rPr>
        <w:footnoteReference w:id="23"/>
      </w:r>
      <w:r>
        <w:rPr>
          <w:rFonts w:hint="eastAsia"/>
        </w:rPr>
        <w:t>。</w:t>
      </w:r>
    </w:p>
    <w:p w14:paraId="4D72A42F" w14:textId="77777777" w:rsidR="00BD3D82" w:rsidRDefault="00BD3D82" w:rsidP="00BD3D82">
      <w:pPr>
        <w:rPr>
          <w:rFonts w:hint="eastAsia"/>
        </w:rPr>
      </w:pPr>
      <w:r>
        <w:rPr>
          <w:rFonts w:hint="eastAsia"/>
        </w:rPr>
        <w:t xml:space="preserve">　その上で、現代におけるメディアとそれを取り巻く環境を考慮した上で、表現の自由の枠組みにおいて特筆すべき3つの要素がある。</w:t>
      </w:r>
    </w:p>
    <w:p w14:paraId="421174CB" w14:textId="77777777" w:rsidR="00BD3D82" w:rsidRDefault="00BD3D82" w:rsidP="00BD3D82">
      <w:pPr>
        <w:ind w:firstLineChars="100" w:firstLine="210"/>
        <w:rPr>
          <w:rFonts w:hint="eastAsia"/>
        </w:rPr>
      </w:pPr>
      <w:r>
        <w:rPr>
          <w:rFonts w:hint="eastAsia"/>
        </w:rPr>
        <w:t>第一に、個人(ユーザー)視点による「情報発信の自由と情報受領の自由(知りたいことを知る)自由」である。現代においても、デモクラシー体制の「存立の基礎」となる世論を形成する上では、現代においても個々人が情報を発信し、情報を受領するという能動的行為が重要である。その点で、「環境」中心アプローチは「表現者」としてのユーザーの「自由」を削減したり否定したりするものではなく、ユーザーが「国民」としてよりアクティブに、より公平にデモクラシーを支える世論形成に参加することを目指すものであり、これまでの憲法学が直接的に活かされる</w:t>
      </w:r>
      <w:r>
        <w:rPr>
          <w:rStyle w:val="a5"/>
        </w:rPr>
        <w:footnoteReference w:id="24"/>
      </w:r>
      <w:r>
        <w:rPr>
          <w:rFonts w:hint="eastAsia"/>
        </w:rPr>
        <w:t>。一方で、こうした情報発信・受領の自由を「市民(国民)」が獲得したと同時に、個々の政治家や政党、運動家や各種活動家などといった「政治アクター」や国境を超えた外国勢力も行使している現状にも留意する必要がある</w:t>
      </w:r>
      <w:r>
        <w:rPr>
          <w:rStyle w:val="a5"/>
        </w:rPr>
        <w:footnoteReference w:id="25"/>
      </w:r>
      <w:r>
        <w:rPr>
          <w:rFonts w:hint="eastAsia"/>
        </w:rPr>
        <w:t>。</w:t>
      </w:r>
    </w:p>
    <w:p w14:paraId="32BA61CB" w14:textId="77777777" w:rsidR="00BD3D82" w:rsidRDefault="00BD3D82" w:rsidP="00BD3D82">
      <w:pPr>
        <w:ind w:firstLineChars="100" w:firstLine="210"/>
        <w:rPr>
          <w:rFonts w:hint="eastAsia"/>
        </w:rPr>
      </w:pPr>
      <w:r>
        <w:rPr>
          <w:rFonts w:hint="eastAsia"/>
        </w:rPr>
        <w:t>第二に、オンラインプラットフォーム事業者視点の「情報空間に繋がる自由」である。インターネット空間が主要なコミュニケーションの「場」となった現代においては、「情報発信と情報受領の自由」を保障されるためには、インターネット上の「場」にアクセスが確保されている状態が不可欠である</w:t>
      </w:r>
      <w:r>
        <w:rPr>
          <w:rStyle w:val="a5"/>
        </w:rPr>
        <w:footnoteReference w:id="26"/>
      </w:r>
      <w:r>
        <w:rPr>
          <w:rFonts w:hint="eastAsia"/>
        </w:rPr>
        <w:t>。この点について、アメリカ連邦最高裁における登録制犯罪者がSNSのアカウントを作成することを禁じた州法が問題となった</w:t>
      </w:r>
      <w:proofErr w:type="spellStart"/>
      <w:r>
        <w:rPr>
          <w:rFonts w:hint="eastAsia"/>
        </w:rPr>
        <w:t>Packingham</w:t>
      </w:r>
      <w:proofErr w:type="spellEnd"/>
      <w:r>
        <w:rPr>
          <w:rFonts w:hint="eastAsia"/>
        </w:rPr>
        <w:t>判決は、FacebookをはじめとするSNSを「現代におけるパブリックスクエア(modern public square)」と評し、政府がその空間にアクセスすることを禁じることを比較的厳格な審査(「重要な政府利益を果たすために綿密に調整されている(narrowly tailored to serve a significant governmental interest)を用いて、意見の判断を下した</w:t>
      </w:r>
      <w:r>
        <w:rPr>
          <w:rStyle w:val="a5"/>
        </w:rPr>
        <w:footnoteReference w:id="27"/>
      </w:r>
      <w:r>
        <w:rPr>
          <w:rFonts w:hint="eastAsia"/>
        </w:rPr>
        <w:t>。同時に、ＳＮＳ上で用いられているパーソナライズフィルターによって、異質な他者との意見接触を妨げる可能性もあるのではないかという議論があるが、これに対し、最高裁が検索エンジン事業者に対して、「情報の収集、整理及び提供はプログラムにより自動的に行われるものの、同プログラムは検索結果の提供に関する検索事業者の方針に沿った結果を得ることができるように作成されたものであるから、検索結果の提供は検索事業者自身による表現行為であるという側面を有する」とし、「検索事業者による検索結果の提供は、公衆が、インターネット上に情報を発信したり、インターネット上の膨大な情報の中から必要なものを入手したりすることを支援する者であり、現代社会においてインターネット上の情報流通の基盤として多くの役割を果たしている」</w:t>
      </w:r>
      <w:r>
        <w:rPr>
          <w:rStyle w:val="a5"/>
        </w:rPr>
        <w:footnoteReference w:id="28"/>
      </w:r>
      <w:r>
        <w:rPr>
          <w:rFonts w:hint="eastAsia"/>
        </w:rPr>
        <w:t>とし、オンラインプラットフォーム事業者のうち、少なくとも検索事業者は単なる情報流通の同感的役割にとどまらない表現主体としての性格を認めたが、SNSにもこの論理が当てはまるかという点については議論の必要がある</w:t>
      </w:r>
      <w:r>
        <w:rPr>
          <w:rStyle w:val="a5"/>
        </w:rPr>
        <w:footnoteReference w:id="29"/>
      </w:r>
      <w:r>
        <w:rPr>
          <w:rFonts w:hint="eastAsia"/>
        </w:rPr>
        <w:t>。</w:t>
      </w:r>
    </w:p>
    <w:p w14:paraId="33467E9D" w14:textId="77777777" w:rsidR="00BD3D82" w:rsidRDefault="00BD3D82" w:rsidP="00BD3D82">
      <w:pPr>
        <w:ind w:firstLineChars="100" w:firstLine="210"/>
        <w:rPr>
          <w:rFonts w:hint="eastAsia"/>
        </w:rPr>
      </w:pPr>
      <w:r>
        <w:rPr>
          <w:rFonts w:hint="eastAsia"/>
        </w:rPr>
        <w:t>第三に、既存メディア視点の「民主主義において価値ある情報を受領する(国民の『知る権利』に資する)自由」である。これまで報道機関をはじめとしたマスメディアはインターネット普及前は社会生活に必要不可欠な「基本的情報」を供給するゆえに、表現空間において、憲法上の特別な位置づけを得た存在だったが、インターネットの普及とオンラインプラットフォーム事業者の台頭により、思想の自由市場において社会的・経済的地位が低下している。「報道機関の報道は、民主主義社会において、国民が国政に関与するにつき、重要な判断の資料を提供し、国民の『知る権利』に奉仕するものである」</w:t>
      </w:r>
      <w:r>
        <w:rPr>
          <w:rStyle w:val="a5"/>
        </w:rPr>
        <w:footnoteReference w:id="30"/>
      </w:r>
      <w:r>
        <w:rPr>
          <w:rFonts w:hint="eastAsia"/>
        </w:rPr>
        <w:t>から、現代においても情報スクリーニング・パッケージングの機能を持つ存在として、重要性は高いと考えられる</w:t>
      </w:r>
      <w:r>
        <w:rPr>
          <w:rStyle w:val="a5"/>
        </w:rPr>
        <w:footnoteReference w:id="31"/>
      </w:r>
      <w:r>
        <w:rPr>
          <w:rFonts w:hint="eastAsia"/>
        </w:rPr>
        <w:t>。</w:t>
      </w:r>
    </w:p>
    <w:p w14:paraId="737722C1" w14:textId="54E98A84" w:rsidR="00BD3D82" w:rsidRDefault="00BD3D82"/>
    <w:p w14:paraId="69F8783D" w14:textId="3849A484" w:rsidR="00BD3D82" w:rsidRDefault="00BD3D82" w:rsidP="00BD3D82">
      <w:pPr>
        <w:pStyle w:val="2"/>
      </w:pPr>
      <w:r>
        <w:rPr>
          <w:rFonts w:hint="eastAsia"/>
        </w:rPr>
        <w:t>3</w:t>
      </w:r>
      <w:r>
        <w:t>-1</w:t>
      </w:r>
      <w:r>
        <w:rPr>
          <w:rFonts w:hint="eastAsia"/>
        </w:rPr>
        <w:t>.</w:t>
      </w:r>
      <w:r>
        <w:t xml:space="preserve"> </w:t>
      </w:r>
      <w:r>
        <w:rPr>
          <w:rFonts w:hint="eastAsia"/>
        </w:rPr>
        <w:t>諸外国における民間事業者のフェイクニュース対策</w:t>
      </w:r>
    </w:p>
    <w:p w14:paraId="7C29B6AA" w14:textId="77777777" w:rsidR="00BD3D82" w:rsidRDefault="00BD3D82" w:rsidP="00BD3D82">
      <w:pPr>
        <w:rPr>
          <w:rFonts w:hint="eastAsia"/>
        </w:rPr>
      </w:pPr>
      <w:r>
        <w:rPr>
          <w:rFonts w:hint="eastAsia"/>
        </w:rPr>
        <w:t xml:space="preserve">　本稿の序章においても紹介したように、欧米では偽情報が大きな問題となり、日本と比較して議論されており、政府等の検討を踏まえ、国外ではプラット事業者による自主的な取り組みが行われている。本章では代表的なソーシャルメディア事業者としてのFacebookとTwitter、検索エンジン事業者としてのGoogleの取組みについて紹介する。</w:t>
      </w:r>
    </w:p>
    <w:p w14:paraId="67519749" w14:textId="0F7AE40F" w:rsidR="00BD3D82" w:rsidRDefault="00BD3D82" w:rsidP="00BD3D82">
      <w:pPr>
        <w:pStyle w:val="3"/>
        <w:ind w:left="840"/>
        <w:rPr>
          <w:rFonts w:hint="eastAsia"/>
        </w:rPr>
      </w:pPr>
      <w:r>
        <w:rPr>
          <w:rFonts w:hint="eastAsia"/>
        </w:rPr>
        <w:t>Facebook</w:t>
      </w:r>
    </w:p>
    <w:p w14:paraId="4025AB5A" w14:textId="77777777" w:rsidR="00BD3D82" w:rsidRDefault="00BD3D82" w:rsidP="00BD3D82">
      <w:pPr>
        <w:rPr>
          <w:rFonts w:hint="eastAsia"/>
        </w:rPr>
      </w:pPr>
      <w:r>
        <w:rPr>
          <w:rFonts w:hint="eastAsia"/>
        </w:rPr>
        <w:t xml:space="preserve">　Facebookは、偽情報への対応に関する基本的スタンスとして、削除、抑制、情報提供という対策を実施している。具体的には、(1)削除という点では、ポリシーに違反するコンテンツやアカウントの削除、(2)偽情報や不正なコンテンツの拡散の抑制、(3)信頼できる第三者ファクトチェッカーからのチェック結果の活用等の追加コンテキストの情報提供といった対策を取っている</w:t>
      </w:r>
      <w:r>
        <w:rPr>
          <w:rStyle w:val="a5"/>
        </w:rPr>
        <w:footnoteReference w:id="32"/>
      </w:r>
      <w:r>
        <w:rPr>
          <w:rFonts w:hint="eastAsia"/>
        </w:rPr>
        <w:t>。</w:t>
      </w:r>
    </w:p>
    <w:p w14:paraId="002B81C0" w14:textId="77777777" w:rsidR="00BD3D82" w:rsidRDefault="00BD3D82" w:rsidP="00BD3D82">
      <w:pPr>
        <w:rPr>
          <w:rFonts w:hint="eastAsia"/>
        </w:rPr>
      </w:pPr>
      <w:r>
        <w:rPr>
          <w:rFonts w:hint="eastAsia"/>
        </w:rPr>
        <w:t xml:space="preserve">　これらの対策が実際に実行された例としては、2020年アメリカ大統領を前にした、外国勢力の介入への対応として大量の偽アカウントの削除や、虚偽情報の流布や投票妨害を防止するための対策として、外部のファクトチェック機関が虚偽と判断したコンテンツについて虚偽である旨の表示を強化したり、米国市民に投票の棄権を呼びかける有料広告を禁止するポリシーを策定したりするなどの取組が挙げられる</w:t>
      </w:r>
      <w:r>
        <w:rPr>
          <w:rStyle w:val="a5"/>
        </w:rPr>
        <w:footnoteReference w:id="33"/>
      </w:r>
      <w:r>
        <w:rPr>
          <w:rFonts w:hint="eastAsia"/>
        </w:rPr>
        <w:t>。</w:t>
      </w:r>
    </w:p>
    <w:p w14:paraId="201D655D" w14:textId="77777777" w:rsidR="00BD3D82" w:rsidRDefault="00BD3D82" w:rsidP="00BD3D82">
      <w:pPr>
        <w:rPr>
          <w:rFonts w:hint="eastAsia"/>
        </w:rPr>
      </w:pPr>
      <w:r>
        <w:rPr>
          <w:rFonts w:hint="eastAsia"/>
        </w:rPr>
        <w:t xml:space="preserve">　また、ファクトチェックという点では、50か国を超える国において、フェイクニュースとそれに類するコンテンツの識別、審査および措置のすいこうのために、中立的な国際ファクトチェックネットワーク(IFCN)に認定された独立した第三者ファクトチェッカー団体と連携して、フェイクニュースの拡散防止に取り組んでいる</w:t>
      </w:r>
      <w:r>
        <w:rPr>
          <w:rStyle w:val="a5"/>
        </w:rPr>
        <w:footnoteReference w:id="34"/>
      </w:r>
      <w:r>
        <w:rPr>
          <w:rFonts w:hint="eastAsia"/>
        </w:rPr>
        <w:t>。</w:t>
      </w:r>
    </w:p>
    <w:p w14:paraId="22C6669F" w14:textId="43765BB5" w:rsidR="00BD3D82" w:rsidRDefault="00BD3D82" w:rsidP="00BD3D82">
      <w:pPr>
        <w:pStyle w:val="3"/>
        <w:ind w:left="840"/>
        <w:rPr>
          <w:rFonts w:hint="eastAsia"/>
        </w:rPr>
      </w:pPr>
      <w:r>
        <w:t>T</w:t>
      </w:r>
      <w:r>
        <w:rPr>
          <w:rFonts w:hint="eastAsia"/>
        </w:rPr>
        <w:t>witter</w:t>
      </w:r>
    </w:p>
    <w:p w14:paraId="305BAEB7" w14:textId="77777777" w:rsidR="00BD3D82" w:rsidRDefault="00BD3D82" w:rsidP="00BD3D82">
      <w:pPr>
        <w:rPr>
          <w:rFonts w:hint="eastAsia"/>
        </w:rPr>
      </w:pPr>
      <w:r>
        <w:rPr>
          <w:rFonts w:hint="eastAsia"/>
        </w:rPr>
        <w:t xml:space="preserve">　Twitterは、偽情報への対応として、(1)スパム等のコンテンツやアカウントに対するポリシー策定及び削除、(2)信頼性の高い情報などを行っている</w:t>
      </w:r>
      <w:r>
        <w:rPr>
          <w:rStyle w:val="a5"/>
        </w:rPr>
        <w:footnoteReference w:id="35"/>
      </w:r>
      <w:r>
        <w:rPr>
          <w:rFonts w:hint="eastAsia"/>
        </w:rPr>
        <w:t>。具体的には、透明性レポートを発行し、明確な削除基準を設定した上で、削除した件数などを公表して、透明性を確保した上で対応を行っていたり、偽情報・誤情報の可能性のある投稿には注意がきを付したり、検索結果の上位には公的機関の情報を掲示するなどの対処を行っている</w:t>
      </w:r>
      <w:r>
        <w:rPr>
          <w:rStyle w:val="a5"/>
        </w:rPr>
        <w:footnoteReference w:id="36"/>
      </w:r>
      <w:r>
        <w:rPr>
          <w:rFonts w:hint="eastAsia"/>
        </w:rPr>
        <w:t>。</w:t>
      </w:r>
    </w:p>
    <w:p w14:paraId="484A6ADC" w14:textId="315E42AC" w:rsidR="00BD3D82" w:rsidRDefault="00BD3D82" w:rsidP="00BD3D82">
      <w:pPr>
        <w:pStyle w:val="3"/>
        <w:ind w:left="840"/>
        <w:rPr>
          <w:rFonts w:hint="eastAsia"/>
        </w:rPr>
      </w:pPr>
      <w:r>
        <w:rPr>
          <w:rFonts w:hint="eastAsia"/>
        </w:rPr>
        <w:t>Google</w:t>
      </w:r>
    </w:p>
    <w:p w14:paraId="69F26597" w14:textId="77777777" w:rsidR="00BD3D82" w:rsidRDefault="00BD3D82" w:rsidP="00BD3D82">
      <w:pPr>
        <w:rPr>
          <w:rFonts w:hint="eastAsia"/>
        </w:rPr>
      </w:pPr>
      <w:r>
        <w:rPr>
          <w:rFonts w:hint="eastAsia"/>
        </w:rPr>
        <w:t xml:space="preserve">　Googleは2019年2月にGoogleサーチ、Googleニュース、YouTube及び広告システムにおける偽情報に関するホワイトペーパーを公開し、①検索ランク等のアルゴリズムの改善などにより情報の質を確保する、②身元を偽ったりスパム行為を行ったりする利用者など悪意のある主体に対抗措置をとる、③検索サービスやニュースサイトにおいてファクトチェックの情報を見つけやすくするなど利用者により多くの文脈を提供する、といった方針を示している</w:t>
      </w:r>
      <w:r>
        <w:rPr>
          <w:rStyle w:val="a5"/>
        </w:rPr>
        <w:footnoteReference w:id="37"/>
      </w:r>
      <w:r>
        <w:rPr>
          <w:rFonts w:hint="eastAsia"/>
        </w:rPr>
        <w:t>。</w:t>
      </w:r>
    </w:p>
    <w:p w14:paraId="133052BC" w14:textId="77777777" w:rsidR="00BD3D82" w:rsidRDefault="00BD3D82" w:rsidP="00BD3D82">
      <w:pPr>
        <w:rPr>
          <w:rFonts w:hint="eastAsia"/>
        </w:rPr>
      </w:pPr>
      <w:r>
        <w:rPr>
          <w:rFonts w:hint="eastAsia"/>
        </w:rPr>
        <w:t xml:space="preserve">　また、ファクトチェックという点においては、Googleは2016年10月にファクトチェック機関との連携をはじめ、検索結果画面やGoogleニュースの画面にファクトチェックの結果が表示されるという取り組みを開始している。サービスは2017年4月から日本においても運用されている。さらに、ファクトチェッカーに対して、ファクトチェック結果を表示させるためのツールの提供を行ったり、米国ファクトチェック機関「Poynter IFCN」とのパートシップを締結したりするなどしている</w:t>
      </w:r>
      <w:r>
        <w:rPr>
          <w:rStyle w:val="a5"/>
        </w:rPr>
        <w:footnoteReference w:id="38"/>
      </w:r>
      <w:r>
        <w:rPr>
          <w:rFonts w:hint="eastAsia"/>
        </w:rPr>
        <w:t>。</w:t>
      </w:r>
    </w:p>
    <w:p w14:paraId="1E73C8AA" w14:textId="6DF9E0B9" w:rsidR="00BD3D82" w:rsidRDefault="00BD3D82"/>
    <w:p w14:paraId="296CF1FB" w14:textId="04865332" w:rsidR="00BD3D82" w:rsidRDefault="00BD3D82" w:rsidP="00BD3D82">
      <w:pPr>
        <w:pStyle w:val="2"/>
      </w:pPr>
      <w:r>
        <w:t>3-2</w:t>
      </w:r>
      <w:r>
        <w:rPr>
          <w:rFonts w:hint="eastAsia"/>
        </w:rPr>
        <w:t>．海外におけるフェイクニュース対策</w:t>
      </w:r>
    </w:p>
    <w:p w14:paraId="538BE693" w14:textId="77777777" w:rsidR="00BD3D82" w:rsidRDefault="00BD3D82" w:rsidP="00BD3D82">
      <w:pPr>
        <w:jc w:val="left"/>
      </w:pPr>
      <w:r>
        <w:rPr>
          <w:rFonts w:hint="eastAsia"/>
        </w:rPr>
        <w:t xml:space="preserve">　フェイクニュースは民主主義を揺るがすものとして民主主義国家では様々なかたちで対策が取られている。次章では日本における施策として、総務省の「</w:t>
      </w:r>
      <w:r>
        <w:rPr>
          <w:rFonts w:ascii="ＭＳ 明朝" w:eastAsia="ＭＳ 明朝" w:hAnsi="ＭＳ 明朝" w:cs="ＭＳ 明朝" w:hint="eastAsia"/>
          <w:szCs w:val="21"/>
        </w:rPr>
        <w:t>プラットフォームサービスに関する研究会</w:t>
      </w:r>
      <w:r>
        <w:rPr>
          <w:rFonts w:ascii="Century" w:eastAsia="Century" w:hAnsi="Century" w:cs="Century"/>
          <w:szCs w:val="21"/>
        </w:rPr>
        <w:t xml:space="preserve"> </w:t>
      </w:r>
      <w:r>
        <w:rPr>
          <w:rFonts w:ascii="ＭＳ 明朝" w:eastAsia="ＭＳ 明朝" w:hAnsi="ＭＳ 明朝" w:cs="ＭＳ 明朝" w:hint="eastAsia"/>
          <w:szCs w:val="21"/>
        </w:rPr>
        <w:t>最終報告書</w:t>
      </w:r>
      <w:r>
        <w:rPr>
          <w:rFonts w:hint="eastAsia"/>
        </w:rPr>
        <w:t>」</w:t>
      </w:r>
      <w:r>
        <w:rPr>
          <w:rStyle w:val="a5"/>
        </w:rPr>
        <w:footnoteReference w:id="39"/>
      </w:r>
      <w:r>
        <w:rPr>
          <w:rFonts w:hint="eastAsia"/>
        </w:rPr>
        <w:t>を紹介するが、そこでは海外での事例を踏まえたうえで政策提案を行っている。本章では、次章への導入も兼ねて、各国の表現の自由の保障への考え方にも触れつつ、海外のフェイクニュース対策を紹介する。</w:t>
      </w:r>
    </w:p>
    <w:p w14:paraId="39197EAD" w14:textId="77777777" w:rsidR="00BD3D82" w:rsidRDefault="00BD3D82" w:rsidP="00BD3D82">
      <w:pPr>
        <w:jc w:val="left"/>
      </w:pPr>
      <w:r>
        <w:rPr>
          <w:rFonts w:hint="eastAsia"/>
        </w:rPr>
        <w:t xml:space="preserve">　まず、アメリカは、ピザ・ゲート事件、</w:t>
      </w:r>
      <w:proofErr w:type="spellStart"/>
      <w:r>
        <w:t>QAnon</w:t>
      </w:r>
      <w:proofErr w:type="spellEnd"/>
      <w:r>
        <w:rPr>
          <w:rFonts w:hint="eastAsia"/>
        </w:rPr>
        <w:t>の広がり、ロシアによる</w:t>
      </w:r>
      <w:r>
        <w:t>SNS</w:t>
      </w:r>
      <w:r>
        <w:rPr>
          <w:rFonts w:hint="eastAsia"/>
        </w:rPr>
        <w:t>上での世論操作など、フェイクニュースによる影響を最も受けている国の一つであるといえるが、国家よるフェイクニュースへの介入には消極的である。アメリカは伝統的に修正１条を尊重し、公権力が表現行為に介入することに謙抑的であった</w:t>
      </w:r>
      <w:r>
        <w:rPr>
          <w:rStyle w:val="a5"/>
        </w:rPr>
        <w:footnoteReference w:id="40"/>
      </w:r>
      <w:r>
        <w:rPr>
          <w:rFonts w:hint="eastAsia"/>
        </w:rPr>
        <w:t>。フェイクニュース規制が表現内容を理由とする規制とならざるを得ないため、公権力による規制は現在のところ控えられている。</w:t>
      </w:r>
    </w:p>
    <w:p w14:paraId="221D948E" w14:textId="77777777" w:rsidR="00BD3D82" w:rsidRDefault="00BD3D82" w:rsidP="00BD3D82">
      <w:pPr>
        <w:jc w:val="left"/>
      </w:pPr>
      <w:r>
        <w:rPr>
          <w:rFonts w:hint="eastAsia"/>
        </w:rPr>
        <w:t xml:space="preserve">　一方で、</w:t>
      </w:r>
      <w:r>
        <w:t>EU</w:t>
      </w:r>
      <w:r>
        <w:rPr>
          <w:rFonts w:hint="eastAsia"/>
        </w:rPr>
        <w:t>においては、公的な関与が行われている。欧州委員会は</w:t>
      </w:r>
      <w:r>
        <w:t>2018</w:t>
      </w:r>
      <w:r>
        <w:rPr>
          <w:rFonts w:hint="eastAsia"/>
        </w:rPr>
        <w:t>年、欧州議会選挙に先立って、プラットフォーム事業者や広告事業者といったフェイクニュース発信の場や誘因を作るべき事業者の守るべき「行動規範」</w:t>
      </w:r>
      <w:r>
        <w:rPr>
          <w:rStyle w:val="a5"/>
        </w:rPr>
        <w:footnoteReference w:id="41"/>
      </w:r>
      <w:r>
        <w:rPr>
          <w:rFonts w:hint="eastAsia"/>
        </w:rPr>
        <w:t>を策定した。「行動規範」は、広告配置の精査、政治広告及び問題ベースの広告、サービスの完全性、消費者へのエンパワー、研究コミュニティへのエンパワーの５分類からなる</w:t>
      </w:r>
      <w:r>
        <w:rPr>
          <w:rStyle w:val="a5"/>
        </w:rPr>
        <w:footnoteReference w:id="42"/>
      </w:r>
      <w:r>
        <w:rPr>
          <w:rFonts w:hint="eastAsia"/>
        </w:rPr>
        <w:t>。プラットフォーム事業者などの関連事業者に署名を促し、</w:t>
      </w:r>
      <w:r>
        <w:t>2018</w:t>
      </w:r>
      <w:r>
        <w:rPr>
          <w:rFonts w:hint="eastAsia"/>
        </w:rPr>
        <w:t>年秋までには</w:t>
      </w:r>
      <w:r>
        <w:t>Facebook</w:t>
      </w:r>
      <w:r>
        <w:rPr>
          <w:rFonts w:hint="eastAsia"/>
        </w:rPr>
        <w:t>、</w:t>
      </w:r>
      <w:r>
        <w:t>Google</w:t>
      </w:r>
      <w:r>
        <w:rPr>
          <w:rFonts w:hint="eastAsia"/>
        </w:rPr>
        <w:t>、</w:t>
      </w:r>
      <w:r>
        <w:t>Twitter</w:t>
      </w:r>
      <w:r>
        <w:rPr>
          <w:rFonts w:hint="eastAsia"/>
        </w:rPr>
        <w:t>をはじめとするプラットフォーム事業者がこれに署名した</w:t>
      </w:r>
      <w:r>
        <w:rPr>
          <w:rStyle w:val="a5"/>
        </w:rPr>
        <w:footnoteReference w:id="43"/>
      </w:r>
      <w:r>
        <w:rPr>
          <w:rFonts w:hint="eastAsia"/>
        </w:rPr>
        <w:t>。</w:t>
      </w:r>
      <w:r>
        <w:t>EU</w:t>
      </w:r>
      <w:r>
        <w:rPr>
          <w:rFonts w:hint="eastAsia"/>
        </w:rPr>
        <w:t>は、</w:t>
      </w:r>
      <w:r>
        <w:t>2018</w:t>
      </w:r>
      <w:r>
        <w:rPr>
          <w:rFonts w:hint="eastAsia"/>
        </w:rPr>
        <w:t>年</w:t>
      </w:r>
      <w:r>
        <w:t>12</w:t>
      </w:r>
      <w:r>
        <w:rPr>
          <w:rFonts w:hint="eastAsia"/>
        </w:rPr>
        <w:t>月から欧州議会選挙のある翌５月まで、行動規範に署名したプラットフォーム事業者に対して毎月行動規範に関する取組状況の提出を求めた</w:t>
      </w:r>
      <w:r>
        <w:rPr>
          <w:rStyle w:val="a5"/>
        </w:rPr>
        <w:footnoteReference w:id="44"/>
      </w:r>
      <w:r>
        <w:rPr>
          <w:rFonts w:hint="eastAsia"/>
        </w:rPr>
        <w:t>。この</w:t>
      </w:r>
      <w:r>
        <w:t>EU</w:t>
      </w:r>
      <w:r>
        <w:rPr>
          <w:rFonts w:hint="eastAsia"/>
        </w:rPr>
        <w:t>の「行動規範」には法的拘束力はなく、欧州委員会の行政指導にすぎないが、欧州議会選挙を経て、フェイクニュース対策において一定の成果があったと欧州委員会は評価している</w:t>
      </w:r>
      <w:r>
        <w:rPr>
          <w:rStyle w:val="a5"/>
        </w:rPr>
        <w:footnoteReference w:id="45"/>
      </w:r>
      <w:r>
        <w:rPr>
          <w:rFonts w:hint="eastAsia"/>
        </w:rPr>
        <w:t>。</w:t>
      </w:r>
    </w:p>
    <w:p w14:paraId="63D8E007" w14:textId="77777777" w:rsidR="00BD3D82" w:rsidRDefault="00BD3D82" w:rsidP="00BD3D82">
      <w:pPr>
        <w:jc w:val="left"/>
        <w:rPr>
          <w:szCs w:val="21"/>
        </w:rPr>
      </w:pPr>
      <w:r>
        <w:rPr>
          <w:rFonts w:hint="eastAsia"/>
        </w:rPr>
        <w:t xml:space="preserve">　</w:t>
      </w:r>
      <w:r>
        <w:t>EU</w:t>
      </w:r>
      <w:r>
        <w:rPr>
          <w:rFonts w:hint="eastAsia"/>
        </w:rPr>
        <w:t>域内では、フランスとドイツがフェイクニュース対策についてさらに踏み込んだ施策を行っている。</w:t>
      </w:r>
    </w:p>
    <w:p w14:paraId="12176196" w14:textId="25BE5FDD" w:rsidR="00BD3D82" w:rsidRDefault="00BD3D82" w:rsidP="00BD3D82">
      <w:pPr>
        <w:jc w:val="left"/>
        <w:rPr>
          <w:rFonts w:ascii="Century" w:eastAsia="Century" w:hAnsi="Century" w:cs="Century"/>
          <w:color w:val="000000" w:themeColor="text1"/>
          <w:szCs w:val="21"/>
        </w:rPr>
      </w:pPr>
      <w:r>
        <w:rPr>
          <w:rFonts w:hint="eastAsia"/>
          <w:szCs w:val="21"/>
        </w:rPr>
        <w:t xml:space="preserve">　フランスでは表現行為へ公権力が関与することへの拒否感は少なく、メディア法においては積極的な公権力による介入が行われてきた</w:t>
      </w:r>
      <w:r>
        <w:rPr>
          <w:rStyle w:val="a5"/>
          <w:szCs w:val="21"/>
        </w:rPr>
        <w:footnoteReference w:id="46"/>
      </w:r>
      <w:r>
        <w:rPr>
          <w:rFonts w:hint="eastAsia"/>
          <w:szCs w:val="21"/>
        </w:rPr>
        <w:t>。選挙時におけるフェイクニュース規制として、「</w:t>
      </w:r>
      <w:r>
        <w:rPr>
          <w:rFonts w:ascii="ＭＳ 明朝" w:eastAsia="ＭＳ 明朝" w:hAnsi="ＭＳ 明朝" w:cs="ＭＳ 明朝" w:hint="eastAsia"/>
          <w:szCs w:val="21"/>
        </w:rPr>
        <w:t>情報操作との闘いに関する法律</w:t>
      </w:r>
      <w:r>
        <w:rPr>
          <w:rFonts w:hint="eastAsia"/>
          <w:szCs w:val="21"/>
        </w:rPr>
        <w:t>」が制定されている</w:t>
      </w:r>
      <w:r>
        <w:rPr>
          <w:rStyle w:val="a5"/>
          <w:szCs w:val="21"/>
        </w:rPr>
        <w:footnoteReference w:id="47"/>
      </w:r>
      <w:r>
        <w:rPr>
          <w:rFonts w:ascii="ＭＳ 明朝" w:eastAsia="ＭＳ 明朝" w:hAnsi="ＭＳ 明朝" w:cs="ＭＳ 明朝" w:hint="eastAsia"/>
          <w:szCs w:val="21"/>
        </w:rPr>
        <w:t>。国民議会議員選挙の投票が行われる月の初日の</w:t>
      </w:r>
      <w:r>
        <w:rPr>
          <w:rFonts w:ascii="Century" w:eastAsia="Century" w:hAnsi="Century" w:cs="Century"/>
          <w:szCs w:val="21"/>
        </w:rPr>
        <w:t xml:space="preserve"> 3 </w:t>
      </w:r>
      <w:r>
        <w:rPr>
          <w:rFonts w:ascii="ＭＳ 明朝" w:eastAsia="ＭＳ 明朝" w:hAnsi="ＭＳ 明朝" w:cs="ＭＳ 明朝" w:hint="eastAsia"/>
          <w:szCs w:val="21"/>
        </w:rPr>
        <w:t>か月前から投票日までの期間に、選挙の真正さを侵害する性質の、不正確な又は偽りの情報がオンラインコミュニケーションサービスを</w:t>
      </w:r>
      <w:r>
        <w:rPr>
          <w:rFonts w:ascii="Century" w:eastAsia="Century" w:hAnsi="Century" w:cs="Century"/>
          <w:szCs w:val="21"/>
        </w:rPr>
        <w:t xml:space="preserve"> </w:t>
      </w:r>
      <w:r>
        <w:rPr>
          <w:rFonts w:ascii="ＭＳ 明朝" w:eastAsia="ＭＳ 明朝" w:hAnsi="ＭＳ 明朝" w:cs="ＭＳ 明朝" w:hint="eastAsia"/>
          <w:szCs w:val="21"/>
        </w:rPr>
        <w:t>通じて人為的又は機械的に大量に拡散されている場合に、申立を受けた裁判官は、拡散を行う者に対し、その拡散を止めるために必要なあらゆる措置を命じることができる。裁判官は、要請から</w:t>
      </w:r>
      <w:r>
        <w:rPr>
          <w:rFonts w:ascii="Century" w:eastAsia="Century" w:hAnsi="Century" w:cs="Century"/>
          <w:szCs w:val="21"/>
        </w:rPr>
        <w:t xml:space="preserve"> 48 </w:t>
      </w:r>
      <w:r>
        <w:rPr>
          <w:rFonts w:ascii="ＭＳ 明朝" w:eastAsia="ＭＳ 明朝" w:hAnsi="ＭＳ 明朝" w:cs="ＭＳ 明朝" w:hint="eastAsia"/>
          <w:szCs w:val="21"/>
        </w:rPr>
        <w:t>時間以内に、情報の不正確な又は偽りの性質が明白</w:t>
      </w:r>
      <w:r>
        <w:rPr>
          <w:rFonts w:ascii="Century" w:eastAsia="Century" w:hAnsi="Century" w:cs="Century"/>
          <w:szCs w:val="21"/>
        </w:rPr>
        <w:t xml:space="preserve"> </w:t>
      </w:r>
      <w:r>
        <w:rPr>
          <w:rFonts w:ascii="ＭＳ 明朝" w:eastAsia="ＭＳ 明朝" w:hAnsi="ＭＳ 明朝" w:cs="ＭＳ 明朝" w:hint="eastAsia"/>
          <w:szCs w:val="21"/>
        </w:rPr>
        <w:t>であるか、選挙の真正さが侵害されるおそれが明白であるかを判断し、判決を言い渡さなければならない。</w:t>
      </w:r>
      <w:r>
        <w:rPr>
          <w:rFonts w:ascii="ＭＳ 明朝" w:eastAsia="ＭＳ 明朝" w:hAnsi="ＭＳ 明朝" w:cs="ＭＳ 明朝" w:hint="eastAsia"/>
          <w:color w:val="000000" w:themeColor="text1"/>
          <w:szCs w:val="21"/>
        </w:rPr>
        <w:t>（第一編）</w:t>
      </w:r>
      <w:r>
        <w:rPr>
          <w:rStyle w:val="a5"/>
          <w:rFonts w:ascii="Century" w:eastAsia="Century" w:hAnsi="Century" w:cs="Century"/>
          <w:color w:val="000000" w:themeColor="text1"/>
          <w:szCs w:val="21"/>
        </w:rPr>
        <w:footnoteReference w:id="48"/>
      </w:r>
      <w:r>
        <w:rPr>
          <w:rFonts w:ascii="ＭＳ 明朝" w:eastAsia="ＭＳ 明朝" w:hAnsi="ＭＳ 明朝" w:cs="ＭＳ 明朝" w:hint="eastAsia"/>
          <w:color w:val="000000" w:themeColor="text1"/>
          <w:szCs w:val="21"/>
        </w:rPr>
        <w:t>。また、国民議会選挙の期間前から投票日にかけての期間中、プラットフォーム事業者に対する宣伝対価などについての透明性を高める措置が規定されている（第三編）。</w:t>
      </w:r>
    </w:p>
    <w:p w14:paraId="26076054" w14:textId="77777777" w:rsidR="00BD3D82" w:rsidRDefault="00BD3D82" w:rsidP="00BD3D82">
      <w:pPr>
        <w:jc w:val="left"/>
        <w:rPr>
          <w:rFonts w:ascii="Century" w:eastAsia="Century" w:hAnsi="Century" w:cs="Century"/>
          <w:color w:val="000000" w:themeColor="text1"/>
          <w:szCs w:val="21"/>
        </w:rPr>
      </w:pPr>
      <w:r>
        <w:rPr>
          <w:rFonts w:ascii="ＭＳ 明朝" w:eastAsia="ＭＳ 明朝" w:hAnsi="ＭＳ 明朝" w:cs="ＭＳ 明朝" w:hint="eastAsia"/>
          <w:color w:val="000000" w:themeColor="text1"/>
          <w:szCs w:val="21"/>
        </w:rPr>
        <w:t xml:space="preserve">　ドイツにおいては、「情報操作との戦いに関する法律」がフェイクニュース対策について踏み込んだ内容を規定している</w:t>
      </w:r>
      <w:r>
        <w:rPr>
          <w:rStyle w:val="a5"/>
          <w:rFonts w:ascii="Century" w:eastAsia="Century" w:hAnsi="Century" w:cs="Century"/>
          <w:color w:val="000000" w:themeColor="text1"/>
          <w:szCs w:val="21"/>
        </w:rPr>
        <w:footnoteReference w:id="49"/>
      </w:r>
      <w:r>
        <w:rPr>
          <w:rFonts w:ascii="ＭＳ 明朝" w:eastAsia="ＭＳ 明朝" w:hAnsi="ＭＳ 明朝" w:cs="ＭＳ 明朝" w:hint="eastAsia"/>
          <w:color w:val="000000" w:themeColor="text1"/>
          <w:szCs w:val="21"/>
        </w:rPr>
        <w:t>。プラットフォーム事業者は、「明らかに違法なコンテンツ」については苦情を受けてから</w:t>
      </w:r>
      <w:r>
        <w:rPr>
          <w:rFonts w:ascii="Century" w:eastAsia="Century" w:hAnsi="Century" w:cs="Century"/>
          <w:color w:val="000000" w:themeColor="text1"/>
          <w:szCs w:val="21"/>
        </w:rPr>
        <w:t>24</w:t>
      </w:r>
      <w:r>
        <w:rPr>
          <w:rFonts w:ascii="ＭＳ 明朝" w:eastAsia="ＭＳ 明朝" w:hAnsi="ＭＳ 明朝" w:cs="ＭＳ 明朝" w:hint="eastAsia"/>
          <w:color w:val="000000" w:themeColor="text1"/>
          <w:szCs w:val="21"/>
        </w:rPr>
        <w:t>時間以内に削除またはアクセス遮断を行う必要がある。それ以外の「すべての違法なコンテンツ」については、苦情を受け付けてから１週間以内に削除またはアクセス遮断を行うこと必要がある。プラットフォーム事業者による過剰な削除を防ぐために以下２点の規定がなされている。すなわち、「違法」な範囲は刑法典に示された内容に限定されており、「明らかに」という要件も付け加えられている。また、罰則は、違法な内容に対する苦情を処理する体制づくりを怠った場合に留まり、削除義務に違反すれば処罰されるという仕組みを取っていない。</w:t>
      </w:r>
    </w:p>
    <w:p w14:paraId="262F17D6" w14:textId="037266F2" w:rsidR="00BD3D82" w:rsidRDefault="00BD3D82" w:rsidP="00BD3D82">
      <w:pPr>
        <w:jc w:val="left"/>
        <w:rPr>
          <w:rFonts w:ascii="ＭＳ 明朝" w:eastAsia="ＭＳ 明朝" w:hAnsi="ＭＳ 明朝" w:cs="ＭＳ 明朝"/>
          <w:color w:val="000000" w:themeColor="text1"/>
          <w:sz w:val="22"/>
        </w:rPr>
      </w:pPr>
    </w:p>
    <w:p w14:paraId="26C26B33" w14:textId="77777777" w:rsidR="00BD3D82" w:rsidRDefault="00BD3D82" w:rsidP="00BD3D82">
      <w:pPr>
        <w:pStyle w:val="1"/>
      </w:pPr>
      <w:r>
        <w:rPr>
          <w:rFonts w:hint="eastAsia"/>
        </w:rPr>
        <w:t>4.日本における動き</w:t>
      </w:r>
    </w:p>
    <w:p w14:paraId="0B97440B" w14:textId="77777777" w:rsidR="00BD3D82" w:rsidRDefault="00BD3D82" w:rsidP="00BD3D82">
      <w:pPr>
        <w:rPr>
          <w:rFonts w:hint="eastAsia"/>
        </w:rPr>
      </w:pPr>
      <w:r>
        <w:rPr>
          <w:rFonts w:hint="eastAsia"/>
        </w:rPr>
        <w:t xml:space="preserve">　現在の日本では、アメリカやヨーロッパをはじめとした欧米諸国ほどフェイクニュースや偽情報の拡散と社会に与える影響が深刻ではないが、今後、日本においても同じような現象が起こる可能性があるという懸念から、総務省では2018年10月に立ち上げた「プラットフォームサービスに関する研究会」の中で、「インターネット上のフェイクニュースや偽情報への対応」を対応項目の一つとして議論を行い、2020年2月に最終報告書を取りまとめた</w:t>
      </w:r>
      <w:r>
        <w:rPr>
          <w:rStyle w:val="a5"/>
        </w:rPr>
        <w:footnoteReference w:id="50"/>
      </w:r>
      <w:r>
        <w:rPr>
          <w:rFonts w:hint="eastAsia"/>
        </w:rPr>
        <w:t>。これまで本稿で取り上げたソーシャルメディアに用いられているアルゴリズムなどの技術や、インターネットをめぐる人々の情報発信・情報収集の方法の変化、フェイクニュースが与える影響の深刻さという点をフェイクニュース規制の目的・必要性と位置付けた上で、具体的な対応策を取りまとめている。この章では、プラットフォームサービスに関する研究会が提言したフェイクニュースに対する対応の在り方を紹介したい。</w:t>
      </w:r>
    </w:p>
    <w:p w14:paraId="451A1C88" w14:textId="77777777" w:rsidR="00BD3D82" w:rsidRDefault="00BD3D82" w:rsidP="00BD3D82">
      <w:pPr>
        <w:pStyle w:val="2"/>
        <w:rPr>
          <w:rFonts w:hint="eastAsia"/>
        </w:rPr>
      </w:pPr>
      <w:r>
        <w:rPr>
          <w:rFonts w:hint="eastAsia"/>
        </w:rPr>
        <w:t>フェイクニュースや偽情報への対応の在り方</w:t>
      </w:r>
    </w:p>
    <w:p w14:paraId="15C572A3" w14:textId="77777777" w:rsidR="00BD3D82" w:rsidRDefault="00BD3D82" w:rsidP="00BD3D82">
      <w:pPr>
        <w:rPr>
          <w:rFonts w:hint="eastAsia"/>
        </w:rPr>
      </w:pPr>
      <w:r>
        <w:rPr>
          <w:rFonts w:hint="eastAsia"/>
        </w:rPr>
        <w:t xml:space="preserve">　日本におけるフェイクニュースへの対応への在り方としては、諸外国での事例やプラットフォーム事業者による自主的な取り組みの動きを踏まえながら、プラットフォームサービスに関する研究会では、10の方向性を示している。</w:t>
      </w:r>
    </w:p>
    <w:p w14:paraId="52CB99E6" w14:textId="77777777" w:rsidR="00BD3D82" w:rsidRDefault="00BD3D82" w:rsidP="00BD3D82">
      <w:pPr>
        <w:rPr>
          <w:rFonts w:hint="eastAsia"/>
        </w:rPr>
      </w:pPr>
      <w:r>
        <w:rPr>
          <w:rFonts w:hint="eastAsia"/>
        </w:rPr>
        <w:t xml:space="preserve">　第一に、「自主的なスキームの尊重」である。偽情報への対応の形は、法律による「法規制」、自主的なルールに一任する「自主規制」、自主的な規制とその実効性を支える「共同規制」という類型が考えられるが、このうち「共同規制」のスキームを用いようとしている。具体的には、プラットフォーム事業者をはじめとする民間部門における関係者による自主的な取り組みを基本とした対策を進めることを基本とし、特にプラットフォーム事業者による除法の削除等の対応など、個別のコンテンツの内容判断に関わるものについては、表現の自由の確保などの観点から政府の介入は極めて慎重であるべきとして、政府は基本的には民間事業者による自主的な取組を尊重し、その取り組み状況を注視することに徹するとしている</w:t>
      </w:r>
      <w:r>
        <w:rPr>
          <w:rStyle w:val="a5"/>
        </w:rPr>
        <w:footnoteReference w:id="51"/>
      </w:r>
      <w:r>
        <w:rPr>
          <w:rFonts w:hint="eastAsia"/>
        </w:rPr>
        <w:t>。他方で、民間事業者による自主的スキームが達成されない場合、あるいは将来的に偽情報の拡散について効果がないと認められる場合には、プラットフォーム事業者に対する行動規範の策定や対応状況の報告・公表など、行政からの一定の関与も視野にいれて検討を行うことが適当であるとする</w:t>
      </w:r>
      <w:r>
        <w:rPr>
          <w:rStyle w:val="a5"/>
        </w:rPr>
        <w:footnoteReference w:id="52"/>
      </w:r>
      <w:r>
        <w:rPr>
          <w:rFonts w:hint="eastAsia"/>
        </w:rPr>
        <w:t>。</w:t>
      </w:r>
    </w:p>
    <w:p w14:paraId="67DBFFB8" w14:textId="77777777" w:rsidR="00BD3D82" w:rsidRDefault="00BD3D82" w:rsidP="00BD3D82">
      <w:pPr>
        <w:rPr>
          <w:rFonts w:hint="eastAsia"/>
        </w:rPr>
      </w:pPr>
      <w:r>
        <w:rPr>
          <w:rFonts w:hint="eastAsia"/>
        </w:rPr>
        <w:t xml:space="preserve">　第二に、「我が国における実態の把握」である。日本において、どのような情報の流通が問題になっているのか、また今後問題になり得るのかを明らかするという偽情報自体に着目した操作に加え、プラットフォームサービスにおける偽情報の生成、拡散の各場面において、どのような主体にどのような問題が生じているのかについて把握することが必要であるとしている</w:t>
      </w:r>
      <w:r>
        <w:rPr>
          <w:rStyle w:val="a5"/>
        </w:rPr>
        <w:footnoteReference w:id="53"/>
      </w:r>
      <w:r>
        <w:rPr>
          <w:rFonts w:hint="eastAsia"/>
        </w:rPr>
        <w:t>。これらの調査にあたっては、プラットフォーム事業者と連携し、事業者しか持ちえない情報を利用することにより、より詳細かつ正確な調査を行おうとしている</w:t>
      </w:r>
      <w:r>
        <w:rPr>
          <w:rStyle w:val="a5"/>
        </w:rPr>
        <w:footnoteReference w:id="54"/>
      </w:r>
      <w:r>
        <w:rPr>
          <w:rFonts w:hint="eastAsia"/>
        </w:rPr>
        <w:t>。</w:t>
      </w:r>
    </w:p>
    <w:p w14:paraId="7DEE16A6" w14:textId="77777777" w:rsidR="00BD3D82" w:rsidRDefault="00BD3D82" w:rsidP="00BD3D82">
      <w:pPr>
        <w:rPr>
          <w:rFonts w:hint="eastAsia"/>
        </w:rPr>
      </w:pPr>
      <w:r>
        <w:rPr>
          <w:rFonts w:hint="eastAsia"/>
        </w:rPr>
        <w:t xml:space="preserve">　第三に、「多様なステークホルダーによる協力体制の構築」である。偽情報の問題の背景には、プラットフォームサービスの特性のみならず、災害や選挙、国際関係などといった社会的・政治的背景や、ICTリテラシーなどの利用者、発信側の信頼性などといったメディア環境というような要素が多元的に働いていることから、フェイクニュースの対応に当たっては多面的な解決策を検討することが必要である。その実現のために、プラットフォームじぎょうしゃのみならず、産学官民の多様なステークホルダーによる対話の枠組み、具体的には国内外の主要なプラットフォーム事業者・政府・有識者・利用者等の関係者で構成するフォーラムを設置し、偽情報の実態や各ステークホルダーの取組の進捗情報を共有しつつ継続的な議論を行っていくこと適当であるとする</w:t>
      </w:r>
      <w:r>
        <w:rPr>
          <w:rStyle w:val="a5"/>
        </w:rPr>
        <w:footnoteReference w:id="55"/>
      </w:r>
      <w:r>
        <w:rPr>
          <w:rFonts w:hint="eastAsia"/>
        </w:rPr>
        <w:t>。</w:t>
      </w:r>
    </w:p>
    <w:p w14:paraId="31E7D238" w14:textId="77777777" w:rsidR="00BD3D82" w:rsidRDefault="00BD3D82" w:rsidP="00BD3D82">
      <w:pPr>
        <w:rPr>
          <w:rFonts w:hint="eastAsia"/>
        </w:rPr>
      </w:pPr>
      <w:r>
        <w:rPr>
          <w:rFonts w:hint="eastAsia"/>
        </w:rPr>
        <w:t xml:space="preserve">　第四に、「プラットフォーム事業者による適切な対応及び透明性・アカウンタビリティの確保」だ。偽情報の削除等に対する適切な対応という点では、各プラットフォームの性質や考え方に応じたポリシーにしたがって、事業者自身が自律的に判断して対処することに期待して、個別の内容判断に関しては政府の介入は極めて慎重であるべきとする</w:t>
      </w:r>
      <w:r>
        <w:rPr>
          <w:rStyle w:val="a5"/>
        </w:rPr>
        <w:footnoteReference w:id="56"/>
      </w:r>
      <w:r>
        <w:rPr>
          <w:rFonts w:hint="eastAsia"/>
        </w:rPr>
        <w:t>。透明性・アカウンタビリティの確保については、前述のプラットフォーム事業者による自律的な情報の削除等の対応に加えて、それらの取組が適切に行われていることが利用者や社会に対して明らかにされるようにするためにも、(1)自社のサービスの基本的な考え方や具体的な対応に関するポリシーの明確な策定・公開、(2)自らが実際に行った取組の結果の公開、(3)取組の効果について分析を行ったものの公開、(4)取組の効果や偽情報の流通状況について外部の研究者等が調査分析を行う際に必要な情報の提供、(5)削除やアカウント停止等の対応に備えて、苦情受付体制及び苦情処理プロセスを適切に定め、利用者に対してわかりやすく公開し、適切に運用を行うことなどの取組を実施することが望ましいとしており、日本における個別事情に応じた対応を求めるとする</w:t>
      </w:r>
      <w:r>
        <w:rPr>
          <w:rStyle w:val="a5"/>
        </w:rPr>
        <w:footnoteReference w:id="57"/>
      </w:r>
      <w:r>
        <w:rPr>
          <w:rFonts w:hint="eastAsia"/>
        </w:rPr>
        <w:t>。</w:t>
      </w:r>
    </w:p>
    <w:p w14:paraId="2578882F" w14:textId="77777777" w:rsidR="00BD3D82" w:rsidRDefault="00BD3D82" w:rsidP="00BD3D82">
      <w:pPr>
        <w:rPr>
          <w:rFonts w:hint="eastAsia"/>
        </w:rPr>
      </w:pPr>
      <w:r>
        <w:rPr>
          <w:rFonts w:hint="eastAsia"/>
        </w:rPr>
        <w:t xml:space="preserve">　第五に、「利用者情報を活用した情報発信への対応」である。利用者の行動データを基に個々の興味や関心に応じて、効果的・効率的な情報発信をはじめとするマーケティングを行うという行動ターゲティングが政治広告などの虚偽情報の生成、拡散に悪用されないようにする策を、基本的にはプラットフォーム事業者による自主的なスキームに一任しつつも、自主的スキームが達成されない場合には、行政からの一定の関与も視野に入れて検討を行うことが適当であるとしている</w:t>
      </w:r>
      <w:r>
        <w:rPr>
          <w:rStyle w:val="a5"/>
        </w:rPr>
        <w:footnoteReference w:id="58"/>
      </w:r>
      <w:r>
        <w:rPr>
          <w:rFonts w:hint="eastAsia"/>
        </w:rPr>
        <w:t>。</w:t>
      </w:r>
    </w:p>
    <w:p w14:paraId="1C0D44C0" w14:textId="77777777" w:rsidR="00BD3D82" w:rsidRDefault="00BD3D82" w:rsidP="00BD3D82">
      <w:pPr>
        <w:rPr>
          <w:rFonts w:hint="eastAsia"/>
        </w:rPr>
      </w:pPr>
      <w:r>
        <w:rPr>
          <w:rFonts w:hint="eastAsia"/>
        </w:rPr>
        <w:t xml:space="preserve">　第六に、「ファクトチェックの推進」である。我が国においては、ファクトチェックを支援するための団体が設立されるなどファクトチェックの取組が徐々に広がってはいるが、持続可能な事業モデルが存在せず、ファクトチェックの担い手が不足していることや、社会的認知度や理解度が不足しているという課題が存在しているという課題を踏まえ、海外における事例を参考にしながら、ファクトチェックの活性化のための環境整備や、ファクトチェック機関に対する活動コスト負担などの面での支援方針などの議論を継続することが適当であるとする</w:t>
      </w:r>
      <w:r>
        <w:rPr>
          <w:rStyle w:val="a5"/>
        </w:rPr>
        <w:footnoteReference w:id="59"/>
      </w:r>
      <w:r>
        <w:rPr>
          <w:rFonts w:hint="eastAsia"/>
        </w:rPr>
        <w:t>。</w:t>
      </w:r>
    </w:p>
    <w:p w14:paraId="44132CC7" w14:textId="77777777" w:rsidR="00BD3D82" w:rsidRDefault="00BD3D82" w:rsidP="00BD3D82">
      <w:pPr>
        <w:rPr>
          <w:rFonts w:hint="eastAsia"/>
        </w:rPr>
      </w:pPr>
      <w:r>
        <w:rPr>
          <w:rFonts w:hint="eastAsia"/>
        </w:rPr>
        <w:t xml:space="preserve">　第七に、「ICTリテラシー向上の推進」である。プラットフォーム上でのフェイクニュースの拡散を防ぐためには、利用者が情報を適切に読み取るためのICTリテラシーを身に着けることが必要であるという観点から、既存のICTリテラシー向上政策において、フェイクニュースの問題に対応した教材やカリキュラムにアップデートしていくことが求められる。その点、これまで行政や民間団体、通信事業者等によりそれぞれ別々実施されてきたICTリテラシー向上推進を有機的に結びつけることで、より効果的な取組が可能になるであろうという見解を付している。</w:t>
      </w:r>
      <w:r>
        <w:rPr>
          <w:rStyle w:val="a5"/>
        </w:rPr>
        <w:footnoteReference w:id="60"/>
      </w:r>
    </w:p>
    <w:p w14:paraId="2EA99C85" w14:textId="77777777" w:rsidR="00BD3D82" w:rsidRDefault="00BD3D82" w:rsidP="00BD3D82">
      <w:pPr>
        <w:rPr>
          <w:rFonts w:hint="eastAsia"/>
        </w:rPr>
      </w:pPr>
      <w:r>
        <w:rPr>
          <w:rFonts w:hint="eastAsia"/>
        </w:rPr>
        <w:t xml:space="preserve">　第八に、「研究開発の推進」である。今後、プラットフォーム上で流通する情報の量が増え続け、さらにはディープフェイクなど近年の新しい技術により手の込んだ偽情報の形態の出現により、フェイクニュースを効果的・効率的に実施を行うためにも、プラットフォーム事業者は、今後も機械学習を由組むAIを活用した技術について研究開発を推進し、政府も研究開発の推進と研究活動を行う研究者等の支援が求められるとしている</w:t>
      </w:r>
      <w:r>
        <w:rPr>
          <w:rStyle w:val="a5"/>
        </w:rPr>
        <w:footnoteReference w:id="61"/>
      </w:r>
      <w:r>
        <w:rPr>
          <w:rFonts w:hint="eastAsia"/>
        </w:rPr>
        <w:t>。</w:t>
      </w:r>
    </w:p>
    <w:p w14:paraId="3BE66612" w14:textId="77777777" w:rsidR="00BD3D82" w:rsidRDefault="00BD3D82" w:rsidP="00BD3D82">
      <w:pPr>
        <w:rPr>
          <w:rFonts w:hint="eastAsia"/>
        </w:rPr>
      </w:pPr>
      <w:r>
        <w:rPr>
          <w:rFonts w:hint="eastAsia"/>
        </w:rPr>
        <w:t xml:space="preserve">　第九に、「情報発信者による信頼性確保方針の検討」である。プラットフォーム上におけるフェイクニュースの問題に対応するためには、信頼背の高い情報の流通を増やし、利用者が容易にそれらを参照できるようになることが必要であるから、伝統的なメディアにおける情報の信頼性確保の取組やノウハウを参考とし、これらを拡大しながら、現代のメディア環境に対応した情報の信頼性の確保について検討を深めていくことが必要であるとした上で、プラットフォーム事業者とメディアの協力体制の構築や、ファクトチェック活動との連携を含めた信頼性の高い情報のデジタルアーカイブの推進などの形を例示している</w:t>
      </w:r>
      <w:r>
        <w:rPr>
          <w:rStyle w:val="a5"/>
        </w:rPr>
        <w:footnoteReference w:id="62"/>
      </w:r>
      <w:r>
        <w:rPr>
          <w:rFonts w:hint="eastAsia"/>
        </w:rPr>
        <w:t>。</w:t>
      </w:r>
    </w:p>
    <w:p w14:paraId="10E68C85" w14:textId="77777777" w:rsidR="00BD3D82" w:rsidRDefault="00BD3D82" w:rsidP="00BD3D82">
      <w:pPr>
        <w:rPr>
          <w:rFonts w:hint="eastAsia"/>
        </w:rPr>
      </w:pPr>
      <w:r>
        <w:rPr>
          <w:rFonts w:hint="eastAsia"/>
        </w:rPr>
        <w:t xml:space="preserve">　第十に、「国際的な対話の深化」だ。日本においてフェイクニュースへの対応を検討するにあたり、先行して議論や取り組みが行われている欧米をはじめした国際的な対応状況を注視しつつ、対応方針に関して国際的な調和を図りつつ進めていくことが必要であり、国債社会においてコンセンサスを得られるようなインターネット上のルールメイキングが必要であるとする</w:t>
      </w:r>
      <w:r>
        <w:rPr>
          <w:rStyle w:val="a5"/>
        </w:rPr>
        <w:footnoteReference w:id="63"/>
      </w:r>
      <w:r>
        <w:rPr>
          <w:rFonts w:hint="eastAsia"/>
        </w:rPr>
        <w:t>。</w:t>
      </w:r>
    </w:p>
    <w:p w14:paraId="14E40486" w14:textId="77777777" w:rsidR="00BD3D82" w:rsidRDefault="00BD3D82" w:rsidP="00BD3D82">
      <w:pPr>
        <w:pStyle w:val="1"/>
      </w:pPr>
      <w:r>
        <w:rPr>
          <w:rFonts w:hint="eastAsia"/>
        </w:rPr>
        <w:t>５．今後のフェイクニュース規制について</w:t>
      </w:r>
    </w:p>
    <w:p w14:paraId="0F026C8F" w14:textId="35F0D451" w:rsidR="00BD3D82" w:rsidRDefault="00BD3D82" w:rsidP="00BD3D82">
      <w:r>
        <w:rPr>
          <w:rFonts w:hint="eastAsia"/>
        </w:rPr>
        <w:t xml:space="preserve">　これまで、フェイクニュース問題と現在の規制について見てきた。日本における施策の指針となるであろう「プラットフォームサービスに関する研究会最終報告書」は、フェイクニュース規制を現状は民間による自主的な規制に任せ、それがうまくいかなかった場合には、行政による関与も検討すべきと結論付けている</w:t>
      </w:r>
      <w:r>
        <w:rPr>
          <w:rStyle w:val="a5"/>
        </w:rPr>
        <w:footnoteReference w:id="64"/>
      </w:r>
      <w:r>
        <w:rPr>
          <w:rFonts w:hint="eastAsia"/>
        </w:rPr>
        <w:t>。現在の日本では（政治的文脈における）フェイクニュースが深刻な問題とはなっておらず、また、フェイクニュース規制が内容規制とならざるを得ないことに鑑みても、表現の自由への配慮の観点から公権力による規制をまずは控えることは妥当といえる。しかし一方で、民間企業たるプラットフォームにおける自主規制は本章で述べるように身を結びづらく、行政による関与は早い段階で検討すべきものとなりうる。「プラットフォームサービスに関する研究会最終報告書」では「共同規制的」として触れられていたその中身について検討していく。</w:t>
      </w:r>
    </w:p>
    <w:p w14:paraId="6B0B5D0C" w14:textId="77777777" w:rsidR="00BD3D82" w:rsidRDefault="00BD3D82" w:rsidP="00BD3D82">
      <w:pPr>
        <w:pStyle w:val="2"/>
      </w:pPr>
      <w:r>
        <w:t xml:space="preserve">5-1. </w:t>
      </w:r>
      <w:r>
        <w:rPr>
          <w:rFonts w:hint="eastAsia"/>
        </w:rPr>
        <w:t>共同規制という概念</w:t>
      </w:r>
    </w:p>
    <w:p w14:paraId="2DFD90EB" w14:textId="77777777" w:rsidR="00BD3D82" w:rsidRDefault="00BD3D82" w:rsidP="00BD3D82">
      <w:r>
        <w:rPr>
          <w:rFonts w:hint="eastAsia"/>
        </w:rPr>
        <w:t xml:space="preserve">　共同規制は様々に定義がなされている</w:t>
      </w:r>
      <w:r>
        <w:rPr>
          <w:rStyle w:val="a5"/>
        </w:rPr>
        <w:footnoteReference w:id="65"/>
      </w:r>
      <w:r>
        <w:rPr>
          <w:rFonts w:hint="eastAsia"/>
        </w:rPr>
        <w:t>が、自主規制と政府規制との中間に位置する規制様態のことであり、自主規制に対して公権力が一定の法的規制をかける規制といえよう。以下に示すように、自主規制と政府規制とにはそれぞれに限界があり、インターネット規制においてそれが顕在化している。共同規制は、二つの規制の止揚的なものとして</w:t>
      </w:r>
      <w:r>
        <w:t>20</w:t>
      </w:r>
      <w:r>
        <w:rPr>
          <w:rFonts w:hint="eastAsia"/>
        </w:rPr>
        <w:t>年ほど前から考案・導入されているスタイルである</w:t>
      </w:r>
      <w:r>
        <w:rPr>
          <w:rStyle w:val="a5"/>
        </w:rPr>
        <w:footnoteReference w:id="66"/>
      </w:r>
      <w:r>
        <w:rPr>
          <w:rFonts w:hint="eastAsia"/>
        </w:rPr>
        <w:t>。</w:t>
      </w:r>
    </w:p>
    <w:p w14:paraId="73AD4F13" w14:textId="77777777" w:rsidR="00BD3D82" w:rsidRDefault="00BD3D82" w:rsidP="00BD3D82"/>
    <w:p w14:paraId="5ABF8596" w14:textId="77777777" w:rsidR="00BD3D82" w:rsidRDefault="00BD3D82" w:rsidP="00BD3D82">
      <w:pPr>
        <w:pStyle w:val="2"/>
      </w:pPr>
      <w:r>
        <w:t xml:space="preserve">5-2. </w:t>
      </w:r>
      <w:r>
        <w:rPr>
          <w:rFonts w:hint="eastAsia"/>
        </w:rPr>
        <w:t>政府規制の限界</w:t>
      </w:r>
    </w:p>
    <w:p w14:paraId="0074A4BC" w14:textId="77777777" w:rsidR="00BD3D82" w:rsidRDefault="00BD3D82" w:rsidP="00BD3D82">
      <w:r>
        <w:rPr>
          <w:rFonts w:hint="eastAsia"/>
        </w:rPr>
        <w:t xml:space="preserve">　政府規制には、インターネット時代に顕在化した、いくつかの限界が存在する。</w:t>
      </w:r>
    </w:p>
    <w:p w14:paraId="15E08097" w14:textId="77777777" w:rsidR="00BD3D82" w:rsidRDefault="00BD3D82" w:rsidP="00BD3D82">
      <w:r>
        <w:rPr>
          <w:rFonts w:hint="eastAsia"/>
        </w:rPr>
        <w:t xml:space="preserve">　まず、知識のギャップの問題である。</w:t>
      </w:r>
      <w:r>
        <w:t>IT</w:t>
      </w:r>
      <w:r>
        <w:rPr>
          <w:rFonts w:hint="eastAsia"/>
        </w:rPr>
        <w:t>技術は常に複雑化し、急速に変化している。政府は</w:t>
      </w:r>
      <w:r>
        <w:t>IT</w:t>
      </w:r>
      <w:r>
        <w:rPr>
          <w:rFonts w:hint="eastAsia"/>
        </w:rPr>
        <w:t>技術を開発する側ではないから、開発者を規制しようとしても、知識のギャップゆえに適切な規制をする期待度は小さくなる</w:t>
      </w:r>
      <w:r>
        <w:rPr>
          <w:rStyle w:val="a5"/>
        </w:rPr>
        <w:footnoteReference w:id="67"/>
      </w:r>
      <w:r>
        <w:rPr>
          <w:rFonts w:hint="eastAsia"/>
        </w:rPr>
        <w:t>。また、法律によって規制しようとする場合には、法律の作成には時間を要すから、法律ができたときには、あるいはできてすぐに時代遅れになることも考えられる</w:t>
      </w:r>
      <w:r>
        <w:rPr>
          <w:rStyle w:val="a5"/>
        </w:rPr>
        <w:footnoteReference w:id="68"/>
      </w:r>
      <w:r>
        <w:rPr>
          <w:rFonts w:hint="eastAsia"/>
        </w:rPr>
        <w:t>。</w:t>
      </w:r>
    </w:p>
    <w:p w14:paraId="60B1CE7C" w14:textId="77777777" w:rsidR="00BD3D82" w:rsidRDefault="00BD3D82" w:rsidP="00BD3D82">
      <w:r>
        <w:rPr>
          <w:rFonts w:hint="eastAsia"/>
        </w:rPr>
        <w:t xml:space="preserve">　また、先述のように、表現の自由の問題もある。内容規制・内容中立規制の類型を前提とすれば、「虚偽の表現」という表現の内容を理由に規制することは、表現の自由への大きな制約となるし、萎縮効果も働きかねないからである。</w:t>
      </w:r>
    </w:p>
    <w:p w14:paraId="204B6824" w14:textId="77777777" w:rsidR="00BD3D82" w:rsidRDefault="00BD3D82" w:rsidP="00BD3D82">
      <w:r>
        <w:rPr>
          <w:rFonts w:hint="eastAsia"/>
        </w:rPr>
        <w:t xml:space="preserve">　この二つの理由から「プラットフォームサービスに関する研究会最終報告書」は自主規制を優先させたと考えられるが、自主規制においても大きな問題点が存在する。</w:t>
      </w:r>
    </w:p>
    <w:p w14:paraId="07E6FD41" w14:textId="77777777" w:rsidR="00BD3D82" w:rsidRDefault="00BD3D82" w:rsidP="00BD3D82"/>
    <w:p w14:paraId="438E67BA" w14:textId="77777777" w:rsidR="00BD3D82" w:rsidRDefault="00BD3D82" w:rsidP="00BD3D82">
      <w:pPr>
        <w:pStyle w:val="2"/>
      </w:pPr>
      <w:r>
        <w:t xml:space="preserve">5-3. </w:t>
      </w:r>
      <w:r>
        <w:rPr>
          <w:rFonts w:hint="eastAsia"/>
        </w:rPr>
        <w:t>自主規制の限界</w:t>
      </w:r>
    </w:p>
    <w:p w14:paraId="492E1E7D" w14:textId="77777777" w:rsidR="00BD3D82" w:rsidRDefault="00BD3D82" w:rsidP="00BD3D82">
      <w:pPr>
        <w:pStyle w:val="3"/>
        <w:ind w:left="840"/>
      </w:pPr>
      <w:r>
        <w:t xml:space="preserve">5-3-1. </w:t>
      </w:r>
      <w:r>
        <w:rPr>
          <w:rFonts w:hint="eastAsia"/>
        </w:rPr>
        <w:t>形成の失敗</w:t>
      </w:r>
    </w:p>
    <w:p w14:paraId="09548C09" w14:textId="77777777" w:rsidR="00BD3D82" w:rsidRDefault="00BD3D82" w:rsidP="00BD3D82">
      <w:r>
        <w:rPr>
          <w:rFonts w:hint="eastAsia"/>
        </w:rPr>
        <w:t xml:space="preserve">　自主規制は、業界団体によるルールメイキングが行われることが前提となる。しかしながら、そのような業界団体が形成されないことが特に</w:t>
      </w:r>
      <w:r>
        <w:t>IT</w:t>
      </w:r>
      <w:r>
        <w:rPr>
          <w:rFonts w:hint="eastAsia"/>
        </w:rPr>
        <w:t>の分野においてはしばしば起こる。</w:t>
      </w:r>
      <w:r>
        <w:t>IT</w:t>
      </w:r>
      <w:r>
        <w:rPr>
          <w:rFonts w:hint="eastAsia"/>
        </w:rPr>
        <w:t>の分野においては、そもそもが新規分野であったり、業界への新規参入や撤退が速いスピードで行われていたりして業界団体が形成されないことがある</w:t>
      </w:r>
      <w:r>
        <w:rPr>
          <w:rStyle w:val="a5"/>
        </w:rPr>
        <w:footnoteReference w:id="69"/>
      </w:r>
      <w:r>
        <w:rPr>
          <w:rFonts w:hint="eastAsia"/>
        </w:rPr>
        <w:t>。また、業界団体自体は存在するが、新興企業に加入のインセンティブが存在しないために加入せず、自主規制がかけられない、ということもある</w:t>
      </w:r>
      <w:r>
        <w:rPr>
          <w:rStyle w:val="a5"/>
        </w:rPr>
        <w:footnoteReference w:id="70"/>
      </w:r>
      <w:r>
        <w:rPr>
          <w:rFonts w:hint="eastAsia"/>
        </w:rPr>
        <w:t>。</w:t>
      </w:r>
    </w:p>
    <w:p w14:paraId="0B8CFAF5" w14:textId="77777777" w:rsidR="00BD3D82" w:rsidRDefault="00BD3D82" w:rsidP="00BD3D82">
      <w:r>
        <w:rPr>
          <w:rFonts w:hint="eastAsia"/>
        </w:rPr>
        <w:t xml:space="preserve">　業界団体によるルールメイキングを真摯に行おうとすれば、多様なステークホルダーを取り込んで協議をする必要がある。このプロセスには当然相当なコストがかかるし、その負担は業界団体が行うこととなる。企業が公益の増進を目的として運営がなされているわけではないから、そのような形でのルールメイキングがなされる期待は薄いのである</w:t>
      </w:r>
      <w:r>
        <w:rPr>
          <w:rStyle w:val="a5"/>
        </w:rPr>
        <w:footnoteReference w:id="71"/>
      </w:r>
      <w:r>
        <w:rPr>
          <w:rFonts w:hint="eastAsia"/>
        </w:rPr>
        <w:t>。</w:t>
      </w:r>
    </w:p>
    <w:p w14:paraId="7DA3D144" w14:textId="77777777" w:rsidR="00BD3D82" w:rsidRDefault="00BD3D82" w:rsidP="00BD3D82">
      <w:pPr>
        <w:pStyle w:val="3"/>
        <w:ind w:leftChars="0" w:left="840"/>
      </w:pPr>
      <w:r>
        <w:t xml:space="preserve">5-3-2. </w:t>
      </w:r>
      <w:r>
        <w:rPr>
          <w:rFonts w:hint="eastAsia"/>
        </w:rPr>
        <w:t>内容の非公正性</w:t>
      </w:r>
    </w:p>
    <w:p w14:paraId="10A0209B" w14:textId="77777777" w:rsidR="00BD3D82" w:rsidRDefault="00BD3D82" w:rsidP="004E776F">
      <w:pPr>
        <w:rPr>
          <w:color w:val="000000" w:themeColor="text1"/>
          <w:szCs w:val="21"/>
        </w:rPr>
      </w:pPr>
      <w:r>
        <w:rPr>
          <w:rFonts w:hint="eastAsia"/>
          <w:color w:val="000000" w:themeColor="text1"/>
          <w:szCs w:val="21"/>
        </w:rPr>
        <w:t xml:space="preserve">　誠実な準則形成をするには、ステークホルダー間の公平性が担保されるべきであるが、自主規制によってはそれが叶いにくい。例えば、ステークホルダーのひとつである消費者について考えてみると、業界団体との間に専門性や情報量について大きな隔たりがある。そのため、消費者の側が正確な問題状況の把握が困難であり、準則形成の中でも、専門的知識や交渉力に勝る事業者側の利益の方が優先されやすい状況にある</w:t>
      </w:r>
      <w:r>
        <w:rPr>
          <w:color w:val="000000" w:themeColor="text1"/>
          <w:szCs w:val="21"/>
        </w:rPr>
        <w:t>(</w:t>
      </w:r>
      <w:r>
        <w:rPr>
          <w:rFonts w:hint="eastAsia"/>
          <w:color w:val="000000" w:themeColor="text1"/>
          <w:szCs w:val="21"/>
        </w:rPr>
        <w:t>事業者－利用者間での非公正性</w:t>
      </w:r>
      <w:r>
        <w:rPr>
          <w:color w:val="000000" w:themeColor="text1"/>
          <w:szCs w:val="21"/>
        </w:rPr>
        <w:t>)</w:t>
      </w:r>
      <w:r>
        <w:rPr>
          <w:rFonts w:hint="eastAsia"/>
          <w:color w:val="000000" w:themeColor="text1"/>
          <w:szCs w:val="21"/>
        </w:rPr>
        <w:t>。また、業界団体による準則作成は既存の有力事業者が中心となるため、中小事業者や新規参入者にとって厳しい準則となる可能性が高くなってしまう</w:t>
      </w:r>
      <w:r>
        <w:rPr>
          <w:color w:val="000000" w:themeColor="text1"/>
          <w:szCs w:val="21"/>
        </w:rPr>
        <w:t>(</w:t>
      </w:r>
      <w:r>
        <w:rPr>
          <w:rFonts w:hint="eastAsia"/>
          <w:color w:val="000000" w:themeColor="text1"/>
          <w:szCs w:val="21"/>
        </w:rPr>
        <w:t>事業者間での非公正性</w:t>
      </w:r>
      <w:r>
        <w:rPr>
          <w:color w:val="000000" w:themeColor="text1"/>
          <w:szCs w:val="21"/>
        </w:rPr>
        <w:t>)</w:t>
      </w:r>
      <w:r>
        <w:rPr>
          <w:rStyle w:val="a5"/>
          <w:color w:val="000000" w:themeColor="text1"/>
          <w:szCs w:val="21"/>
        </w:rPr>
        <w:footnoteReference w:id="72"/>
      </w:r>
      <w:r>
        <w:rPr>
          <w:rFonts w:hint="eastAsia"/>
          <w:color w:val="000000" w:themeColor="text1"/>
          <w:szCs w:val="21"/>
        </w:rPr>
        <w:t>。</w:t>
      </w:r>
    </w:p>
    <w:p w14:paraId="6A0F9A5F" w14:textId="77777777" w:rsidR="00BD3D82" w:rsidRDefault="00BD3D82" w:rsidP="004E776F">
      <w:pPr>
        <w:rPr>
          <w:color w:val="000000" w:themeColor="text1"/>
          <w:szCs w:val="21"/>
        </w:rPr>
      </w:pPr>
      <w:r>
        <w:rPr>
          <w:rFonts w:hint="eastAsia"/>
          <w:color w:val="000000" w:themeColor="text1"/>
          <w:szCs w:val="21"/>
        </w:rPr>
        <w:t xml:space="preserve">　さらに別の問題として、表現行為にかかる自主規制の場合、規制される必要のない表現までもが規制対象となってしまう可能性がある。公権力が関与した場合には憲法の統制が及ぶから、表現行為に対する規制は最小限度のものになることが期待されるが、業界団体には憲法の統制は及ばないから、過剰に規制されてしまっても救済を受けることはできず、実質的に表現の自由が損なわれてしまうおそれがある</w:t>
      </w:r>
      <w:r>
        <w:rPr>
          <w:rStyle w:val="a5"/>
          <w:color w:val="000000" w:themeColor="text1"/>
          <w:szCs w:val="21"/>
        </w:rPr>
        <w:footnoteReference w:id="73"/>
      </w:r>
      <w:r>
        <w:rPr>
          <w:rFonts w:hint="eastAsia"/>
          <w:color w:val="000000" w:themeColor="text1"/>
          <w:szCs w:val="21"/>
        </w:rPr>
        <w:t>。</w:t>
      </w:r>
    </w:p>
    <w:p w14:paraId="73A213F6" w14:textId="77777777" w:rsidR="00BD3D82" w:rsidRPr="004E776F" w:rsidRDefault="00BD3D82" w:rsidP="00BD3D82">
      <w:pPr>
        <w:pStyle w:val="3"/>
        <w:ind w:leftChars="0" w:left="840"/>
        <w:rPr>
          <w:rFonts w:eastAsiaTheme="majorHAnsi"/>
        </w:rPr>
      </w:pPr>
      <w:r w:rsidRPr="004E776F">
        <w:rPr>
          <w:rFonts w:eastAsiaTheme="majorHAnsi"/>
        </w:rPr>
        <w:t xml:space="preserve">5-3-3. </w:t>
      </w:r>
      <w:r w:rsidRPr="004E776F">
        <w:rPr>
          <w:rFonts w:eastAsiaTheme="majorHAnsi" w:hint="eastAsia"/>
        </w:rPr>
        <w:t>実行性の欠如</w:t>
      </w:r>
    </w:p>
    <w:p w14:paraId="2BE4C253" w14:textId="77777777" w:rsidR="00BD3D82" w:rsidRDefault="00BD3D82" w:rsidP="004E776F">
      <w:pPr>
        <w:rPr>
          <w:color w:val="000000" w:themeColor="text1"/>
          <w:szCs w:val="21"/>
        </w:rPr>
      </w:pPr>
      <w:r>
        <w:rPr>
          <w:rFonts w:hint="eastAsia"/>
        </w:rPr>
        <w:t xml:space="preserve">　</w:t>
      </w:r>
      <w:r>
        <w:rPr>
          <w:rFonts w:hint="eastAsia"/>
          <w:color w:val="000000" w:themeColor="text1"/>
          <w:szCs w:val="21"/>
        </w:rPr>
        <w:t>準則が適切に形成されたとしても、それを実行化するエンフォースメント・メカニズムが存在、機能していなければ、自主規制が有名無実化する恐れがある。特に、流動性の高く、分散性の高いインターネット関連の産業においては、業界団体が存在していたとしてもその加盟率が低いなどの理由によって、団体内における自律的なエンフォースメントという選択肢自体を取ることができない可能性がある。また、エンフォースメントを担う団体、あるいはそれを監視する立場にある政府等の外部の主体が存在していたとしても、自主規制準則からの逸脱、違反が生じていた場合のモニタリングが困難な可能性もある。すなわち、業界団体や個別企業の行う自主規制は、その形成過程や自主規制準則の内容そのもの、あるいは遵守、逸脱状況に関わる情報が必ずしも一般に公開されているとは限らず、自主規制がうまく機能しなかったとしても、その事実が隠蔽されたままとなる可能性がある</w:t>
      </w:r>
      <w:r>
        <w:rPr>
          <w:rStyle w:val="a5"/>
          <w:color w:val="000000" w:themeColor="text1"/>
          <w:szCs w:val="21"/>
        </w:rPr>
        <w:footnoteReference w:id="74"/>
      </w:r>
      <w:r>
        <w:rPr>
          <w:rFonts w:hint="eastAsia"/>
          <w:color w:val="000000" w:themeColor="text1"/>
          <w:szCs w:val="21"/>
        </w:rPr>
        <w:t>。</w:t>
      </w:r>
    </w:p>
    <w:p w14:paraId="01FFAAAB" w14:textId="77777777" w:rsidR="00BD3D82" w:rsidRPr="004E776F" w:rsidRDefault="00BD3D82" w:rsidP="00BD3D82">
      <w:pPr>
        <w:pStyle w:val="3"/>
        <w:ind w:leftChars="0" w:left="840"/>
        <w:rPr>
          <w:rFonts w:eastAsiaTheme="majorHAnsi"/>
        </w:rPr>
      </w:pPr>
      <w:r w:rsidRPr="004E776F">
        <w:rPr>
          <w:rFonts w:eastAsiaTheme="majorHAnsi"/>
        </w:rPr>
        <w:t xml:space="preserve">5-3-4. </w:t>
      </w:r>
      <w:r w:rsidRPr="004E776F">
        <w:rPr>
          <w:rFonts w:eastAsiaTheme="majorHAnsi" w:hint="eastAsia"/>
        </w:rPr>
        <w:t>民主的正統性の欠如</w:t>
      </w:r>
    </w:p>
    <w:p w14:paraId="484324A8" w14:textId="77777777" w:rsidR="00BD3D82" w:rsidRDefault="00BD3D82" w:rsidP="004E776F">
      <w:pPr>
        <w:rPr>
          <w:color w:val="000000" w:themeColor="text1"/>
          <w:szCs w:val="21"/>
        </w:rPr>
      </w:pPr>
      <w:r>
        <w:rPr>
          <w:rFonts w:hint="eastAsia"/>
        </w:rPr>
        <w:t xml:space="preserve">　</w:t>
      </w:r>
      <w:r>
        <w:rPr>
          <w:rFonts w:hint="eastAsia"/>
          <w:color w:val="000000" w:themeColor="text1"/>
          <w:szCs w:val="21"/>
        </w:rPr>
        <w:t>法規制は、民主的合意の調達、表現の自由や適正手続の保障のような公法的制約を受ける。しかし、民間による自主規制にはそのような制約は生じない。その結果、先述</w:t>
      </w:r>
      <w:r>
        <w:rPr>
          <w:color w:val="000000" w:themeColor="text1"/>
          <w:szCs w:val="21"/>
        </w:rPr>
        <w:t>5-3-2</w:t>
      </w:r>
      <w:r>
        <w:rPr>
          <w:rFonts w:hint="eastAsia"/>
          <w:color w:val="000000" w:themeColor="text1"/>
          <w:szCs w:val="21"/>
        </w:rPr>
        <w:t>の通り、業界団体によって過剰な規制がなされる可能性があるし、さらには、政府が民間に自主規制を</w:t>
      </w:r>
      <w:r>
        <w:rPr>
          <w:color w:val="000000" w:themeColor="text1"/>
          <w:szCs w:val="21"/>
        </w:rPr>
        <w:t>”</w:t>
      </w:r>
      <w:r>
        <w:rPr>
          <w:rFonts w:hint="eastAsia"/>
          <w:color w:val="000000" w:themeColor="text1"/>
          <w:szCs w:val="21"/>
        </w:rPr>
        <w:t>要請</w:t>
      </w:r>
      <w:r>
        <w:rPr>
          <w:color w:val="000000" w:themeColor="text1"/>
          <w:szCs w:val="21"/>
        </w:rPr>
        <w:t>”</w:t>
      </w:r>
      <w:r>
        <w:rPr>
          <w:rFonts w:hint="eastAsia"/>
          <w:color w:val="000000" w:themeColor="text1"/>
          <w:szCs w:val="21"/>
        </w:rPr>
        <w:t>して、迂回的に公法的制約を潜脱する恐れもある</w:t>
      </w:r>
      <w:r>
        <w:rPr>
          <w:rStyle w:val="a5"/>
          <w:color w:val="000000" w:themeColor="text1"/>
          <w:szCs w:val="21"/>
        </w:rPr>
        <w:footnoteReference w:id="75"/>
      </w:r>
      <w:r>
        <w:rPr>
          <w:rFonts w:hint="eastAsia"/>
          <w:color w:val="000000" w:themeColor="text1"/>
          <w:szCs w:val="21"/>
        </w:rPr>
        <w:t>。</w:t>
      </w:r>
    </w:p>
    <w:p w14:paraId="52E22643" w14:textId="77777777" w:rsidR="00BD3D82" w:rsidRDefault="00BD3D82" w:rsidP="004E776F">
      <w:pPr>
        <w:rPr>
          <w:color w:val="000000" w:themeColor="text1"/>
          <w:szCs w:val="21"/>
        </w:rPr>
      </w:pPr>
      <w:r>
        <w:rPr>
          <w:rFonts w:hint="eastAsia"/>
          <w:color w:val="000000" w:themeColor="text1"/>
          <w:szCs w:val="21"/>
        </w:rPr>
        <w:t xml:space="preserve">　また、別の側面として、ある準則は、その準則の影響を受ける客体がなんらかの形で準則の形成プロセスに参加可能であることによって、その実効性が担保されていると考えられうる。自主規制準則の形成過程から中小企業や消費者が排除されれば、広い意味での民主的正統性を有さない</w:t>
      </w:r>
      <w:r>
        <w:rPr>
          <w:rStyle w:val="a5"/>
          <w:color w:val="000000" w:themeColor="text1"/>
          <w:szCs w:val="21"/>
        </w:rPr>
        <w:footnoteReference w:id="76"/>
      </w:r>
      <w:r>
        <w:rPr>
          <w:rFonts w:hint="eastAsia"/>
          <w:color w:val="000000" w:themeColor="text1"/>
          <w:szCs w:val="21"/>
        </w:rPr>
        <w:t>。</w:t>
      </w:r>
    </w:p>
    <w:p w14:paraId="48E2B207" w14:textId="77777777" w:rsidR="00BD3D82" w:rsidRDefault="00BD3D82" w:rsidP="00BD3D82">
      <w:pPr>
        <w:spacing w:line="240" w:lineRule="exact"/>
        <w:jc w:val="left"/>
        <w:rPr>
          <w:color w:val="000000" w:themeColor="text1"/>
          <w:szCs w:val="21"/>
        </w:rPr>
      </w:pPr>
    </w:p>
    <w:p w14:paraId="3BD4A0A4" w14:textId="72C1E97F" w:rsidR="00BD3D82" w:rsidRPr="00E342DC" w:rsidRDefault="00BD3D82" w:rsidP="00BD3D82">
      <w:pPr>
        <w:pStyle w:val="2"/>
        <w:rPr>
          <w:rFonts w:eastAsiaTheme="majorHAnsi"/>
        </w:rPr>
      </w:pPr>
      <w:r w:rsidRPr="00E342DC">
        <w:rPr>
          <w:rFonts w:eastAsiaTheme="majorHAnsi"/>
        </w:rPr>
        <w:t xml:space="preserve">5-4. </w:t>
      </w:r>
      <w:r w:rsidRPr="00E342DC">
        <w:rPr>
          <w:rFonts w:eastAsiaTheme="majorHAnsi" w:hint="eastAsia"/>
        </w:rPr>
        <w:t>共同規制の類型</w:t>
      </w:r>
    </w:p>
    <w:p w14:paraId="5B200617" w14:textId="142794FE" w:rsidR="00BD3D82" w:rsidRPr="002E666B" w:rsidRDefault="00BD3D82" w:rsidP="002E666B">
      <w:r>
        <w:rPr>
          <w:rFonts w:hint="eastAsia"/>
        </w:rPr>
        <w:t xml:space="preserve">　共同規制は、以上のような自主規制の問題点をカバーすべく、自主規制に対して公権力が一定の規制を行うことである。公権力の関与の仕方は様々であるが、大きく分けて、</w:t>
      </w:r>
      <w:r w:rsidR="005D4C13">
        <w:rPr>
          <w:rFonts w:hint="eastAsia"/>
        </w:rPr>
        <w:t>「</w:t>
      </w:r>
      <w:r>
        <w:rPr>
          <w:rFonts w:hint="eastAsia"/>
        </w:rPr>
        <w:t>団体参画モデル</w:t>
      </w:r>
      <w:r w:rsidR="005D4C13">
        <w:rPr>
          <w:rFonts w:hint="eastAsia"/>
        </w:rPr>
        <w:t>」</w:t>
      </w:r>
      <w:r>
        <w:rPr>
          <w:rFonts w:hint="eastAsia"/>
        </w:rPr>
        <w:t>、「団体自律モデル」、「監督認証モデル」</w:t>
      </w:r>
      <w:r w:rsidR="006301D6">
        <w:rPr>
          <w:rFonts w:hint="eastAsia"/>
        </w:rPr>
        <w:t>、「誘導モデル」</w:t>
      </w:r>
      <w:r>
        <w:rPr>
          <w:rFonts w:hint="eastAsia"/>
        </w:rPr>
        <w:t>の</w:t>
      </w:r>
      <w:r w:rsidR="006301D6">
        <w:rPr>
          <w:rFonts w:hint="eastAsia"/>
        </w:rPr>
        <w:t>４</w:t>
      </w:r>
      <w:r>
        <w:rPr>
          <w:rFonts w:hint="eastAsia"/>
        </w:rPr>
        <w:t>つに分類することができる。</w:t>
      </w:r>
      <w:r w:rsidR="00E342DC">
        <w:rPr>
          <w:rStyle w:val="a5"/>
        </w:rPr>
        <w:footnoteReference w:id="77"/>
      </w:r>
    </w:p>
    <w:p w14:paraId="0A8C2BC8" w14:textId="2592CDA9" w:rsidR="00BD3D82" w:rsidRDefault="006301D6" w:rsidP="002E666B">
      <w:pPr>
        <w:ind w:firstLineChars="100" w:firstLine="210"/>
        <w:rPr>
          <w:rFonts w:hint="eastAsia"/>
          <w:color w:val="000000" w:themeColor="text1"/>
          <w:szCs w:val="21"/>
        </w:rPr>
      </w:pPr>
      <w:r>
        <w:rPr>
          <w:rFonts w:hint="eastAsia"/>
          <w:szCs w:val="21"/>
        </w:rPr>
        <w:t>「団体参画モデル」は、団体によって定立された規範が国家に</w:t>
      </w:r>
      <w:r w:rsidR="00275C5F">
        <w:rPr>
          <w:rFonts w:hint="eastAsia"/>
          <w:szCs w:val="21"/>
        </w:rPr>
        <w:t>よって取り込まれて実現されたり、あるいは国家の法律によって実現された公共政策の実現に国が関与して国家法の執行を担ったりするタイプである。</w:t>
      </w:r>
      <w:r w:rsidR="00BD3D82">
        <w:rPr>
          <w:rFonts w:hint="eastAsia"/>
          <w:color w:val="000000" w:themeColor="text1"/>
          <w:szCs w:val="21"/>
        </w:rPr>
        <w:t>そして、</w:t>
      </w:r>
      <w:r>
        <w:rPr>
          <w:rFonts w:hint="eastAsia"/>
          <w:color w:val="000000" w:themeColor="text1"/>
          <w:szCs w:val="21"/>
        </w:rPr>
        <w:t>団体参画</w:t>
      </w:r>
      <w:r w:rsidR="00BD3D82">
        <w:rPr>
          <w:rFonts w:hint="eastAsia"/>
          <w:color w:val="000000" w:themeColor="text1"/>
          <w:szCs w:val="21"/>
        </w:rPr>
        <w:t>モデルは、団体の関与の仕方によって、</w:t>
      </w:r>
      <w:r w:rsidR="002E666B">
        <w:rPr>
          <w:rFonts w:hint="eastAsia"/>
          <w:color w:val="000000" w:themeColor="text1"/>
          <w:szCs w:val="21"/>
        </w:rPr>
        <w:t>団体による基準定立型と団体による法執行型と</w:t>
      </w:r>
      <w:r w:rsidR="00BD3D82">
        <w:rPr>
          <w:rFonts w:hint="eastAsia"/>
          <w:color w:val="000000" w:themeColor="text1"/>
          <w:szCs w:val="21"/>
        </w:rPr>
        <w:t>２種類に分けられる。</w:t>
      </w:r>
    </w:p>
    <w:p w14:paraId="3E784E6E" w14:textId="7B7F3274" w:rsidR="00BD3D82" w:rsidRDefault="00BD3D82" w:rsidP="004E776F">
      <w:pPr>
        <w:rPr>
          <w:color w:val="000000" w:themeColor="text1"/>
          <w:szCs w:val="21"/>
        </w:rPr>
      </w:pPr>
      <w:r>
        <w:rPr>
          <w:rFonts w:hint="eastAsia"/>
          <w:color w:val="000000" w:themeColor="text1"/>
          <w:szCs w:val="21"/>
        </w:rPr>
        <w:t xml:space="preserve">　</w:t>
      </w:r>
      <w:r w:rsidR="002E666B">
        <w:rPr>
          <w:rFonts w:hint="eastAsia"/>
          <w:color w:val="000000" w:themeColor="text1"/>
          <w:szCs w:val="21"/>
        </w:rPr>
        <w:t>前者は、</w:t>
      </w:r>
      <w:r>
        <w:rPr>
          <w:rFonts w:hint="eastAsia"/>
          <w:color w:val="000000" w:themeColor="text1"/>
          <w:szCs w:val="21"/>
        </w:rPr>
        <w:t>団体によって定められたルールを国家法秩序が受容し、それが実現される過程においては国家法として通用するところに特色がある。自主規制基準の内容が行政過程で実現されることが主として念頭に置かれている</w:t>
      </w:r>
      <w:r>
        <w:rPr>
          <w:color w:val="000000" w:themeColor="text1"/>
          <w:szCs w:val="21"/>
        </w:rPr>
        <w:t>(</w:t>
      </w:r>
      <w:r>
        <w:rPr>
          <w:rFonts w:hint="eastAsia"/>
          <w:color w:val="000000" w:themeColor="text1"/>
          <w:szCs w:val="21"/>
        </w:rPr>
        <w:t>青少年健全育成条例、公正競争規約</w:t>
      </w:r>
      <w:r>
        <w:rPr>
          <w:color w:val="000000" w:themeColor="text1"/>
          <w:szCs w:val="21"/>
        </w:rPr>
        <w:t>)</w:t>
      </w:r>
      <w:r w:rsidR="00E342DC">
        <w:rPr>
          <w:rStyle w:val="a5"/>
          <w:color w:val="000000" w:themeColor="text1"/>
          <w:szCs w:val="21"/>
        </w:rPr>
        <w:footnoteReference w:id="78"/>
      </w:r>
      <w:r>
        <w:rPr>
          <w:rFonts w:hint="eastAsia"/>
          <w:color w:val="000000" w:themeColor="text1"/>
          <w:szCs w:val="21"/>
        </w:rPr>
        <w:t>。</w:t>
      </w:r>
    </w:p>
    <w:p w14:paraId="4AD9055D" w14:textId="283523F7" w:rsidR="00BD3D82" w:rsidRPr="002E666B" w:rsidRDefault="00BD3D82" w:rsidP="002E666B">
      <w:pPr>
        <w:rPr>
          <w:rFonts w:hint="eastAsia"/>
          <w:color w:val="000000" w:themeColor="text1"/>
          <w:szCs w:val="21"/>
        </w:rPr>
      </w:pPr>
      <w:r>
        <w:rPr>
          <w:rFonts w:hint="eastAsia"/>
          <w:color w:val="000000" w:themeColor="text1"/>
          <w:szCs w:val="21"/>
        </w:rPr>
        <w:t xml:space="preserve">　</w:t>
      </w:r>
      <w:r w:rsidR="002E666B">
        <w:rPr>
          <w:rFonts w:hint="eastAsia"/>
          <w:color w:val="000000" w:themeColor="text1"/>
          <w:szCs w:val="21"/>
        </w:rPr>
        <w:t>後者は、</w:t>
      </w:r>
      <w:r>
        <w:rPr>
          <w:rFonts w:hint="eastAsia"/>
          <w:color w:val="000000" w:themeColor="text1"/>
          <w:szCs w:val="21"/>
        </w:rPr>
        <w:t>法律によって当該政策に正当性が付与され、その枠内での政策実現手段として団体による自主規制が位置付けられている。つまり、立法者が制度設計の段階で行政過程に自主規制活動を組みうるようにしているところに特色を有する。一方で国家は、自主規制を政策実現の執行手段として取り込み、他方で団体には自主規制をするかどうかの自由は存在しない。しかしながら、業界団体には自主規制を行う正当性とエンフォースメントの権限が与えられる</w:t>
      </w:r>
      <w:r>
        <w:rPr>
          <w:color w:val="000000" w:themeColor="text1"/>
          <w:szCs w:val="21"/>
        </w:rPr>
        <w:t>(</w:t>
      </w:r>
      <w:r>
        <w:rPr>
          <w:rFonts w:hint="eastAsia"/>
          <w:color w:val="000000" w:themeColor="text1"/>
          <w:szCs w:val="21"/>
        </w:rPr>
        <w:t>例：宅地建物取引業法</w:t>
      </w:r>
      <w:r>
        <w:rPr>
          <w:color w:val="000000" w:themeColor="text1"/>
          <w:szCs w:val="21"/>
        </w:rPr>
        <w:t>64</w:t>
      </w:r>
      <w:r>
        <w:rPr>
          <w:rFonts w:hint="eastAsia"/>
          <w:color w:val="000000" w:themeColor="text1"/>
          <w:szCs w:val="21"/>
        </w:rPr>
        <w:t>条の</w:t>
      </w:r>
      <w:r>
        <w:rPr>
          <w:color w:val="000000" w:themeColor="text1"/>
          <w:szCs w:val="21"/>
        </w:rPr>
        <w:t>8)</w:t>
      </w:r>
      <w:r w:rsidR="00E342DC">
        <w:rPr>
          <w:rStyle w:val="a5"/>
          <w:color w:val="000000" w:themeColor="text1"/>
          <w:szCs w:val="21"/>
        </w:rPr>
        <w:footnoteReference w:id="79"/>
      </w:r>
      <w:r w:rsidR="002E666B">
        <w:rPr>
          <w:rFonts w:hint="eastAsia"/>
          <w:color w:val="000000" w:themeColor="text1"/>
          <w:szCs w:val="21"/>
        </w:rPr>
        <w:t>。</w:t>
      </w:r>
    </w:p>
    <w:p w14:paraId="524EC50E" w14:textId="757BCA2B" w:rsidR="00BD3D82" w:rsidRPr="002E666B" w:rsidRDefault="00BD3D82" w:rsidP="002E666B">
      <w:pPr>
        <w:rPr>
          <w:rStyle w:val="a6"/>
          <w:color w:val="000000" w:themeColor="text1"/>
          <w:sz w:val="21"/>
          <w:szCs w:val="21"/>
        </w:rPr>
      </w:pPr>
      <w:r>
        <w:rPr>
          <w:rFonts w:hint="eastAsia"/>
          <w:color w:val="000000" w:themeColor="text1"/>
          <w:szCs w:val="21"/>
        </w:rPr>
        <w:t xml:space="preserve">　</w:t>
      </w:r>
      <w:r w:rsidR="002E666B">
        <w:rPr>
          <w:rFonts w:hint="eastAsia"/>
          <w:color w:val="000000" w:themeColor="text1"/>
          <w:szCs w:val="21"/>
        </w:rPr>
        <w:t>団体自律モデルは、</w:t>
      </w:r>
      <w:r>
        <w:rPr>
          <w:rFonts w:hint="eastAsia"/>
          <w:color w:val="000000" w:themeColor="text1"/>
          <w:szCs w:val="21"/>
        </w:rPr>
        <w:t>立案、決定、実現が団体の内部で完結的に行われ、国家の側での公共政策決定とは一応独立した社会管理過程が存在するもの</w:t>
      </w:r>
      <w:r w:rsidR="00275C5F">
        <w:rPr>
          <w:rFonts w:hint="eastAsia"/>
          <w:color w:val="000000" w:themeColor="text1"/>
          <w:szCs w:val="21"/>
        </w:rPr>
        <w:t>である</w:t>
      </w:r>
      <w:r>
        <w:rPr>
          <w:rFonts w:hint="eastAsia"/>
          <w:color w:val="000000" w:themeColor="text1"/>
          <w:szCs w:val="21"/>
        </w:rPr>
        <w:t>。マスメディアの自主規制が代表例</w:t>
      </w:r>
      <w:r w:rsidR="002E666B">
        <w:rPr>
          <w:rFonts w:hint="eastAsia"/>
          <w:color w:val="000000" w:themeColor="text1"/>
          <w:szCs w:val="21"/>
        </w:rPr>
        <w:t>である</w:t>
      </w:r>
      <w:r w:rsidR="00E342DC">
        <w:rPr>
          <w:rStyle w:val="a5"/>
          <w:color w:val="000000" w:themeColor="text1"/>
          <w:szCs w:val="21"/>
        </w:rPr>
        <w:footnoteReference w:id="80"/>
      </w:r>
      <w:r>
        <w:rPr>
          <w:rFonts w:hint="eastAsia"/>
          <w:color w:val="000000" w:themeColor="text1"/>
          <w:szCs w:val="21"/>
        </w:rPr>
        <w:t>。</w:t>
      </w:r>
    </w:p>
    <w:p w14:paraId="2ECAD92B" w14:textId="0E955A2D" w:rsidR="002E666B" w:rsidRDefault="002E666B" w:rsidP="002E666B">
      <w:pPr>
        <w:ind w:firstLineChars="100" w:firstLine="210"/>
      </w:pPr>
      <w:r>
        <w:rPr>
          <w:rFonts w:hint="eastAsia"/>
        </w:rPr>
        <w:t>監査認証モデルは、自らが、あるいは第三者機関が基準を定立して、組織や事業の過程を評価するモデルである（例：コンプライアンス、介護サービス評価）</w:t>
      </w:r>
      <w:r w:rsidR="0046471A">
        <w:rPr>
          <w:rStyle w:val="a5"/>
        </w:rPr>
        <w:footnoteReference w:id="81"/>
      </w:r>
      <w:r>
        <w:rPr>
          <w:rFonts w:hint="eastAsia"/>
        </w:rPr>
        <w:t>。</w:t>
      </w:r>
    </w:p>
    <w:p w14:paraId="5E1E17CF" w14:textId="6EFE3650" w:rsidR="002E666B" w:rsidRPr="002E666B" w:rsidRDefault="002E666B" w:rsidP="002E666B">
      <w:pPr>
        <w:rPr>
          <w:rFonts w:hint="eastAsia"/>
        </w:rPr>
      </w:pPr>
      <w:r>
        <w:rPr>
          <w:rFonts w:hint="eastAsia"/>
        </w:rPr>
        <w:t xml:space="preserve">　誘導モデルとは、</w:t>
      </w:r>
      <w:r w:rsidR="00E342DC">
        <w:rPr>
          <w:rFonts w:hint="eastAsia"/>
        </w:rPr>
        <w:t>内部規律などには自主性を残しつつも、違反した事業者には国家がサンクションを加えるなど、上記３つの規制よりも国家の関与度が高い共同規制の態様である</w:t>
      </w:r>
      <w:r w:rsidR="0046471A">
        <w:rPr>
          <w:rStyle w:val="a5"/>
        </w:rPr>
        <w:footnoteReference w:id="82"/>
      </w:r>
      <w:r w:rsidR="00E342DC">
        <w:rPr>
          <w:rFonts w:hint="eastAsia"/>
        </w:rPr>
        <w:t>。</w:t>
      </w:r>
    </w:p>
    <w:p w14:paraId="32EA8786" w14:textId="77777777" w:rsidR="00BD3D82" w:rsidRDefault="00BD3D82" w:rsidP="00BD3D82">
      <w:pPr>
        <w:spacing w:line="240" w:lineRule="exact"/>
        <w:jc w:val="left"/>
        <w:rPr>
          <w:color w:val="000000" w:themeColor="text1"/>
          <w:szCs w:val="21"/>
        </w:rPr>
      </w:pPr>
    </w:p>
    <w:p w14:paraId="6A5DE68F" w14:textId="77777777" w:rsidR="00BD3D82" w:rsidRDefault="00BD3D82" w:rsidP="00BD3D82">
      <w:pPr>
        <w:pStyle w:val="2"/>
      </w:pPr>
      <w:r>
        <w:t xml:space="preserve">5-5. </w:t>
      </w:r>
      <w:r>
        <w:rPr>
          <w:rFonts w:hint="eastAsia"/>
        </w:rPr>
        <w:t>コントロールポイントについて</w:t>
      </w:r>
    </w:p>
    <w:p w14:paraId="2F62F5B6" w14:textId="77777777" w:rsidR="00BD3D82" w:rsidRDefault="00BD3D82" w:rsidP="004E776F">
      <w:pPr>
        <w:rPr>
          <w:color w:val="000000" w:themeColor="text1"/>
          <w:szCs w:val="21"/>
        </w:rPr>
      </w:pPr>
      <w:r>
        <w:rPr>
          <w:rFonts w:hint="eastAsia"/>
          <w:color w:val="000000" w:themeColor="text1"/>
          <w:szCs w:val="21"/>
        </w:rPr>
        <w:t xml:space="preserve">　フェイクニュース規制において、プラットフォーム事業者を規制対象とすることは所与のものとされているように思われるが、その意味について少し触れる。</w:t>
      </w:r>
    </w:p>
    <w:p w14:paraId="7726BFE5" w14:textId="11ACA020" w:rsidR="00BD3D82" w:rsidRDefault="00BD3D82" w:rsidP="004E776F">
      <w:pPr>
        <w:rPr>
          <w:rFonts w:hint="eastAsia"/>
          <w:color w:val="000000" w:themeColor="text1"/>
          <w:szCs w:val="21"/>
        </w:rPr>
      </w:pPr>
      <w:r>
        <w:rPr>
          <w:rFonts w:hint="eastAsia"/>
          <w:color w:val="000000" w:themeColor="text1"/>
          <w:szCs w:val="21"/>
        </w:rPr>
        <w:t xml:space="preserve">　フェイクニュースを生成し、拡散する主体はインターネット上にかなり多数存在する。それに加えて、フェイクニュース拡散の越境性や生成主体の匿名性が故に、そうした主体に対して直接規制を行うことは困難である。一方で、インターネット上のフェイクニュースは当然プラットフォームを介さなければ拡散することはなく、また、プラットフォームも特定されその数も限られている。そのため、情報が流通するプラットフォームがコントロールポイントとして規制されるのである。</w:t>
      </w:r>
      <w:r>
        <w:rPr>
          <w:rStyle w:val="a5"/>
          <w:color w:val="000000" w:themeColor="text1"/>
          <w:szCs w:val="21"/>
        </w:rPr>
        <w:footnoteReference w:id="83"/>
      </w:r>
    </w:p>
    <w:p w14:paraId="249CAEEE" w14:textId="77777777" w:rsidR="00BD3D82" w:rsidRDefault="00BD3D82" w:rsidP="00BD3D82">
      <w:pPr>
        <w:pStyle w:val="2"/>
      </w:pPr>
      <w:r>
        <w:t xml:space="preserve">5-6. </w:t>
      </w:r>
      <w:r>
        <w:rPr>
          <w:rFonts w:hint="eastAsia"/>
        </w:rPr>
        <w:t>自主規制の失敗のリカバリー</w:t>
      </w:r>
    </w:p>
    <w:p w14:paraId="29EF98E2" w14:textId="69436CF0" w:rsidR="00BD3D82" w:rsidRDefault="00BD3D82" w:rsidP="00BD3D82">
      <w:r>
        <w:rPr>
          <w:rFonts w:hint="eastAsia"/>
        </w:rPr>
        <w:t xml:space="preserve">　共同規制は、自主規制の失敗を政府によってカバーすべく設けられた概念であるから、それぞれの失敗のリカバリーについても検討する必要がある</w:t>
      </w:r>
      <w:r w:rsidR="00DE2965">
        <w:rPr>
          <w:rStyle w:val="a5"/>
        </w:rPr>
        <w:footnoteReference w:id="84"/>
      </w:r>
      <w:r>
        <w:rPr>
          <w:rFonts w:hint="eastAsia"/>
        </w:rPr>
        <w:t>。</w:t>
      </w:r>
    </w:p>
    <w:p w14:paraId="67C8E752" w14:textId="77777777" w:rsidR="00BD3D82" w:rsidRDefault="00BD3D82" w:rsidP="00BD3D82">
      <w:r>
        <w:rPr>
          <w:rFonts w:hint="eastAsia"/>
        </w:rPr>
        <w:t xml:space="preserve">　まず、形成の失敗については、自主規制すべき団体や事業者を法律によって明確にすべきである。フェイクニュース規制においては、コントロールポイントが寡占的なプラットフォーム事業者であるから、その点を法律によって明確にする必要がある。また、国側の働きかけや支援によって、ルールメイキングについて発生するコストを軽減させ、ステークホルダーの参加を現実的にすべきである。</w:t>
      </w:r>
    </w:p>
    <w:p w14:paraId="215F3119" w14:textId="77777777" w:rsidR="00BD3D82" w:rsidRDefault="00BD3D82" w:rsidP="00BD3D82">
      <w:r>
        <w:rPr>
          <w:rFonts w:hint="eastAsia"/>
        </w:rPr>
        <w:t xml:space="preserve">　内容の公正性については、公権力の介入によって、事業者間の交渉力の格差を埋めたり、事業者と利用者との知識の差を縮めるよう促したりするべきである。</w:t>
      </w:r>
    </w:p>
    <w:p w14:paraId="5BEB4CAB" w14:textId="77777777" w:rsidR="00BD3D82" w:rsidRDefault="00BD3D82" w:rsidP="00BD3D82">
      <w:r>
        <w:rPr>
          <w:rFonts w:hint="eastAsia"/>
        </w:rPr>
        <w:t xml:space="preserve">　実効性の担保は、プラットフォーム事業者のように団体を介さない規制の場合には、透明性レポートの提出の要求や、罰則がありうる。もっとも、違法な表現を一つでも逃せば罰則を科す、という制度にしてしまっては、プラットフォーム事業者による過剰な規制がなされるから、表現の自由と実効性との調整が問題となる。この点、ドイツのネットワーク執行法やフランスの情報操作との戦いに関する法律のように、システム構築や対策状況の報告を義務付ける手法が参考となりうる。</w:t>
      </w:r>
    </w:p>
    <w:p w14:paraId="6CE92BFD" w14:textId="55356E48" w:rsidR="00BD3D82" w:rsidRDefault="00BD3D82" w:rsidP="00BD3D82">
      <w:r>
        <w:rPr>
          <w:rFonts w:hint="eastAsia"/>
        </w:rPr>
        <w:t xml:space="preserve">　民主的正統性の欠如、公法的制約の潜脱の恐れに関しては、規制に対する救済手段を確保することが求められる</w:t>
      </w:r>
      <w:r w:rsidR="00DE2965">
        <w:rPr>
          <w:rStyle w:val="a5"/>
        </w:rPr>
        <w:footnoteReference w:id="85"/>
      </w:r>
      <w:r>
        <w:rPr>
          <w:rFonts w:hint="eastAsia"/>
        </w:rPr>
        <w:t>。</w:t>
      </w:r>
    </w:p>
    <w:p w14:paraId="48496A04" w14:textId="77777777" w:rsidR="00BD3D82" w:rsidRDefault="00BD3D82" w:rsidP="00BD3D82">
      <w:pPr>
        <w:spacing w:line="240" w:lineRule="exact"/>
        <w:jc w:val="left"/>
        <w:rPr>
          <w:color w:val="000000" w:themeColor="text1"/>
          <w:szCs w:val="21"/>
        </w:rPr>
      </w:pPr>
    </w:p>
    <w:p w14:paraId="437504E1" w14:textId="77777777" w:rsidR="00BD3D82" w:rsidRDefault="00BD3D82" w:rsidP="00BD3D82">
      <w:pPr>
        <w:pStyle w:val="2"/>
      </w:pPr>
      <w:r>
        <w:t xml:space="preserve">5-7. </w:t>
      </w:r>
      <w:r>
        <w:rPr>
          <w:rFonts w:hint="eastAsia"/>
        </w:rPr>
        <w:t>共同規制の枠組</w:t>
      </w:r>
    </w:p>
    <w:p w14:paraId="7B48F504" w14:textId="4EEDAABA" w:rsidR="00BD3D82" w:rsidRDefault="00BD3D82" w:rsidP="00BD3D82">
      <w:r>
        <w:rPr>
          <w:rFonts w:hint="eastAsia"/>
        </w:rPr>
        <w:t xml:space="preserve">　一般的な規制において、規制の客体がその行動を決定づけられる図式は、ローレンス・レッシグによって定式化された。レッシグは、「法」「規範」「市場」「アーキテクチャ」の４要素がそれぞれ独立に、あるいは</w:t>
      </w:r>
      <w:r w:rsidR="00AC7E48">
        <w:rPr>
          <w:rFonts w:hint="eastAsia"/>
        </w:rPr>
        <w:t>「法」がその他の要因に作用して、</w:t>
      </w:r>
      <w:r>
        <w:rPr>
          <w:rFonts w:hint="eastAsia"/>
        </w:rPr>
        <w:t>規制の客体行動に影響を与えているとした</w:t>
      </w:r>
      <w:r w:rsidR="00AC7E48">
        <w:rPr>
          <w:rFonts w:hint="eastAsia"/>
        </w:rPr>
        <w:t>（図１）</w:t>
      </w:r>
      <w:r>
        <w:rPr>
          <w:rStyle w:val="a5"/>
        </w:rPr>
        <w:footnoteReference w:id="86"/>
      </w:r>
      <w:r>
        <w:rPr>
          <w:rFonts w:hint="eastAsia"/>
        </w:rPr>
        <w:t>。「法」とは国家による直接的な規制を指す。「規範」は、公権力によらない非公式のルールで、コミュニティ間のルールのような外在的なものや、道徳的な内在的なものも含む。「市場」は、金銭的コストが行動に作用することを指す。規制を守らなければ市場の信用や人気を失って淘汰されるという圧力もあるし、逆に、金銭的コストがかかるから自主規制を行わない、守らない行動も、「市場」が誘因となっているといえる。「アーキテクチャ」は、物理的に人々の行動を制限する仕組みである。</w:t>
      </w:r>
    </w:p>
    <w:p w14:paraId="0EBB9171" w14:textId="135C0282" w:rsidR="003126CB" w:rsidRDefault="003126CB" w:rsidP="00BD3D82">
      <w:pPr>
        <w:rPr>
          <w:rFonts w:hint="eastAsia"/>
        </w:rPr>
      </w:pPr>
      <w:r>
        <w:rPr>
          <w:noProof/>
        </w:rPr>
        <mc:AlternateContent>
          <mc:Choice Requires="wps">
            <w:drawing>
              <wp:anchor distT="45720" distB="45720" distL="114300" distR="114300" simplePos="0" relativeHeight="251677696" behindDoc="0" locked="0" layoutInCell="1" allowOverlap="1" wp14:anchorId="3CBB2F44" wp14:editId="2133ACC2">
                <wp:simplePos x="0" y="0"/>
                <wp:positionH relativeFrom="column">
                  <wp:posOffset>2396173</wp:posOffset>
                </wp:positionH>
                <wp:positionV relativeFrom="paragraph">
                  <wp:posOffset>229870</wp:posOffset>
                </wp:positionV>
                <wp:extent cx="337820" cy="1404620"/>
                <wp:effectExtent l="0" t="0" r="24130" b="13970"/>
                <wp:wrapNone/>
                <wp:docPr id="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 cy="1404620"/>
                        </a:xfrm>
                        <a:prstGeom prst="rect">
                          <a:avLst/>
                        </a:prstGeom>
                        <a:solidFill>
                          <a:srgbClr val="FFFFFF"/>
                        </a:solidFill>
                        <a:ln w="9525">
                          <a:solidFill>
                            <a:srgbClr val="000000"/>
                          </a:solidFill>
                          <a:miter lim="800000"/>
                          <a:headEnd/>
                          <a:tailEnd/>
                        </a:ln>
                      </wps:spPr>
                      <wps:txbx>
                        <w:txbxContent>
                          <w:p w14:paraId="2FB18FFA" w14:textId="63DAAED1" w:rsidR="00657F8D" w:rsidRDefault="00657F8D">
                            <w:r>
                              <w:rPr>
                                <w:rFonts w:hint="eastAsia"/>
                              </w:rPr>
                              <w:t>法</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BB2F44" id="_x0000_t202" coordsize="21600,21600" o:spt="202" path="m,l,21600r21600,l21600,xe">
                <v:stroke joinstyle="miter"/>
                <v:path gradientshapeok="t" o:connecttype="rect"/>
              </v:shapetype>
              <v:shape id="テキスト ボックス 2" o:spid="_x0000_s1026" type="#_x0000_t202" style="position:absolute;left:0;text-align:left;margin-left:188.7pt;margin-top:18.1pt;width:26.6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">
                <v:textbox style="mso-fit-shape-to-text:t">
                  <w:txbxContent>
                    <w:p w14:paraId="2FB18FFA" w14:textId="63DAAED1" w:rsidR="00657F8D" w:rsidRDefault="00657F8D">
                      <w:r>
                        <w:rPr>
                          <w:rFonts w:hint="eastAsia"/>
                        </w:rPr>
                        <w:t>法</w:t>
                      </w:r>
                    </w:p>
                  </w:txbxContent>
                </v:textbox>
              </v:shape>
            </w:pict>
          </mc:Fallback>
        </mc:AlternateContent>
      </w:r>
    </w:p>
    <w:p w14:paraId="2FF4C07F" w14:textId="3B71473F" w:rsidR="00AC7E48" w:rsidRDefault="003126CB" w:rsidP="00BD3D82">
      <w:r>
        <w:rPr>
          <w:noProof/>
        </w:rPr>
        <mc:AlternateContent>
          <mc:Choice Requires="wps">
            <w:drawing>
              <wp:anchor distT="0" distB="0" distL="114300" distR="114300" simplePos="0" relativeHeight="251701248" behindDoc="0" locked="0" layoutInCell="1" allowOverlap="1" wp14:anchorId="1B28E4A9" wp14:editId="7B6C1179">
                <wp:simplePos x="0" y="0"/>
                <wp:positionH relativeFrom="column">
                  <wp:posOffset>2848928</wp:posOffset>
                </wp:positionH>
                <wp:positionV relativeFrom="paragraph">
                  <wp:posOffset>120649</wp:posOffset>
                </wp:positionV>
                <wp:extent cx="1309687" cy="1071245"/>
                <wp:effectExtent l="19050" t="19050" r="62230" b="52705"/>
                <wp:wrapNone/>
                <wp:docPr id="201" name="直線矢印コネクタ 201"/>
                <wp:cNvGraphicFramePr/>
                <a:graphic xmlns:a="http://schemas.openxmlformats.org/drawingml/2006/main">
                  <a:graphicData uri="http://schemas.microsoft.com/office/word/2010/wordprocessingShape">
                    <wps:wsp>
                      <wps:cNvCnPr/>
                      <wps:spPr>
                        <a:xfrm>
                          <a:off x="0" y="0"/>
                          <a:ext cx="1309687" cy="1071245"/>
                        </a:xfrm>
                        <a:prstGeom prst="straightConnector1">
                          <a:avLst/>
                        </a:prstGeom>
                        <a:ln w="57150">
                          <a:prstDash val="sysDash"/>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5B95D8" id="_x0000_t32" coordsize="21600,21600" o:spt="32" o:oned="t" path="m,l21600,21600e" filled="f">
                <v:path arrowok="t" fillok="f" o:connecttype="none"/>
                <o:lock v:ext="edit" shapetype="t"/>
              </v:shapetype>
              <v:shape id="直線矢印コネクタ 201" o:spid="_x0000_s1026" type="#_x0000_t32" style="position:absolute;left:0;text-align:left;margin-left:224.35pt;margin-top:9.5pt;width:103.1pt;height:84.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" strokecolor="#ed7d31 [3205]" strokeweight="4.5pt">
                <v:stroke dashstyle="3 1"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5D6FBE27" wp14:editId="1DA2C61C">
                <wp:simplePos x="0" y="0"/>
                <wp:positionH relativeFrom="column">
                  <wp:posOffset>2806065</wp:posOffset>
                </wp:positionH>
                <wp:positionV relativeFrom="paragraph">
                  <wp:posOffset>196850</wp:posOffset>
                </wp:positionV>
                <wp:extent cx="361950" cy="2014538"/>
                <wp:effectExtent l="19050" t="0" r="114300" b="62230"/>
                <wp:wrapNone/>
                <wp:docPr id="204" name="直線矢印コネクタ 204"/>
                <wp:cNvGraphicFramePr/>
                <a:graphic xmlns:a="http://schemas.openxmlformats.org/drawingml/2006/main">
                  <a:graphicData uri="http://schemas.microsoft.com/office/word/2010/wordprocessingShape">
                    <wps:wsp>
                      <wps:cNvCnPr/>
                      <wps:spPr>
                        <a:xfrm>
                          <a:off x="0" y="0"/>
                          <a:ext cx="361950" cy="2014538"/>
                        </a:xfrm>
                        <a:prstGeom prst="straightConnector1">
                          <a:avLst/>
                        </a:prstGeom>
                        <a:ln w="57150">
                          <a:prstDash val="sysDash"/>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FD87F" id="直線矢印コネクタ 204" o:spid="_x0000_s1026" type="#_x0000_t32" style="position:absolute;left:0;text-align:left;margin-left:220.95pt;margin-top:15.5pt;width:28.5pt;height:158.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" strokecolor="#ed7d31 [3205]" strokeweight="4.5pt">
                <v:stroke dashstyle="3 1"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2688202D" wp14:editId="5F6A11CB">
                <wp:simplePos x="0" y="0"/>
                <wp:positionH relativeFrom="column">
                  <wp:posOffset>1153477</wp:posOffset>
                </wp:positionH>
                <wp:positionV relativeFrom="paragraph">
                  <wp:posOffset>225425</wp:posOffset>
                </wp:positionV>
                <wp:extent cx="1185545" cy="966788"/>
                <wp:effectExtent l="38100" t="19050" r="33655" b="62230"/>
                <wp:wrapNone/>
                <wp:docPr id="203" name="直線矢印コネクタ 203"/>
                <wp:cNvGraphicFramePr/>
                <a:graphic xmlns:a="http://schemas.openxmlformats.org/drawingml/2006/main">
                  <a:graphicData uri="http://schemas.microsoft.com/office/word/2010/wordprocessingShape">
                    <wps:wsp>
                      <wps:cNvCnPr/>
                      <wps:spPr>
                        <a:xfrm flipH="1">
                          <a:off x="0" y="0"/>
                          <a:ext cx="1185545" cy="966788"/>
                        </a:xfrm>
                        <a:prstGeom prst="straightConnector1">
                          <a:avLst/>
                        </a:prstGeom>
                        <a:ln w="57150">
                          <a:prstDash val="sysDash"/>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D8E6EB" id="直線矢印コネクタ 203" o:spid="_x0000_s1026" type="#_x0000_t32" style="position:absolute;left:0;text-align:left;margin-left:90.8pt;margin-top:17.75pt;width:93.35pt;height:76.1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" strokecolor="#ed7d31 [3205]" strokeweight="4.5pt">
                <v:stroke dashstyle="3 1" endarrow="block" joinstyle="miter"/>
              </v:shape>
            </w:pict>
          </mc:Fallback>
        </mc:AlternateContent>
      </w:r>
      <w:r w:rsidR="00AC7E48">
        <w:rPr>
          <w:noProof/>
        </w:rPr>
        <mc:AlternateContent>
          <mc:Choice Requires="wps">
            <w:drawing>
              <wp:anchor distT="45720" distB="45720" distL="114300" distR="114300" simplePos="0" relativeHeight="251687936" behindDoc="0" locked="0" layoutInCell="1" allowOverlap="1" wp14:anchorId="750DE8E2" wp14:editId="052DDA1D">
                <wp:simplePos x="0" y="0"/>
                <wp:positionH relativeFrom="column">
                  <wp:posOffset>3572510</wp:posOffset>
                </wp:positionH>
                <wp:positionV relativeFrom="paragraph">
                  <wp:posOffset>317</wp:posOffset>
                </wp:positionV>
                <wp:extent cx="1952625" cy="1404620"/>
                <wp:effectExtent l="0" t="0" r="9525" b="0"/>
                <wp:wrapSquare wrapText="bothSides"/>
                <wp:docPr id="3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1404620"/>
                        </a:xfrm>
                        <a:prstGeom prst="rect">
                          <a:avLst/>
                        </a:prstGeom>
                        <a:solidFill>
                          <a:srgbClr val="FFFFFF"/>
                        </a:solidFill>
                        <a:ln w="9525">
                          <a:noFill/>
                          <a:miter lim="800000"/>
                          <a:headEnd/>
                          <a:tailEnd/>
                        </a:ln>
                      </wps:spPr>
                      <wps:txbx>
                        <w:txbxContent>
                          <w:p w14:paraId="35BB98FD" w14:textId="21D67F33" w:rsidR="00657F8D" w:rsidRDefault="00657F8D">
                            <w:pPr>
                              <w:rPr>
                                <w:rFonts w:hint="eastAsia"/>
                              </w:rPr>
                            </w:pPr>
                            <w:r>
                              <w:rPr>
                                <w:rFonts w:hint="eastAsia"/>
                              </w:rPr>
                              <w:t>（</w:t>
                            </w:r>
                            <w:r>
                              <w:t>Lessig, p667</w:t>
                            </w:r>
                            <w:r>
                              <w:rPr>
                                <w:rFonts w:hint="eastAsia"/>
                              </w:rPr>
                              <w:t>を基に作成）</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0DE8E2" id="_x0000_s1027" type="#_x0000_t202" style="position:absolute;left:0;text-align:left;margin-left:281.3pt;margin-top:0;width:153.75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" stroked="f">
                <v:textbox style="mso-fit-shape-to-text:t">
                  <w:txbxContent>
                    <w:p w14:paraId="35BB98FD" w14:textId="21D67F33" w:rsidR="00657F8D" w:rsidRDefault="00657F8D">
                      <w:pPr>
                        <w:rPr>
                          <w:rFonts w:hint="eastAsia"/>
                        </w:rPr>
                      </w:pPr>
                      <w:r>
                        <w:rPr>
                          <w:rFonts w:hint="eastAsia"/>
                        </w:rPr>
                        <w:t>（</w:t>
                      </w:r>
                      <w:r>
                        <w:t>Lessig, p667</w:t>
                      </w:r>
                      <w:r>
                        <w:rPr>
                          <w:rFonts w:hint="eastAsia"/>
                        </w:rPr>
                        <w:t>を基に作成）</w:t>
                      </w:r>
                    </w:p>
                  </w:txbxContent>
                </v:textbox>
                <w10:wrap type="square"/>
              </v:shape>
            </w:pict>
          </mc:Fallback>
        </mc:AlternateContent>
      </w:r>
    </w:p>
    <w:p w14:paraId="4AA49F28" w14:textId="454F270B" w:rsidR="00AC7E48" w:rsidRDefault="003126CB" w:rsidP="00BD3D82">
      <w:r>
        <w:rPr>
          <w:noProof/>
        </w:rPr>
        <mc:AlternateContent>
          <mc:Choice Requires="wps">
            <w:drawing>
              <wp:anchor distT="0" distB="0" distL="114300" distR="114300" simplePos="0" relativeHeight="251696128" behindDoc="0" locked="0" layoutInCell="1" allowOverlap="1" wp14:anchorId="10B845D0" wp14:editId="3E4F7471">
                <wp:simplePos x="0" y="0"/>
                <wp:positionH relativeFrom="column">
                  <wp:posOffset>2362835</wp:posOffset>
                </wp:positionH>
                <wp:positionV relativeFrom="paragraph">
                  <wp:posOffset>163830</wp:posOffset>
                </wp:positionV>
                <wp:extent cx="484632" cy="514350"/>
                <wp:effectExtent l="19050" t="0" r="29845" b="38100"/>
                <wp:wrapNone/>
                <wp:docPr id="195" name="矢印: 下 195"/>
                <wp:cNvGraphicFramePr/>
                <a:graphic xmlns:a="http://schemas.openxmlformats.org/drawingml/2006/main">
                  <a:graphicData uri="http://schemas.microsoft.com/office/word/2010/wordprocessingShape">
                    <wps:wsp>
                      <wps:cNvSpPr/>
                      <wps:spPr>
                        <a:xfrm>
                          <a:off x="0" y="0"/>
                          <a:ext cx="484632" cy="51435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A2CF97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95" o:spid="_x0000_s1026" type="#_x0000_t67" style="position:absolute;left:0;text-align:left;margin-left:186.05pt;margin-top:12.9pt;width:38.15pt;height:40.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" adj="11424" fillcolor="#ed7d31 [3205]" strokecolor="#823b0b [1605]" strokeweight="1pt"/>
            </w:pict>
          </mc:Fallback>
        </mc:AlternateContent>
      </w:r>
    </w:p>
    <w:p w14:paraId="01120F6C" w14:textId="43B95A4A" w:rsidR="00AC7E48" w:rsidRDefault="00AC7E48" w:rsidP="00BD3D82"/>
    <w:p w14:paraId="1C394FDF" w14:textId="6E2D75BA" w:rsidR="00AC7E48" w:rsidRDefault="00AC7E48" w:rsidP="00BD3D82"/>
    <w:p w14:paraId="6DA6AB47" w14:textId="17789BAF" w:rsidR="00AC7E48" w:rsidRDefault="003126CB" w:rsidP="00BD3D82">
      <w:pPr>
        <w:rPr>
          <w:rFonts w:hint="eastAsia"/>
        </w:rPr>
      </w:pPr>
      <w:r>
        <w:rPr>
          <w:noProof/>
        </w:rPr>
        <mc:AlternateContent>
          <mc:Choice Requires="wps">
            <w:drawing>
              <wp:anchor distT="0" distB="0" distL="114300" distR="114300" simplePos="0" relativeHeight="251685888" behindDoc="0" locked="0" layoutInCell="1" allowOverlap="1" wp14:anchorId="73ED6D74" wp14:editId="5D9583FA">
                <wp:simplePos x="0" y="0"/>
                <wp:positionH relativeFrom="column">
                  <wp:posOffset>2267902</wp:posOffset>
                </wp:positionH>
                <wp:positionV relativeFrom="paragraph">
                  <wp:posOffset>70803</wp:posOffset>
                </wp:positionV>
                <wp:extent cx="728662" cy="766762"/>
                <wp:effectExtent l="0" t="0" r="14605" b="14605"/>
                <wp:wrapNone/>
                <wp:docPr id="29" name="フローチャート: 結合子 29"/>
                <wp:cNvGraphicFramePr xmlns:a="http://schemas.openxmlformats.org/drawingml/2006/main"/>
                <a:graphic xmlns:a="http://schemas.openxmlformats.org/drawingml/2006/main">
                  <a:graphicData uri="http://schemas.microsoft.com/office/word/2010/wordprocessingShape">
                    <wps:wsp>
                      <wps:cNvSpPr/>
                      <wps:spPr>
                        <a:xfrm>
                          <a:off x="0" y="0"/>
                          <a:ext cx="728662" cy="766762"/>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FF4BBC" w14:textId="6E7C2BDD" w:rsidR="00657F8D" w:rsidRDefault="00657F8D" w:rsidP="00AC7E48">
                            <w:pPr>
                              <w:jc w:val="center"/>
                              <w:rPr>
                                <w:rFonts w:eastAsia="游ゴシック" w:hAnsi="游ゴシック" w:cs="Calibri"/>
                                <w:color w:val="FFFFFF" w:themeColor="light1"/>
                                <w:kern w:val="24"/>
                                <w:sz w:val="24"/>
                                <w:szCs w:val="24"/>
                              </w:rPr>
                            </w:pPr>
                            <w:r>
                              <w:rPr>
                                <w:rFonts w:eastAsia="游ゴシック" w:hAnsi="游ゴシック" w:cs="Calibri" w:hint="eastAsia"/>
                                <w:color w:val="FFFFFF" w:themeColor="light1"/>
                                <w:kern w:val="24"/>
                              </w:rPr>
                              <w:t>規制対象</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73ED6D74" id="_x0000_t120" coordsize="21600,21600" o:spt="120" path="m10800,qx,10800,10800,21600,21600,10800,10800,xe">
                <v:path gradientshapeok="t" o:connecttype="custom" o:connectlocs="10800,0;3163,3163;0,10800;3163,18437;10800,21600;18437,18437;21600,10800;18437,3163" textboxrect="3163,3163,18437,18437"/>
              </v:shapetype>
              <v:shape id="フローチャート: 結合子 29" o:spid="_x0000_s1028" type="#_x0000_t120" style="position:absolute;left:0;text-align:left;margin-left:178.55pt;margin-top:5.6pt;width:57.35pt;height:60.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" fillcolor="#4472c4 [3204]" strokecolor="#1f3763 [1604]" strokeweight="1pt">
                <v:stroke joinstyle="miter"/>
                <v:textbox>
                  <w:txbxContent>
                    <w:p w14:paraId="66FF4BBC" w14:textId="6E7C2BDD" w:rsidR="00657F8D" w:rsidRDefault="00657F8D" w:rsidP="00AC7E48">
                      <w:pPr>
                        <w:jc w:val="center"/>
                        <w:rPr>
                          <w:rFonts w:eastAsia="游ゴシック" w:hAnsi="游ゴシック" w:cs="Calibri"/>
                          <w:color w:val="FFFFFF" w:themeColor="light1"/>
                          <w:kern w:val="24"/>
                          <w:sz w:val="24"/>
                          <w:szCs w:val="24"/>
                        </w:rPr>
                      </w:pPr>
                      <w:r>
                        <w:rPr>
                          <w:rFonts w:eastAsia="游ゴシック" w:hAnsi="游ゴシック" w:cs="Calibri" w:hint="eastAsia"/>
                          <w:color w:val="FFFFFF" w:themeColor="light1"/>
                          <w:kern w:val="24"/>
                        </w:rPr>
                        <w:t>規制対象</w:t>
                      </w:r>
                    </w:p>
                  </w:txbxContent>
                </v:textbox>
              </v:shape>
            </w:pict>
          </mc:Fallback>
        </mc:AlternateContent>
      </w:r>
    </w:p>
    <w:p w14:paraId="0522D699" w14:textId="38C9A053" w:rsidR="00AC7E48" w:rsidRDefault="003126CB" w:rsidP="00BD3D82">
      <w:r>
        <w:rPr>
          <w:noProof/>
        </w:rPr>
        <mc:AlternateContent>
          <mc:Choice Requires="wps">
            <w:drawing>
              <wp:anchor distT="45720" distB="45720" distL="114300" distR="114300" simplePos="0" relativeHeight="251683840" behindDoc="0" locked="0" layoutInCell="1" allowOverlap="1" wp14:anchorId="0568C42F" wp14:editId="587FC15F">
                <wp:simplePos x="0" y="0"/>
                <wp:positionH relativeFrom="column">
                  <wp:posOffset>3955415</wp:posOffset>
                </wp:positionH>
                <wp:positionV relativeFrom="paragraph">
                  <wp:posOffset>129540</wp:posOffset>
                </wp:positionV>
                <wp:extent cx="514350" cy="1404620"/>
                <wp:effectExtent l="0" t="0" r="19050" b="13970"/>
                <wp:wrapNone/>
                <wp:docPr id="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1404620"/>
                        </a:xfrm>
                        <a:prstGeom prst="rect">
                          <a:avLst/>
                        </a:prstGeom>
                        <a:solidFill>
                          <a:srgbClr val="FFFFFF"/>
                        </a:solidFill>
                        <a:ln w="9525">
                          <a:solidFill>
                            <a:srgbClr val="000000"/>
                          </a:solidFill>
                          <a:miter lim="800000"/>
                          <a:headEnd/>
                          <a:tailEnd/>
                        </a:ln>
                      </wps:spPr>
                      <wps:txbx>
                        <w:txbxContent>
                          <w:p w14:paraId="1BF23C39" w14:textId="12E9DBED" w:rsidR="00657F8D" w:rsidRDefault="00657F8D">
                            <w:r>
                              <w:rPr>
                                <w:rFonts w:hint="eastAsia"/>
                              </w:rPr>
                              <w:t>市場</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68C42F" id="_x0000_s1029" type="#_x0000_t202" style="position:absolute;left:0;text-align:left;margin-left:311.45pt;margin-top:10.2pt;width:40.5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">
                <v:textbox style="mso-fit-shape-to-text:t">
                  <w:txbxContent>
                    <w:p w14:paraId="1BF23C39" w14:textId="12E9DBED" w:rsidR="00657F8D" w:rsidRDefault="00657F8D">
                      <w:r>
                        <w:rPr>
                          <w:rFonts w:hint="eastAsia"/>
                        </w:rPr>
                        <w:t>市場</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471BCD8" wp14:editId="75676444">
                <wp:simplePos x="0" y="0"/>
                <wp:positionH relativeFrom="column">
                  <wp:posOffset>3014980</wp:posOffset>
                </wp:positionH>
                <wp:positionV relativeFrom="paragraph">
                  <wp:posOffset>20320</wp:posOffset>
                </wp:positionV>
                <wp:extent cx="842963" cy="484632"/>
                <wp:effectExtent l="19050" t="19050" r="14605" b="29845"/>
                <wp:wrapNone/>
                <wp:docPr id="194" name="矢印: 右 194"/>
                <wp:cNvGraphicFramePr/>
                <a:graphic xmlns:a="http://schemas.openxmlformats.org/drawingml/2006/main">
                  <a:graphicData uri="http://schemas.microsoft.com/office/word/2010/wordprocessingShape">
                    <wps:wsp>
                      <wps:cNvSpPr/>
                      <wps:spPr>
                        <a:xfrm flipH="1">
                          <a:off x="0" y="0"/>
                          <a:ext cx="842963" cy="484632"/>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33A9D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94" o:spid="_x0000_s1026" type="#_x0000_t13" style="position:absolute;left:0;text-align:left;margin-left:237.4pt;margin-top:1.6pt;width:66.4pt;height:38.15pt;flip:x;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" adj="15391" fillcolor="#ed7d31 [3205]" strokecolor="#823b0b [1605]" strokeweight="1pt"/>
            </w:pict>
          </mc:Fallback>
        </mc:AlternateContent>
      </w:r>
      <w:r>
        <w:rPr>
          <w:noProof/>
        </w:rPr>
        <mc:AlternateContent>
          <mc:Choice Requires="wps">
            <w:drawing>
              <wp:anchor distT="0" distB="0" distL="114300" distR="114300" simplePos="0" relativeHeight="251693056" behindDoc="0" locked="0" layoutInCell="1" allowOverlap="1" wp14:anchorId="1DDE33C6" wp14:editId="77A556FB">
                <wp:simplePos x="0" y="0"/>
                <wp:positionH relativeFrom="column">
                  <wp:posOffset>1297623</wp:posOffset>
                </wp:positionH>
                <wp:positionV relativeFrom="paragraph">
                  <wp:posOffset>50482</wp:posOffset>
                </wp:positionV>
                <wp:extent cx="978408" cy="484632"/>
                <wp:effectExtent l="0" t="19050" r="31750" b="29845"/>
                <wp:wrapNone/>
                <wp:docPr id="193" name="矢印: 右 193"/>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364A86" id="矢印: 右 193" o:spid="_x0000_s1026" type="#_x0000_t13" style="position:absolute;left:0;text-align:left;margin-left:102.2pt;margin-top:3.95pt;width:77.05pt;height:38.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" adj="16250" fillcolor="#ed7d31 [3205]" strokecolor="#823b0b [1605]" strokeweight="1pt"/>
            </w:pict>
          </mc:Fallback>
        </mc:AlternateContent>
      </w:r>
      <w:r>
        <w:rPr>
          <w:noProof/>
        </w:rPr>
        <mc:AlternateContent>
          <mc:Choice Requires="wps">
            <w:drawing>
              <wp:anchor distT="45720" distB="45720" distL="114300" distR="114300" simplePos="0" relativeHeight="251679744" behindDoc="0" locked="0" layoutInCell="1" allowOverlap="1" wp14:anchorId="0F145538" wp14:editId="27689D84">
                <wp:simplePos x="0" y="0"/>
                <wp:positionH relativeFrom="column">
                  <wp:posOffset>856932</wp:posOffset>
                </wp:positionH>
                <wp:positionV relativeFrom="paragraph">
                  <wp:posOffset>129858</wp:posOffset>
                </wp:positionV>
                <wp:extent cx="462915" cy="1404620"/>
                <wp:effectExtent l="0" t="0" r="13335" b="13970"/>
                <wp:wrapNone/>
                <wp:docPr id="2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1404620"/>
                        </a:xfrm>
                        <a:prstGeom prst="rect">
                          <a:avLst/>
                        </a:prstGeom>
                        <a:solidFill>
                          <a:srgbClr val="FFFFFF"/>
                        </a:solidFill>
                        <a:ln w="9525">
                          <a:solidFill>
                            <a:srgbClr val="000000"/>
                          </a:solidFill>
                          <a:miter lim="800000"/>
                          <a:headEnd/>
                          <a:tailEnd/>
                        </a:ln>
                      </wps:spPr>
                      <wps:txbx>
                        <w:txbxContent>
                          <w:p w14:paraId="20F37772" w14:textId="671CC484" w:rsidR="00657F8D" w:rsidRDefault="00657F8D">
                            <w:r>
                              <w:rPr>
                                <w:rFonts w:hint="eastAsia"/>
                              </w:rPr>
                              <w:t>規範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145538" id="_x0000_s1030" type="#_x0000_t202" style="position:absolute;left:0;text-align:left;margin-left:67.45pt;margin-top:10.25pt;width:36.4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">
                <v:textbox style="mso-fit-shape-to-text:t">
                  <w:txbxContent>
                    <w:p w14:paraId="20F37772" w14:textId="671CC484" w:rsidR="00657F8D" w:rsidRDefault="00657F8D">
                      <w:r>
                        <w:rPr>
                          <w:rFonts w:hint="eastAsia"/>
                        </w:rPr>
                        <w:t>規範</w:t>
                      </w:r>
                    </w:p>
                  </w:txbxContent>
                </v:textbox>
              </v:shape>
            </w:pict>
          </mc:Fallback>
        </mc:AlternateContent>
      </w:r>
    </w:p>
    <w:p w14:paraId="4984DF7F" w14:textId="0C7E1F4B" w:rsidR="00AC7E48" w:rsidRDefault="00AC7E48" w:rsidP="00BD3D82"/>
    <w:p w14:paraId="2CF93CB1" w14:textId="38BA4E14" w:rsidR="003126CB" w:rsidRDefault="003126CB" w:rsidP="00BD3D82">
      <w:r>
        <w:rPr>
          <w:noProof/>
        </w:rPr>
        <mc:AlternateContent>
          <mc:Choice Requires="wps">
            <w:drawing>
              <wp:anchor distT="0" distB="0" distL="114300" distR="114300" simplePos="0" relativeHeight="251698176" behindDoc="0" locked="0" layoutInCell="1" allowOverlap="1" wp14:anchorId="39BE8E3B" wp14:editId="05D9683C">
                <wp:simplePos x="0" y="0"/>
                <wp:positionH relativeFrom="column">
                  <wp:posOffset>2429828</wp:posOffset>
                </wp:positionH>
                <wp:positionV relativeFrom="paragraph">
                  <wp:posOffset>196849</wp:posOffset>
                </wp:positionV>
                <wp:extent cx="484505" cy="490538"/>
                <wp:effectExtent l="19050" t="19050" r="29845" b="24130"/>
                <wp:wrapNone/>
                <wp:docPr id="197" name="矢印: 下 197"/>
                <wp:cNvGraphicFramePr/>
                <a:graphic xmlns:a="http://schemas.openxmlformats.org/drawingml/2006/main">
                  <a:graphicData uri="http://schemas.microsoft.com/office/word/2010/wordprocessingShape">
                    <wps:wsp>
                      <wps:cNvSpPr/>
                      <wps:spPr>
                        <a:xfrm flipV="1">
                          <a:off x="0" y="0"/>
                          <a:ext cx="484505" cy="490538"/>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E0729A" id="矢印: 下 197" o:spid="_x0000_s1026" type="#_x0000_t67" style="position:absolute;left:0;text-align:left;margin-left:191.35pt;margin-top:15.5pt;width:38.15pt;height:38.65pt;flip:y;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" adj="10933" fillcolor="#ed7d31 [3205]" strokecolor="#823b0b [1605]" strokeweight="1pt"/>
            </w:pict>
          </mc:Fallback>
        </mc:AlternateContent>
      </w:r>
    </w:p>
    <w:p w14:paraId="63A24982" w14:textId="41CB8BAD" w:rsidR="003126CB" w:rsidRDefault="003126CB" w:rsidP="00BD3D82"/>
    <w:p w14:paraId="48E6D45C" w14:textId="5F0B4085" w:rsidR="003126CB" w:rsidRDefault="003126CB" w:rsidP="00BD3D82"/>
    <w:p w14:paraId="32FB8AA9" w14:textId="4DB7218E" w:rsidR="003126CB" w:rsidRDefault="003126CB" w:rsidP="00BD3D82">
      <w:r>
        <w:rPr>
          <w:noProof/>
        </w:rPr>
        <mc:AlternateContent>
          <mc:Choice Requires="wps">
            <w:drawing>
              <wp:anchor distT="45720" distB="45720" distL="114300" distR="114300" simplePos="0" relativeHeight="251681792" behindDoc="0" locked="0" layoutInCell="1" allowOverlap="1" wp14:anchorId="5E1303CD" wp14:editId="019AF948">
                <wp:simplePos x="0" y="0"/>
                <wp:positionH relativeFrom="column">
                  <wp:posOffset>2159318</wp:posOffset>
                </wp:positionH>
                <wp:positionV relativeFrom="paragraph">
                  <wp:posOffset>43815</wp:posOffset>
                </wp:positionV>
                <wp:extent cx="1185545" cy="1404620"/>
                <wp:effectExtent l="0" t="0" r="14605" b="13970"/>
                <wp:wrapNone/>
                <wp:docPr id="2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5545" cy="1404620"/>
                        </a:xfrm>
                        <a:prstGeom prst="rect">
                          <a:avLst/>
                        </a:prstGeom>
                        <a:solidFill>
                          <a:srgbClr val="FFFFFF"/>
                        </a:solidFill>
                        <a:ln w="9525">
                          <a:solidFill>
                            <a:srgbClr val="000000"/>
                          </a:solidFill>
                          <a:miter lim="800000"/>
                          <a:headEnd/>
                          <a:tailEnd/>
                        </a:ln>
                      </wps:spPr>
                      <wps:txbx>
                        <w:txbxContent>
                          <w:p w14:paraId="370007D5" w14:textId="75D4FC48" w:rsidR="00657F8D" w:rsidRDefault="00657F8D">
                            <w:r>
                              <w:rPr>
                                <w:rFonts w:hint="eastAsia"/>
                              </w:rPr>
                              <w:t>アーキテクチャ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1303CD" id="_x0000_s1031" type="#_x0000_t202" style="position:absolute;left:0;text-align:left;margin-left:170.05pt;margin-top:3.45pt;width:93.3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">
                <v:textbox style="mso-fit-shape-to-text:t">
                  <w:txbxContent>
                    <w:p w14:paraId="370007D5" w14:textId="75D4FC48" w:rsidR="00657F8D" w:rsidRDefault="00657F8D">
                      <w:r>
                        <w:rPr>
                          <w:rFonts w:hint="eastAsia"/>
                        </w:rPr>
                        <w:t>アーキテクチャ</w:t>
                      </w:r>
                    </w:p>
                  </w:txbxContent>
                </v:textbox>
              </v:shape>
            </w:pict>
          </mc:Fallback>
        </mc:AlternateContent>
      </w:r>
    </w:p>
    <w:p w14:paraId="53C470D3" w14:textId="77777777" w:rsidR="003126CB" w:rsidRDefault="003126CB" w:rsidP="00BD3D82"/>
    <w:p w14:paraId="49060EEE" w14:textId="770346EA" w:rsidR="00AC7E48" w:rsidRDefault="00D65026" w:rsidP="00BD3D82">
      <w:r>
        <w:rPr>
          <w:noProof/>
        </w:rPr>
        <mc:AlternateContent>
          <mc:Choice Requires="wps">
            <w:drawing>
              <wp:anchor distT="45720" distB="45720" distL="114300" distR="114300" simplePos="0" relativeHeight="251689984" behindDoc="0" locked="0" layoutInCell="1" allowOverlap="1" wp14:anchorId="228AD3BD" wp14:editId="6416619C">
                <wp:simplePos x="0" y="0"/>
                <wp:positionH relativeFrom="column">
                  <wp:posOffset>2338388</wp:posOffset>
                </wp:positionH>
                <wp:positionV relativeFrom="paragraph">
                  <wp:posOffset>82232</wp:posOffset>
                </wp:positionV>
                <wp:extent cx="676352" cy="1404620"/>
                <wp:effectExtent l="0" t="0" r="9525" b="0"/>
                <wp:wrapNone/>
                <wp:docPr id="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352" cy="1404620"/>
                        </a:xfrm>
                        <a:prstGeom prst="rect">
                          <a:avLst/>
                        </a:prstGeom>
                        <a:solidFill>
                          <a:srgbClr val="FFFFFF"/>
                        </a:solidFill>
                        <a:ln w="9525">
                          <a:noFill/>
                          <a:miter lim="800000"/>
                          <a:headEnd/>
                          <a:tailEnd/>
                        </a:ln>
                      </wps:spPr>
                      <wps:txbx>
                        <w:txbxContent>
                          <w:p w14:paraId="038EE597" w14:textId="5EC1BB93" w:rsidR="00657F8D" w:rsidRDefault="00657F8D">
                            <w:pPr>
                              <w:rPr>
                                <w:rFonts w:hint="eastAsia"/>
                              </w:rPr>
                            </w:pPr>
                            <w:r>
                              <w:rPr>
                                <w:rFonts w:hint="eastAsia"/>
                              </w:rPr>
                              <w:t>（</w:t>
                            </w:r>
                            <w:r>
                              <w:rPr>
                                <w:rFonts w:hint="eastAsia"/>
                              </w:rPr>
                              <w:t>図１）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8AD3BD" id="_x0000_s1032" type="#_x0000_t202" style="position:absolute;left:0;text-align:left;margin-left:184.15pt;margin-top:6.45pt;width:53.2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" stroked="f">
                <v:textbox style="mso-fit-shape-to-text:t">
                  <w:txbxContent>
                    <w:p w14:paraId="038EE597" w14:textId="5EC1BB93" w:rsidR="00657F8D" w:rsidRDefault="00657F8D">
                      <w:pPr>
                        <w:rPr>
                          <w:rFonts w:hint="eastAsia"/>
                        </w:rPr>
                      </w:pPr>
                      <w:r>
                        <w:rPr>
                          <w:rFonts w:hint="eastAsia"/>
                        </w:rPr>
                        <w:t>（</w:t>
                      </w:r>
                      <w:r>
                        <w:rPr>
                          <w:rFonts w:hint="eastAsia"/>
                        </w:rPr>
                        <w:t>図１）</w:t>
                      </w:r>
                    </w:p>
                  </w:txbxContent>
                </v:textbox>
              </v:shape>
            </w:pict>
          </mc:Fallback>
        </mc:AlternateContent>
      </w:r>
    </w:p>
    <w:p w14:paraId="034DEFDD" w14:textId="77777777" w:rsidR="00AC7E48" w:rsidRDefault="00AC7E48" w:rsidP="00BD3D82">
      <w:pPr>
        <w:rPr>
          <w:rFonts w:hint="eastAsia"/>
        </w:rPr>
      </w:pPr>
    </w:p>
    <w:p w14:paraId="3197C4B8" w14:textId="61F1E46F" w:rsidR="007E2246" w:rsidRDefault="00BD3D82" w:rsidP="007E2246">
      <w:r>
        <w:rPr>
          <w:rFonts w:hint="eastAsia"/>
        </w:rPr>
        <w:t>共同規制においては、さらに、共同規制の二面性が問題となる</w:t>
      </w:r>
      <w:r w:rsidR="007E2246">
        <w:rPr>
          <w:rFonts w:hint="eastAsia"/>
        </w:rPr>
        <w:t>（図２）</w:t>
      </w:r>
      <w:r>
        <w:rPr>
          <w:rStyle w:val="a5"/>
        </w:rPr>
        <w:footnoteReference w:id="87"/>
      </w:r>
      <w:r>
        <w:rPr>
          <w:rFonts w:hint="eastAsia"/>
        </w:rPr>
        <w:t>。共同規制においては、規制される客体は、規制する主体にもなりうるのである。プラットフォーム規制にあてはめて考えれば、共同規制においては、プラットフォームは国からの規制を受けると同時に、ユーザーやサードパーティーに対して規制をするのである。そのため、「法」「規範」「市場」「アーキテクチャ」は多層的にプラットフォームや最終的な規制客体となるユーザーやサードパーティーに影響を及ぼすこととなる。</w:t>
      </w:r>
    </w:p>
    <w:p w14:paraId="790F037A" w14:textId="2644E526" w:rsidR="007E2246" w:rsidRDefault="007E2246" w:rsidP="007E2246">
      <w:pPr>
        <w:rPr>
          <w:rFonts w:hint="eastAsia"/>
        </w:rPr>
      </w:pPr>
    </w:p>
    <w:p w14:paraId="2C1AE088" w14:textId="3C179DA0" w:rsidR="007E2246" w:rsidRPr="007E2246" w:rsidRDefault="003126CB" w:rsidP="00D65026">
      <w:pPr>
        <w:jc w:val="center"/>
        <w:rPr>
          <w:rFonts w:hint="eastAsia"/>
        </w:rPr>
      </w:pPr>
      <w:r>
        <w:rPr>
          <w:noProof/>
        </w:rPr>
        <mc:AlternateContent>
          <mc:Choice Requires="wps">
            <w:drawing>
              <wp:anchor distT="45720" distB="45720" distL="114300" distR="114300" simplePos="0" relativeHeight="251675648" behindDoc="0" locked="0" layoutInCell="1" allowOverlap="1" wp14:anchorId="6068EF21" wp14:editId="6F72AE09">
                <wp:simplePos x="0" y="0"/>
                <wp:positionH relativeFrom="column">
                  <wp:posOffset>3625215</wp:posOffset>
                </wp:positionH>
                <wp:positionV relativeFrom="paragraph">
                  <wp:posOffset>-79693</wp:posOffset>
                </wp:positionV>
                <wp:extent cx="1776413" cy="1404620"/>
                <wp:effectExtent l="0" t="0" r="0" b="0"/>
                <wp:wrapNone/>
                <wp:docPr id="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6413" cy="1404620"/>
                        </a:xfrm>
                        <a:prstGeom prst="rect">
                          <a:avLst/>
                        </a:prstGeom>
                        <a:solidFill>
                          <a:srgbClr val="FFFFFF"/>
                        </a:solidFill>
                        <a:ln w="9525">
                          <a:noFill/>
                          <a:miter lim="800000"/>
                          <a:headEnd/>
                          <a:tailEnd/>
                        </a:ln>
                      </wps:spPr>
                      <wps:txbx>
                        <w:txbxContent>
                          <w:p w14:paraId="5C22D191" w14:textId="4A68FEA1" w:rsidR="00657F8D" w:rsidRDefault="00657F8D">
                            <w:r>
                              <w:rPr>
                                <w:rFonts w:hint="eastAsia"/>
                              </w:rPr>
                              <w:t>（</w:t>
                            </w:r>
                            <w:r>
                              <w:rPr>
                                <w:rFonts w:hint="eastAsia"/>
                              </w:rPr>
                              <w:t>生貝、40頁を基に作成）</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68EF21" id="_x0000_s1033" type="#_x0000_t202" style="position:absolute;left:0;text-align:left;margin-left:285.45pt;margin-top:-6.3pt;width:139.9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" stroked="f">
                <v:textbox style="mso-fit-shape-to-text:t">
                  <w:txbxContent>
                    <w:p w14:paraId="5C22D191" w14:textId="4A68FEA1" w:rsidR="00657F8D" w:rsidRDefault="00657F8D">
                      <w:r>
                        <w:rPr>
                          <w:rFonts w:hint="eastAsia"/>
                        </w:rPr>
                        <w:t>（</w:t>
                      </w:r>
                      <w:r>
                        <w:rPr>
                          <w:rFonts w:hint="eastAsia"/>
                        </w:rPr>
                        <w:t>生貝、40頁を基に作成）</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06DA5A5C" wp14:editId="02F73842">
                <wp:simplePos x="0" y="0"/>
                <wp:positionH relativeFrom="column">
                  <wp:posOffset>2495867</wp:posOffset>
                </wp:positionH>
                <wp:positionV relativeFrom="paragraph">
                  <wp:posOffset>-27305</wp:posOffset>
                </wp:positionV>
                <wp:extent cx="314325" cy="286068"/>
                <wp:effectExtent l="0" t="0" r="28575" b="19050"/>
                <wp:wrapNone/>
                <wp:docPr id="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86068"/>
                        </a:xfrm>
                        <a:prstGeom prst="rect">
                          <a:avLst/>
                        </a:prstGeom>
                        <a:solidFill>
                          <a:srgbClr val="FFFFFF"/>
                        </a:solidFill>
                        <a:ln w="9525">
                          <a:solidFill>
                            <a:srgbClr val="000000"/>
                          </a:solidFill>
                          <a:miter lim="800000"/>
                          <a:headEnd/>
                          <a:tailEnd/>
                        </a:ln>
                      </wps:spPr>
                      <wps:txbx>
                        <w:txbxContent>
                          <w:p w14:paraId="7B5DBB8A" w14:textId="398FC7DA" w:rsidR="00657F8D" w:rsidRPr="007E2246" w:rsidRDefault="00657F8D">
                            <w:pPr>
                              <w:rPr>
                                <w:rFonts w:hint="eastAsia"/>
                                <w:b/>
                                <w:bCs/>
                              </w:rPr>
                            </w:pPr>
                            <w:r w:rsidRPr="007E2246">
                              <w:rPr>
                                <w:rFonts w:hint="eastAsia"/>
                                <w:b/>
                                <w:bCs/>
                              </w:rPr>
                              <w:t>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A5A5C" id="_x0000_s1034" type="#_x0000_t202" style="position:absolute;left:0;text-align:left;margin-left:196.5pt;margin-top:-2.15pt;width:24.75pt;height:22.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">
                <v:textbox>
                  <w:txbxContent>
                    <w:p w14:paraId="7B5DBB8A" w14:textId="398FC7DA" w:rsidR="00657F8D" w:rsidRPr="007E2246" w:rsidRDefault="00657F8D">
                      <w:pPr>
                        <w:rPr>
                          <w:rFonts w:hint="eastAsia"/>
                          <w:b/>
                          <w:bCs/>
                        </w:rPr>
                      </w:pPr>
                      <w:r w:rsidRPr="007E2246">
                        <w:rPr>
                          <w:rFonts w:hint="eastAsia"/>
                          <w:b/>
                          <w:bCs/>
                        </w:rPr>
                        <w:t>法</w:t>
                      </w:r>
                    </w:p>
                  </w:txbxContent>
                </v:textbox>
              </v:shape>
            </w:pict>
          </mc:Fallback>
        </mc:AlternateContent>
      </w:r>
      <w:r w:rsidR="00D65026">
        <w:rPr>
          <w:noProof/>
        </w:rPr>
        <mc:AlternateContent>
          <mc:Choice Requires="wps">
            <w:drawing>
              <wp:anchor distT="45720" distB="45720" distL="114300" distR="114300" simplePos="0" relativeHeight="251692032" behindDoc="0" locked="0" layoutInCell="1" allowOverlap="1" wp14:anchorId="18433E57" wp14:editId="79894D3F">
                <wp:simplePos x="0" y="0"/>
                <wp:positionH relativeFrom="column">
                  <wp:posOffset>2328545</wp:posOffset>
                </wp:positionH>
                <wp:positionV relativeFrom="paragraph">
                  <wp:posOffset>4036377</wp:posOffset>
                </wp:positionV>
                <wp:extent cx="676352" cy="1404620"/>
                <wp:effectExtent l="0" t="0" r="9525" b="0"/>
                <wp:wrapNone/>
                <wp:docPr id="19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352" cy="1404620"/>
                        </a:xfrm>
                        <a:prstGeom prst="rect">
                          <a:avLst/>
                        </a:prstGeom>
                        <a:solidFill>
                          <a:srgbClr val="FFFFFF"/>
                        </a:solidFill>
                        <a:ln w="9525">
                          <a:noFill/>
                          <a:miter lim="800000"/>
                          <a:headEnd/>
                          <a:tailEnd/>
                        </a:ln>
                      </wps:spPr>
                      <wps:txbx>
                        <w:txbxContent>
                          <w:p w14:paraId="451CBA8A" w14:textId="2A2D6E76" w:rsidR="00657F8D" w:rsidRDefault="00657F8D" w:rsidP="00D65026">
                            <w:pPr>
                              <w:rPr>
                                <w:rFonts w:hint="eastAsia"/>
                              </w:rPr>
                            </w:pPr>
                            <w:r>
                              <w:rPr>
                                <w:rFonts w:hint="eastAsia"/>
                              </w:rPr>
                              <w:t>（</w:t>
                            </w:r>
                            <w:r>
                              <w:rPr>
                                <w:rFonts w:hint="eastAsia"/>
                              </w:rPr>
                              <w:t>図２）</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433E57" id="_x0000_s1035" type="#_x0000_t202" style="position:absolute;left:0;text-align:left;margin-left:183.35pt;margin-top:317.8pt;width:53.2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" stroked="f">
                <v:textbox style="mso-fit-shape-to-text:t">
                  <w:txbxContent>
                    <w:p w14:paraId="451CBA8A" w14:textId="2A2D6E76" w:rsidR="00657F8D" w:rsidRDefault="00657F8D" w:rsidP="00D65026">
                      <w:pPr>
                        <w:rPr>
                          <w:rFonts w:hint="eastAsia"/>
                        </w:rPr>
                      </w:pPr>
                      <w:r>
                        <w:rPr>
                          <w:rFonts w:hint="eastAsia"/>
                        </w:rPr>
                        <w:t>（</w:t>
                      </w:r>
                      <w:r>
                        <w:rPr>
                          <w:rFonts w:hint="eastAsia"/>
                        </w:rPr>
                        <w:t>図２）</w:t>
                      </w:r>
                    </w:p>
                  </w:txbxContent>
                </v:textbox>
              </v:shape>
            </w:pict>
          </mc:Fallback>
        </mc:AlternateContent>
      </w:r>
      <w:r w:rsidR="00D65026">
        <w:rPr>
          <w:noProof/>
        </w:rPr>
        <mc:AlternateContent>
          <mc:Choice Requires="wps">
            <w:drawing>
              <wp:anchor distT="45720" distB="45720" distL="114300" distR="114300" simplePos="0" relativeHeight="251661312" behindDoc="0" locked="0" layoutInCell="1" allowOverlap="1" wp14:anchorId="0A6D9E59" wp14:editId="64138A1E">
                <wp:simplePos x="0" y="0"/>
                <wp:positionH relativeFrom="column">
                  <wp:posOffset>2147887</wp:posOffset>
                </wp:positionH>
                <wp:positionV relativeFrom="paragraph">
                  <wp:posOffset>3691572</wp:posOffset>
                </wp:positionV>
                <wp:extent cx="1171575" cy="1404620"/>
                <wp:effectExtent l="0" t="0" r="28575" b="13970"/>
                <wp:wrapNone/>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1404620"/>
                        </a:xfrm>
                        <a:prstGeom prst="rect">
                          <a:avLst/>
                        </a:prstGeom>
                        <a:solidFill>
                          <a:srgbClr val="FFFFFF"/>
                        </a:solidFill>
                        <a:ln w="9525">
                          <a:solidFill>
                            <a:srgbClr val="000000"/>
                          </a:solidFill>
                          <a:miter lim="800000"/>
                          <a:headEnd/>
                          <a:tailEnd/>
                        </a:ln>
                      </wps:spPr>
                      <wps:txbx>
                        <w:txbxContent>
                          <w:p w14:paraId="78527079" w14:textId="237C5B61" w:rsidR="00657F8D" w:rsidRPr="007E2246" w:rsidRDefault="00657F8D">
                            <w:pPr>
                              <w:rPr>
                                <w:rFonts w:hint="eastAsia"/>
                                <w:b/>
                                <w:bCs/>
                              </w:rPr>
                            </w:pPr>
                            <w:r w:rsidRPr="007E2246">
                              <w:rPr>
                                <w:rFonts w:hint="eastAsia"/>
                                <w:b/>
                                <w:bCs/>
                              </w:rPr>
                              <w:t>アーキテクチャ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6D9E59" id="_x0000_s1036" type="#_x0000_t202" style="position:absolute;left:0;text-align:left;margin-left:169.1pt;margin-top:290.65pt;width:92.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">
                <v:textbox style="mso-fit-shape-to-text:t">
                  <w:txbxContent>
                    <w:p w14:paraId="78527079" w14:textId="237C5B61" w:rsidR="00657F8D" w:rsidRPr="007E2246" w:rsidRDefault="00657F8D">
                      <w:pPr>
                        <w:rPr>
                          <w:rFonts w:hint="eastAsia"/>
                          <w:b/>
                          <w:bCs/>
                        </w:rPr>
                      </w:pPr>
                      <w:r w:rsidRPr="007E2246">
                        <w:rPr>
                          <w:rFonts w:hint="eastAsia"/>
                          <w:b/>
                          <w:bCs/>
                        </w:rPr>
                        <w:t>アーキテクチャ</w:t>
                      </w:r>
                    </w:p>
                  </w:txbxContent>
                </v:textbox>
              </v:shape>
            </w:pict>
          </mc:Fallback>
        </mc:AlternateContent>
      </w:r>
      <w:r w:rsidR="00D65026">
        <w:rPr>
          <w:noProof/>
        </w:rPr>
        <mc:AlternateContent>
          <mc:Choice Requires="wps">
            <w:drawing>
              <wp:anchor distT="45720" distB="45720" distL="114300" distR="114300" simplePos="0" relativeHeight="251659264" behindDoc="0" locked="0" layoutInCell="1" allowOverlap="1" wp14:anchorId="74B3ADC7" wp14:editId="56AF7993">
                <wp:simplePos x="0" y="0"/>
                <wp:positionH relativeFrom="column">
                  <wp:posOffset>2148523</wp:posOffset>
                </wp:positionH>
                <wp:positionV relativeFrom="paragraph">
                  <wp:posOffset>2962593</wp:posOffset>
                </wp:positionV>
                <wp:extent cx="1148632" cy="1404620"/>
                <wp:effectExtent l="0" t="0" r="13970" b="1397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632" cy="1404620"/>
                        </a:xfrm>
                        <a:prstGeom prst="rect">
                          <a:avLst/>
                        </a:prstGeom>
                        <a:solidFill>
                          <a:srgbClr val="FFFFFF"/>
                        </a:solidFill>
                        <a:ln w="9525">
                          <a:solidFill>
                            <a:srgbClr val="000000"/>
                          </a:solidFill>
                          <a:miter lim="800000"/>
                          <a:headEnd/>
                          <a:tailEnd/>
                        </a:ln>
                      </wps:spPr>
                      <wps:txbx>
                        <w:txbxContent>
                          <w:p w14:paraId="1FBAF292" w14:textId="116B70B8" w:rsidR="00657F8D" w:rsidRPr="007E2246" w:rsidRDefault="00657F8D">
                            <w:pPr>
                              <w:rPr>
                                <w:rFonts w:hint="eastAsia"/>
                                <w:b/>
                                <w:bCs/>
                              </w:rPr>
                            </w:pPr>
                            <w:r w:rsidRPr="007E2246">
                              <w:rPr>
                                <w:rFonts w:hint="eastAsia"/>
                                <w:b/>
                                <w:bCs/>
                              </w:rPr>
                              <w:t>アーキテクチャ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B3ADC7" id="_x0000_s1037" type="#_x0000_t202" style="position:absolute;left:0;text-align:left;margin-left:169.2pt;margin-top:233.3pt;width:90.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">
                <v:textbox style="mso-fit-shape-to-text:t">
                  <w:txbxContent>
                    <w:p w14:paraId="1FBAF292" w14:textId="116B70B8" w:rsidR="00657F8D" w:rsidRPr="007E2246" w:rsidRDefault="00657F8D">
                      <w:pPr>
                        <w:rPr>
                          <w:rFonts w:hint="eastAsia"/>
                          <w:b/>
                          <w:bCs/>
                        </w:rPr>
                      </w:pPr>
                      <w:r w:rsidRPr="007E2246">
                        <w:rPr>
                          <w:rFonts w:hint="eastAsia"/>
                          <w:b/>
                          <w:bCs/>
                        </w:rPr>
                        <w:t>アーキテクチャ</w:t>
                      </w:r>
                    </w:p>
                  </w:txbxContent>
                </v:textbox>
              </v:shape>
            </w:pict>
          </mc:Fallback>
        </mc:AlternateContent>
      </w:r>
      <w:r w:rsidR="00AC7E48">
        <w:rPr>
          <w:noProof/>
        </w:rPr>
        <mc:AlternateContent>
          <mc:Choice Requires="wps">
            <w:drawing>
              <wp:anchor distT="45720" distB="45720" distL="114300" distR="114300" simplePos="0" relativeHeight="251673600" behindDoc="0" locked="0" layoutInCell="1" allowOverlap="1" wp14:anchorId="66E82360" wp14:editId="5FD0765D">
                <wp:simplePos x="0" y="0"/>
                <wp:positionH relativeFrom="column">
                  <wp:posOffset>4438332</wp:posOffset>
                </wp:positionH>
                <wp:positionV relativeFrom="paragraph">
                  <wp:posOffset>1811655</wp:posOffset>
                </wp:positionV>
                <wp:extent cx="490220" cy="1404620"/>
                <wp:effectExtent l="0" t="0" r="24130" b="13970"/>
                <wp:wrapNone/>
                <wp:docPr id="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404620"/>
                        </a:xfrm>
                        <a:prstGeom prst="rect">
                          <a:avLst/>
                        </a:prstGeom>
                        <a:solidFill>
                          <a:srgbClr val="FFFFFF"/>
                        </a:solidFill>
                        <a:ln w="9525">
                          <a:solidFill>
                            <a:srgbClr val="000000"/>
                          </a:solidFill>
                          <a:miter lim="800000"/>
                          <a:headEnd/>
                          <a:tailEnd/>
                        </a:ln>
                      </wps:spPr>
                      <wps:txbx>
                        <w:txbxContent>
                          <w:p w14:paraId="03040F67" w14:textId="77777777" w:rsidR="00657F8D" w:rsidRPr="007E2246" w:rsidRDefault="00657F8D" w:rsidP="007E2246">
                            <w:pPr>
                              <w:rPr>
                                <w:rFonts w:hint="eastAsia"/>
                                <w:b/>
                                <w:bCs/>
                              </w:rPr>
                            </w:pPr>
                            <w:r w:rsidRPr="007E2246">
                              <w:rPr>
                                <w:rFonts w:hint="eastAsia"/>
                                <w:b/>
                                <w:bCs/>
                              </w:rPr>
                              <w:t>市場</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E82360" id="_x0000_s1038" type="#_x0000_t202" style="position:absolute;left:0;text-align:left;margin-left:349.45pt;margin-top:142.65pt;width:38.6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">
                <v:textbox style="mso-fit-shape-to-text:t">
                  <w:txbxContent>
                    <w:p w14:paraId="03040F67" w14:textId="77777777" w:rsidR="00657F8D" w:rsidRPr="007E2246" w:rsidRDefault="00657F8D" w:rsidP="007E2246">
                      <w:pPr>
                        <w:rPr>
                          <w:rFonts w:hint="eastAsia"/>
                          <w:b/>
                          <w:bCs/>
                        </w:rPr>
                      </w:pPr>
                      <w:r w:rsidRPr="007E2246">
                        <w:rPr>
                          <w:rFonts w:hint="eastAsia"/>
                          <w:b/>
                          <w:bCs/>
                        </w:rPr>
                        <w:t>市場</w:t>
                      </w:r>
                    </w:p>
                  </w:txbxContent>
                </v:textbox>
              </v:shape>
            </w:pict>
          </mc:Fallback>
        </mc:AlternateContent>
      </w:r>
      <w:r w:rsidR="00AC7E48">
        <w:rPr>
          <w:noProof/>
        </w:rPr>
        <mc:AlternateContent>
          <mc:Choice Requires="wps">
            <w:drawing>
              <wp:anchor distT="45720" distB="45720" distL="114300" distR="114300" simplePos="0" relativeHeight="251671552" behindDoc="0" locked="0" layoutInCell="1" allowOverlap="1" wp14:anchorId="32A839CA" wp14:editId="4F288D6A">
                <wp:simplePos x="0" y="0"/>
                <wp:positionH relativeFrom="column">
                  <wp:posOffset>3760788</wp:posOffset>
                </wp:positionH>
                <wp:positionV relativeFrom="paragraph">
                  <wp:posOffset>1777683</wp:posOffset>
                </wp:positionV>
                <wp:extent cx="490220" cy="1404620"/>
                <wp:effectExtent l="0" t="0" r="24130" b="13970"/>
                <wp:wrapNone/>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404620"/>
                        </a:xfrm>
                        <a:prstGeom prst="rect">
                          <a:avLst/>
                        </a:prstGeom>
                        <a:solidFill>
                          <a:srgbClr val="FFFFFF"/>
                        </a:solidFill>
                        <a:ln w="9525">
                          <a:solidFill>
                            <a:srgbClr val="000000"/>
                          </a:solidFill>
                          <a:miter lim="800000"/>
                          <a:headEnd/>
                          <a:tailEnd/>
                        </a:ln>
                      </wps:spPr>
                      <wps:txbx>
                        <w:txbxContent>
                          <w:p w14:paraId="08D7D773" w14:textId="62031686" w:rsidR="00657F8D" w:rsidRPr="007E2246" w:rsidRDefault="00657F8D">
                            <w:pPr>
                              <w:rPr>
                                <w:rFonts w:hint="eastAsia"/>
                                <w:b/>
                                <w:bCs/>
                              </w:rPr>
                            </w:pPr>
                            <w:r w:rsidRPr="007E2246">
                              <w:rPr>
                                <w:rFonts w:hint="eastAsia"/>
                                <w:b/>
                                <w:bCs/>
                              </w:rPr>
                              <w:t>市場</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A839CA" id="_x0000_s1039" type="#_x0000_t202" style="position:absolute;left:0;text-align:left;margin-left:296.15pt;margin-top:140pt;width:38.6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">
                <v:textbox style="mso-fit-shape-to-text:t">
                  <w:txbxContent>
                    <w:p w14:paraId="08D7D773" w14:textId="62031686" w:rsidR="00657F8D" w:rsidRPr="007E2246" w:rsidRDefault="00657F8D">
                      <w:pPr>
                        <w:rPr>
                          <w:rFonts w:hint="eastAsia"/>
                          <w:b/>
                          <w:bCs/>
                        </w:rPr>
                      </w:pPr>
                      <w:r w:rsidRPr="007E2246">
                        <w:rPr>
                          <w:rFonts w:hint="eastAsia"/>
                          <w:b/>
                          <w:bCs/>
                        </w:rPr>
                        <w:t>市場</w:t>
                      </w:r>
                    </w:p>
                  </w:txbxContent>
                </v:textbox>
              </v:shape>
            </w:pict>
          </mc:Fallback>
        </mc:AlternateContent>
      </w:r>
      <w:r w:rsidR="00AC7E48">
        <w:rPr>
          <w:noProof/>
        </w:rPr>
        <mc:AlternateContent>
          <mc:Choice Requires="wps">
            <w:drawing>
              <wp:anchor distT="45720" distB="45720" distL="114300" distR="114300" simplePos="0" relativeHeight="251665408" behindDoc="0" locked="0" layoutInCell="1" allowOverlap="1" wp14:anchorId="6F4042F3" wp14:editId="53EC8DCD">
                <wp:simplePos x="0" y="0"/>
                <wp:positionH relativeFrom="column">
                  <wp:posOffset>1176338</wp:posOffset>
                </wp:positionH>
                <wp:positionV relativeFrom="paragraph">
                  <wp:posOffset>1783080</wp:posOffset>
                </wp:positionV>
                <wp:extent cx="490220" cy="1404620"/>
                <wp:effectExtent l="0" t="0" r="24130" b="13970"/>
                <wp:wrapNone/>
                <wp:docPr id="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404620"/>
                        </a:xfrm>
                        <a:prstGeom prst="rect">
                          <a:avLst/>
                        </a:prstGeom>
                        <a:solidFill>
                          <a:srgbClr val="FFFFFF"/>
                        </a:solidFill>
                        <a:ln w="9525">
                          <a:solidFill>
                            <a:srgbClr val="000000"/>
                          </a:solidFill>
                          <a:miter lim="800000"/>
                          <a:headEnd/>
                          <a:tailEnd/>
                        </a:ln>
                      </wps:spPr>
                      <wps:txbx>
                        <w:txbxContent>
                          <w:p w14:paraId="6667C8EE" w14:textId="77777777" w:rsidR="00657F8D" w:rsidRPr="007E2246" w:rsidRDefault="00657F8D" w:rsidP="007E2246">
                            <w:pPr>
                              <w:rPr>
                                <w:rFonts w:hint="eastAsia"/>
                                <w:b/>
                                <w:bCs/>
                              </w:rPr>
                            </w:pPr>
                            <w:r>
                              <w:rPr>
                                <w:rFonts w:hint="eastAsia"/>
                              </w:rPr>
                              <w:t>規範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4042F3" id="_x0000_s1040" type="#_x0000_t202" style="position:absolute;left:0;text-align:left;margin-left:92.65pt;margin-top:140.4pt;width:38.6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">
                <v:textbox style="mso-fit-shape-to-text:t">
                  <w:txbxContent>
                    <w:p w14:paraId="6667C8EE" w14:textId="77777777" w:rsidR="00657F8D" w:rsidRPr="007E2246" w:rsidRDefault="00657F8D" w:rsidP="007E2246">
                      <w:pPr>
                        <w:rPr>
                          <w:rFonts w:hint="eastAsia"/>
                          <w:b/>
                          <w:bCs/>
                        </w:rPr>
                      </w:pPr>
                      <w:r>
                        <w:rPr>
                          <w:rFonts w:hint="eastAsia"/>
                        </w:rPr>
                        <w:t>規範</w:t>
                      </w:r>
                    </w:p>
                  </w:txbxContent>
                </v:textbox>
              </v:shape>
            </w:pict>
          </mc:Fallback>
        </mc:AlternateContent>
      </w:r>
      <w:r w:rsidR="00AC7E48">
        <w:rPr>
          <w:noProof/>
        </w:rPr>
        <mc:AlternateContent>
          <mc:Choice Requires="wps">
            <w:drawing>
              <wp:anchor distT="45720" distB="45720" distL="114300" distR="114300" simplePos="0" relativeHeight="251663360" behindDoc="0" locked="0" layoutInCell="1" allowOverlap="1" wp14:anchorId="43B29DEC" wp14:editId="08D8A6B4">
                <wp:simplePos x="0" y="0"/>
                <wp:positionH relativeFrom="column">
                  <wp:posOffset>452755</wp:posOffset>
                </wp:positionH>
                <wp:positionV relativeFrom="paragraph">
                  <wp:posOffset>1834832</wp:posOffset>
                </wp:positionV>
                <wp:extent cx="490220" cy="1404620"/>
                <wp:effectExtent l="0" t="0" r="24130" b="13970"/>
                <wp:wrapNone/>
                <wp:docPr id="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 cy="1404620"/>
                        </a:xfrm>
                        <a:prstGeom prst="rect">
                          <a:avLst/>
                        </a:prstGeom>
                        <a:solidFill>
                          <a:srgbClr val="FFFFFF"/>
                        </a:solidFill>
                        <a:ln w="9525">
                          <a:solidFill>
                            <a:srgbClr val="000000"/>
                          </a:solidFill>
                          <a:miter lim="800000"/>
                          <a:headEnd/>
                          <a:tailEnd/>
                        </a:ln>
                      </wps:spPr>
                      <wps:txbx>
                        <w:txbxContent>
                          <w:p w14:paraId="54DD64DF" w14:textId="4654573A" w:rsidR="00657F8D" w:rsidRPr="007E2246" w:rsidRDefault="00657F8D">
                            <w:pPr>
                              <w:rPr>
                                <w:rFonts w:hint="eastAsia"/>
                                <w:b/>
                                <w:bCs/>
                              </w:rPr>
                            </w:pPr>
                            <w:r>
                              <w:rPr>
                                <w:rFonts w:hint="eastAsia"/>
                              </w:rPr>
                              <w:t>規範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B29DEC" id="_x0000_s1041" type="#_x0000_t202" style="position:absolute;left:0;text-align:left;margin-left:35.65pt;margin-top:144.45pt;width:38.6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">
                <v:textbox style="mso-fit-shape-to-text:t">
                  <w:txbxContent>
                    <w:p w14:paraId="54DD64DF" w14:textId="4654573A" w:rsidR="00657F8D" w:rsidRPr="007E2246" w:rsidRDefault="00657F8D">
                      <w:pPr>
                        <w:rPr>
                          <w:rFonts w:hint="eastAsia"/>
                          <w:b/>
                          <w:bCs/>
                        </w:rPr>
                      </w:pPr>
                      <w:r>
                        <w:rPr>
                          <w:rFonts w:hint="eastAsia"/>
                        </w:rPr>
                        <w:t>規範</w:t>
                      </w:r>
                    </w:p>
                  </w:txbxContent>
                </v:textbox>
              </v:shape>
            </w:pict>
          </mc:Fallback>
        </mc:AlternateContent>
      </w:r>
      <w:r w:rsidR="007E2246">
        <w:rPr>
          <w:noProof/>
        </w:rPr>
        <mc:AlternateContent>
          <mc:Choice Requires="wps">
            <w:drawing>
              <wp:anchor distT="45720" distB="45720" distL="114300" distR="114300" simplePos="0" relativeHeight="251669504" behindDoc="0" locked="0" layoutInCell="1" allowOverlap="1" wp14:anchorId="232C7884" wp14:editId="31B8F86E">
                <wp:simplePos x="0" y="0"/>
                <wp:positionH relativeFrom="column">
                  <wp:posOffset>2286635</wp:posOffset>
                </wp:positionH>
                <wp:positionV relativeFrom="paragraph">
                  <wp:posOffset>639762</wp:posOffset>
                </wp:positionV>
                <wp:extent cx="819150" cy="286068"/>
                <wp:effectExtent l="0" t="0" r="19050" b="19050"/>
                <wp:wrapNone/>
                <wp:docPr id="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86068"/>
                        </a:xfrm>
                        <a:prstGeom prst="rect">
                          <a:avLst/>
                        </a:prstGeom>
                        <a:solidFill>
                          <a:srgbClr val="FFFFFF"/>
                        </a:solidFill>
                        <a:ln w="9525">
                          <a:solidFill>
                            <a:srgbClr val="000000"/>
                          </a:solidFill>
                          <a:miter lim="800000"/>
                          <a:headEnd/>
                          <a:tailEnd/>
                        </a:ln>
                      </wps:spPr>
                      <wps:txbx>
                        <w:txbxContent>
                          <w:p w14:paraId="19DAA068" w14:textId="5DF91513" w:rsidR="00657F8D" w:rsidRPr="007E2246" w:rsidRDefault="00657F8D" w:rsidP="007E2246">
                            <w:pPr>
                              <w:rPr>
                                <w:rFonts w:hint="eastAsia"/>
                                <w:b/>
                                <w:bCs/>
                              </w:rPr>
                            </w:pPr>
                            <w:r w:rsidRPr="007E2246">
                              <w:rPr>
                                <w:rFonts w:hint="eastAsia"/>
                                <w:b/>
                                <w:bCs/>
                              </w:rPr>
                              <w:t>法</w:t>
                            </w:r>
                            <w:r>
                              <w:rPr>
                                <w:rFonts w:hint="eastAsia"/>
                                <w:b/>
                                <w:bCs/>
                              </w:rPr>
                              <w:t>（契約）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C7884" id="_x0000_s1042" type="#_x0000_t202" style="position:absolute;left:0;text-align:left;margin-left:180.05pt;margin-top:50.35pt;width:64.5pt;height:22.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">
                <v:textbox>
                  <w:txbxContent>
                    <w:p w14:paraId="19DAA068" w14:textId="5DF91513" w:rsidR="00657F8D" w:rsidRPr="007E2246" w:rsidRDefault="00657F8D" w:rsidP="007E2246">
                      <w:pPr>
                        <w:rPr>
                          <w:rFonts w:hint="eastAsia"/>
                          <w:b/>
                          <w:bCs/>
                        </w:rPr>
                      </w:pPr>
                      <w:r w:rsidRPr="007E2246">
                        <w:rPr>
                          <w:rFonts w:hint="eastAsia"/>
                          <w:b/>
                          <w:bCs/>
                        </w:rPr>
                        <w:t>法</w:t>
                      </w:r>
                      <w:r>
                        <w:rPr>
                          <w:rFonts w:hint="eastAsia"/>
                          <w:b/>
                          <w:bCs/>
                        </w:rPr>
                        <w:t>（契約）</w:t>
                      </w:r>
                    </w:p>
                  </w:txbxContent>
                </v:textbox>
              </v:shape>
            </w:pict>
          </mc:Fallback>
        </mc:AlternateContent>
      </w:r>
      <w:r w:rsidR="007E2246" w:rsidRPr="007E2246">
        <mc:AlternateContent>
          <mc:Choice Requires="wpg">
            <w:drawing>
              <wp:inline distT="0" distB="0" distL="0" distR="0" wp14:anchorId="485E9770" wp14:editId="052F7DCD">
                <wp:extent cx="3850583" cy="3857625"/>
                <wp:effectExtent l="19050" t="19050" r="36195" b="47625"/>
                <wp:docPr id="9" name="グループ化 8">
                  <a:extLst xmlns:a="http://schemas.openxmlformats.org/drawingml/2006/main">
                    <a:ext uri="{FF2B5EF4-FFF2-40B4-BE49-F238E27FC236}">
                      <a16:creationId xmlns:a16="http://schemas.microsoft.com/office/drawing/2014/main" id="{F7ADA959-038B-4101-B9D4-88188590C8B6}"/>
                    </a:ext>
                  </a:extLst>
                </wp:docPr>
                <wp:cNvGraphicFramePr/>
                <a:graphic xmlns:a="http://schemas.openxmlformats.org/drawingml/2006/main">
                  <a:graphicData uri="http://schemas.microsoft.com/office/word/2010/wordprocessingGroup">
                    <wpg:wgp>
                      <wpg:cNvGrpSpPr/>
                      <wpg:grpSpPr>
                        <a:xfrm>
                          <a:off x="0" y="0"/>
                          <a:ext cx="3850583" cy="3857625"/>
                          <a:chOff x="0" y="0"/>
                          <a:chExt cx="4376055" cy="4414156"/>
                        </a:xfrm>
                      </wpg:grpSpPr>
                      <wps:wsp>
                        <wps:cNvPr id="2" name="フローチャート: 結合子 2">
                          <a:extLst>
                            <a:ext uri="{FF2B5EF4-FFF2-40B4-BE49-F238E27FC236}">
                              <a16:creationId xmlns:a16="http://schemas.microsoft.com/office/drawing/2014/main" id="{B843F635-E53C-48C1-9AEE-F99F83A3D204}"/>
                            </a:ext>
                          </a:extLst>
                        </wps:cNvPr>
                        <wps:cNvSpPr/>
                        <wps:spPr>
                          <a:xfrm>
                            <a:off x="1737735" y="1690082"/>
                            <a:ext cx="1020792" cy="1035169"/>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625DD0" w14:textId="77777777" w:rsidR="00657F8D" w:rsidRPr="00AC7E48" w:rsidRDefault="00657F8D" w:rsidP="007E2246">
                              <w:pPr>
                                <w:jc w:val="center"/>
                                <w:rPr>
                                  <w:rFonts w:eastAsia="游ゴシック" w:hAnsi="游ゴシック" w:cs="Calibri"/>
                                  <w:color w:val="FFFFFF" w:themeColor="light1"/>
                                  <w:kern w:val="24"/>
                                  <w:sz w:val="16"/>
                                  <w:szCs w:val="16"/>
                                </w:rPr>
                              </w:pPr>
                              <w:r w:rsidRPr="00AC7E48">
                                <w:rPr>
                                  <w:rFonts w:eastAsia="游ゴシック" w:hAnsi="游ゴシック" w:cs="Calibri" w:hint="eastAsia"/>
                                  <w:color w:val="FFFFFF" w:themeColor="light1"/>
                                  <w:kern w:val="24"/>
                                  <w:sz w:val="16"/>
                                  <w:szCs w:val="16"/>
                                </w:rPr>
                                <w:t>最終的な規制対象</w:t>
                              </w:r>
                            </w:p>
                          </w:txbxContent>
                        </wps:txbx>
                        <wps:bodyPr rtlCol="0" anchor="ctr"/>
                      </wps:wsp>
                      <wps:wsp>
                        <wps:cNvPr id="3" name="楕円 3">
                          <a:extLst>
                            <a:ext uri="{FF2B5EF4-FFF2-40B4-BE49-F238E27FC236}">
                              <a16:creationId xmlns:a16="http://schemas.microsoft.com/office/drawing/2014/main" id="{731B19B4-B2C2-4B20-92A9-4120D104829F}"/>
                            </a:ext>
                          </a:extLst>
                        </wps:cNvPr>
                        <wps:cNvSpPr/>
                        <wps:spPr>
                          <a:xfrm>
                            <a:off x="749754" y="668110"/>
                            <a:ext cx="2873828" cy="2906485"/>
                          </a:xfrm>
                          <a:prstGeom prst="ellipse">
                            <a:avLst/>
                          </a:prstGeom>
                          <a:noFill/>
                          <a:ln w="57150">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楕円 4">
                          <a:extLst>
                            <a:ext uri="{FF2B5EF4-FFF2-40B4-BE49-F238E27FC236}">
                              <a16:creationId xmlns:a16="http://schemas.microsoft.com/office/drawing/2014/main" id="{755E193A-C05A-48EE-8A41-AE60934BA09C}"/>
                            </a:ext>
                          </a:extLst>
                        </wps:cNvPr>
                        <wps:cNvSpPr/>
                        <wps:spPr>
                          <a:xfrm>
                            <a:off x="0" y="0"/>
                            <a:ext cx="4376055" cy="4414156"/>
                          </a:xfrm>
                          <a:prstGeom prst="ellipse">
                            <a:avLst/>
                          </a:prstGeom>
                          <a:noFill/>
                          <a:ln w="57150">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直線矢印コネクタ 5">
                          <a:extLst>
                            <a:ext uri="{FF2B5EF4-FFF2-40B4-BE49-F238E27FC236}">
                              <a16:creationId xmlns:a16="http://schemas.microsoft.com/office/drawing/2014/main" id="{6E74660D-96F8-40DE-ABFE-7396AA2ABB57}"/>
                            </a:ext>
                          </a:extLst>
                        </wps:cNvPr>
                        <wps:cNvCnPr/>
                        <wps:spPr>
                          <a:xfrm>
                            <a:off x="635455" y="978352"/>
                            <a:ext cx="974272" cy="772887"/>
                          </a:xfrm>
                          <a:prstGeom prst="straightConnector1">
                            <a:avLst/>
                          </a:prstGeom>
                          <a:ln w="5715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直線矢印コネクタ 6">
                          <a:extLst>
                            <a:ext uri="{FF2B5EF4-FFF2-40B4-BE49-F238E27FC236}">
                              <a16:creationId xmlns:a16="http://schemas.microsoft.com/office/drawing/2014/main" id="{6963135A-62F0-4E4C-8DDE-71FAD4499E84}"/>
                            </a:ext>
                          </a:extLst>
                        </wps:cNvPr>
                        <wps:cNvCnPr/>
                        <wps:spPr>
                          <a:xfrm flipH="1">
                            <a:off x="2873826" y="979715"/>
                            <a:ext cx="859974" cy="772885"/>
                          </a:xfrm>
                          <a:prstGeom prst="straightConnector1">
                            <a:avLst/>
                          </a:prstGeom>
                          <a:ln w="5715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直線矢印コネクタ 7">
                          <a:extLst>
                            <a:ext uri="{FF2B5EF4-FFF2-40B4-BE49-F238E27FC236}">
                              <a16:creationId xmlns:a16="http://schemas.microsoft.com/office/drawing/2014/main" id="{DD16B502-8269-4A43-9DF3-CB9EA795CA86}"/>
                            </a:ext>
                          </a:extLst>
                        </wps:cNvPr>
                        <wps:cNvCnPr/>
                        <wps:spPr>
                          <a:xfrm flipV="1">
                            <a:off x="687161" y="2668361"/>
                            <a:ext cx="979714" cy="696685"/>
                          </a:xfrm>
                          <a:prstGeom prst="straightConnector1">
                            <a:avLst/>
                          </a:prstGeom>
                          <a:ln w="5715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直線矢印コネクタ 8">
                          <a:extLst>
                            <a:ext uri="{FF2B5EF4-FFF2-40B4-BE49-F238E27FC236}">
                              <a16:creationId xmlns:a16="http://schemas.microsoft.com/office/drawing/2014/main" id="{CF584B0E-193C-4637-A86D-4C600798E536}"/>
                            </a:ext>
                          </a:extLst>
                        </wps:cNvPr>
                        <wps:cNvCnPr/>
                        <wps:spPr>
                          <a:xfrm flipH="1" flipV="1">
                            <a:off x="2849336" y="2598965"/>
                            <a:ext cx="1001485" cy="778327"/>
                          </a:xfrm>
                          <a:prstGeom prst="straightConnector1">
                            <a:avLst/>
                          </a:prstGeom>
                          <a:ln w="5715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85E9770" id="グループ化 8" o:spid="_x0000_s1043" style="width:303.2pt;height:303.75pt;mso-position-horizontal-relative:char;mso-position-vertical-relative:line" coordsize="43760,4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">
                <v:shape id="フローチャート: 結合子 2" o:spid="_x0000_s1044" type="#_x0000_t120" style="position:absolute;left:17377;top:16900;width:10208;height:10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" fillcolor="#4472c4 [3204]" strokecolor="#1f3763 [1604]" strokeweight="1pt">
                  <v:stroke joinstyle="miter"/>
                  <v:textbox>
                    <w:txbxContent>
                      <w:p w14:paraId="07625DD0" w14:textId="77777777" w:rsidR="00657F8D" w:rsidRPr="00AC7E48" w:rsidRDefault="00657F8D" w:rsidP="007E2246">
                        <w:pPr>
                          <w:jc w:val="center"/>
                          <w:rPr>
                            <w:rFonts w:eastAsia="游ゴシック" w:hAnsi="游ゴシック" w:cs="Calibri"/>
                            <w:color w:val="FFFFFF" w:themeColor="light1"/>
                            <w:kern w:val="24"/>
                            <w:sz w:val="16"/>
                            <w:szCs w:val="16"/>
                          </w:rPr>
                        </w:pPr>
                        <w:r w:rsidRPr="00AC7E48">
                          <w:rPr>
                            <w:rFonts w:eastAsia="游ゴシック" w:hAnsi="游ゴシック" w:cs="Calibri" w:hint="eastAsia"/>
                            <w:color w:val="FFFFFF" w:themeColor="light1"/>
                            <w:kern w:val="24"/>
                            <w:sz w:val="16"/>
                            <w:szCs w:val="16"/>
                          </w:rPr>
                          <w:t>最終的な規制対象</w:t>
                        </w:r>
                      </w:p>
                    </w:txbxContent>
                  </v:textbox>
                </v:shape>
                <v:oval id="楕円 3" o:spid="_x0000_s1045" style="position:absolute;left:7497;top:6681;width:28738;height:29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" filled="f" strokecolor="#4472c4" strokeweight="4.5pt">
                  <v:stroke joinstyle="miter"/>
                </v:oval>
                <v:oval id="楕円 4" o:spid="_x0000_s1046" style="position:absolute;width:43760;height:44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" filled="f" strokecolor="#4472c4" strokeweight="4.5pt">
                  <v:stroke joinstyle="miter"/>
                </v:oval>
                <v:shape id="直線矢印コネクタ 5" o:spid="_x0000_s1047" type="#_x0000_t32" style="position:absolute;left:6354;top:9783;width:9743;height:77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" strokecolor="#ffc000 [3207]" strokeweight="4.5pt">
                  <v:stroke endarrow="block" joinstyle="miter"/>
                </v:shape>
                <v:shape id="直線矢印コネクタ 6" o:spid="_x0000_s1048" type="#_x0000_t32" style="position:absolute;left:28738;top:9797;width:8600;height:77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" strokecolor="#ffc000 [3207]" strokeweight="4.5pt">
                  <v:stroke endarrow="block" joinstyle="miter"/>
                </v:shape>
                <v:shape id="直線矢印コネクタ 7" o:spid="_x0000_s1049" type="#_x0000_t32" style="position:absolute;left:6871;top:26683;width:9797;height:69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" strokecolor="#ffc000 [3207]" strokeweight="4.5pt">
                  <v:stroke endarrow="block" joinstyle="miter"/>
                </v:shape>
                <v:shape id="直線矢印コネクタ 8" o:spid="_x0000_s1050" type="#_x0000_t32" style="position:absolute;left:28493;top:25989;width:10015;height:778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" strokecolor="#ffc000 [3207]" strokeweight="4.5pt">
                  <v:stroke endarrow="block" joinstyle="miter"/>
                </v:shape>
                <w10:anchorlock/>
              </v:group>
            </w:pict>
          </mc:Fallback>
        </mc:AlternateContent>
      </w:r>
    </w:p>
    <w:p w14:paraId="6F84C122" w14:textId="77777777" w:rsidR="003126CB" w:rsidRDefault="003126CB" w:rsidP="00BD3D82"/>
    <w:p w14:paraId="2F59AD37" w14:textId="77777777" w:rsidR="003126CB" w:rsidRDefault="003126CB" w:rsidP="00BD3D82"/>
    <w:p w14:paraId="65EAC850" w14:textId="52F22A9D" w:rsidR="00BD3D82" w:rsidRDefault="00BD3D82" w:rsidP="00BD3D82">
      <w:r>
        <w:rPr>
          <w:rFonts w:hint="eastAsia"/>
        </w:rPr>
        <w:t xml:space="preserve">　フェイクニュース規制の文脈に沿って考えると、まず、国家によるプラットフォーム事業者に対する法規制や行政指導は、外円の「法」が内円に影響を及ぼすこととなる。プラットフォーム事業者自身は、「法」に従わないことによって刑罰が科されうるし、また、世間からの非難や、情報の信頼性の低下を理由にユーザーが減ることになるという市場的圧力が課されうる（「法」、「規範」、「市場」が連関して圧力をかけることになる）。最終的に規制の影響を受けるのはユーザーやサードパーティーであるから、外円の「法」の中身として、プラットフォーム事業者に対して、どのような規制を求めるべきかについて考慮しなければならない。内円の「法」としては、フェイクニュースを発信、拡散するアカウントについて、停止、削除あるは広告を停止する（広告の停止は当然「市場」とも関連する）などの規約を作るよう促すこともできる（もっとも、アカウントの削除については慎重になるべきである。アカウントを削除すれば、表現の自由に対しての大きな制約となるし、また、フェイクニュース研究を困難にする点でも、不利益が大きいといえる。トランプ前大統領の</w:t>
      </w:r>
      <w:r>
        <w:t>Twitter</w:t>
      </w:r>
      <w:r>
        <w:rPr>
          <w:rFonts w:hint="eastAsia"/>
        </w:rPr>
        <w:t>アカウント削除は、大きな批判を浴びた</w:t>
      </w:r>
      <w:r>
        <w:rPr>
          <w:rStyle w:val="a5"/>
        </w:rPr>
        <w:footnoteReference w:id="88"/>
      </w:r>
      <w:r>
        <w:rPr>
          <w:rFonts w:hint="eastAsia"/>
        </w:rPr>
        <w:t>。）。内円の「アーキテクチャ」としては、自分の支持する意見とは異なる意見にも触れることのできるよう、政治広告についてのターゲティング広告を規制することが考えられる。内円の「規範」とも関連させて、ファクトチェックを経た投稿には「ファクトチェック済」あるいは「虚偽のおそれあり」などの表示をしたり、未読のネット記事を拡散する場合には、一度読むことを促すなど</w:t>
      </w:r>
      <w:r>
        <w:rPr>
          <w:rStyle w:val="a5"/>
        </w:rPr>
        <w:footnoteReference w:id="89"/>
      </w:r>
      <w:r w:rsidR="0046471A">
        <w:rPr>
          <w:rFonts w:hint="eastAsia"/>
        </w:rPr>
        <w:t>したり</w:t>
      </w:r>
      <w:r>
        <w:rPr>
          <w:rFonts w:hint="eastAsia"/>
        </w:rPr>
        <w:t>することもできる。</w:t>
      </w:r>
    </w:p>
    <w:p w14:paraId="7B139A8C" w14:textId="4EA049FC" w:rsidR="00BD3D82" w:rsidRDefault="00BD3D82" w:rsidP="00BD3D82">
      <w:r>
        <w:rPr>
          <w:rFonts w:hint="eastAsia"/>
        </w:rPr>
        <w:t xml:space="preserve">　さらに、共同規制とは離れるが、国家からユーザーやサードパーティーに対して直接のアプローチをかけることも図式としては存在し、規制の効果を考える上で考慮すべき事項となる。「法」については、名誉棄損罪（刑法</w:t>
      </w:r>
      <w:r>
        <w:t>230</w:t>
      </w:r>
      <w:r>
        <w:rPr>
          <w:rFonts w:hint="eastAsia"/>
        </w:rPr>
        <w:t>条）や公職選挙法</w:t>
      </w:r>
      <w:r>
        <w:t>235</w:t>
      </w:r>
      <w:r>
        <w:rPr>
          <w:rFonts w:hint="eastAsia"/>
        </w:rPr>
        <w:t>条</w:t>
      </w:r>
      <w:r>
        <w:t>2</w:t>
      </w:r>
      <w:r>
        <w:rPr>
          <w:rFonts w:hint="eastAsia"/>
        </w:rPr>
        <w:t>項など現行法が存在する</w:t>
      </w:r>
      <w:r w:rsidR="0046471A">
        <w:rPr>
          <w:rStyle w:val="a5"/>
        </w:rPr>
        <w:footnoteReference w:id="90"/>
      </w:r>
      <w:r>
        <w:rPr>
          <w:rFonts w:hint="eastAsia"/>
        </w:rPr>
        <w:t>が、そのほかの規制の要素についても、ファクトチェック機関への支援や、</w:t>
      </w:r>
      <w:r>
        <w:t>ICT</w:t>
      </w:r>
      <w:r>
        <w:rPr>
          <w:rFonts w:hint="eastAsia"/>
        </w:rPr>
        <w:t>リテラシーの強化といった「規範」面の強化が考えられる。</w:t>
      </w:r>
    </w:p>
    <w:p w14:paraId="3A1CE5DF" w14:textId="77777777" w:rsidR="00BD3D82" w:rsidRDefault="00BD3D82" w:rsidP="00BD3D82">
      <w:r>
        <w:rPr>
          <w:rFonts w:hint="eastAsia"/>
        </w:rPr>
        <w:t xml:space="preserve">　このように、共同規制を効果的に行うために、規制主体としてのプラットフォーム、規制客体としてのプラットフォーム、（共同規制ではないが）国家による規制客体たるエンドユーザーへの直接的な働きかけについて、それぞれ「法」「規範」「市場」「アーキテクチャ」による規制が足りているか、規制をかけたとして有効かを検証していく必要がある。</w:t>
      </w:r>
    </w:p>
    <w:p w14:paraId="01AB5CFB" w14:textId="2AD622D8" w:rsidR="00CF70FA" w:rsidRDefault="00CF70FA" w:rsidP="00BD3D82">
      <w:r>
        <w:br w:type="page"/>
      </w:r>
    </w:p>
    <w:p w14:paraId="740371DC" w14:textId="77777777" w:rsidR="00BD3D82" w:rsidRDefault="00BD3D82" w:rsidP="00BD3D82"/>
    <w:p w14:paraId="69558B6C" w14:textId="77777777" w:rsidR="00BD3D82" w:rsidRDefault="00BD3D82" w:rsidP="00BD3D82">
      <w:pPr>
        <w:pStyle w:val="1"/>
      </w:pPr>
      <w:r>
        <w:rPr>
          <w:rFonts w:hint="eastAsia"/>
        </w:rPr>
        <w:t>結びにかえて</w:t>
      </w:r>
    </w:p>
    <w:p w14:paraId="11D28EAC" w14:textId="77777777" w:rsidR="00BD3D82" w:rsidRDefault="00BD3D82" w:rsidP="00BD3D82">
      <w:r>
        <w:rPr>
          <w:rFonts w:hint="eastAsia"/>
        </w:rPr>
        <w:t xml:space="preserve">　表現の自由は基本的人権の中でも最も重要な人権の一つである。しかし、フェイクニュースは、思想の自由市場の機能を阻害し、公権力による介入が謙抑的であるべき理由の一つを一方では奪っている。他方で、虚偽の境目が不明瞭である以上、規制が行われることによって規制されるべきでない表現を間接的に抑制する萎縮効果をもたらす危険性を含んでおり、公権力による介入が控えるのが妥当であると考えられた。しかしながら、民間によって行われることが期待される自主規制についても、実効性には大きな課題があった。本稿では、自主規制と政府規制の欠点を補い合う規制の形として共同規制の概念について考え、フェイクニュース規制において共同規制を取り入れる場合において考慮すべき点について考えた。まずは自主規制の欠点を補うことを考えつつ、同時に、フェイクニュース規制のコントロールポイントをプラットフォーム事業者、最終的な規制の客体をユーザーやサードパーティーと設定し、規制の主体たるプラットフォーム事業者、規制の客体たるプラットフォーム事業者、国からユーザーやサードパーティーへの規制それぞれの規制の方向について、「法」「規範」「市場」「アーキテクチャ」の四つの要素による規制の可能性を検討することが規制にとって重要となるであろう。</w:t>
      </w:r>
    </w:p>
    <w:p w14:paraId="55B80731" w14:textId="77777777" w:rsidR="00BD3D82" w:rsidRDefault="00BD3D82" w:rsidP="00BD3D82"/>
    <w:p w14:paraId="261AA8CE" w14:textId="55B3BCDA" w:rsidR="00BD3D82" w:rsidRDefault="00BD3D82" w:rsidP="00BD3D82">
      <w:pPr>
        <w:rPr>
          <w:rFonts w:hint="eastAsia"/>
        </w:rPr>
      </w:pPr>
      <w:r>
        <w:rPr>
          <w:rFonts w:hint="eastAsia"/>
        </w:rPr>
        <w:t xml:space="preserve">　本稿においては、憲法の解釈論についての考察をほとんどすることなく、フェイクニュースという表現の自由市場を麻痺させるおそれのある事象に対してどのように対処し、市場を調整していくのかについて考察した。本稿は憲法ゼミの論文であるから、筆者の感情としてはもう少し憲法判例を引いて考察を重ねたいところであった。しかし、現実の問題を考えるときには、「理念としての」憲法上の基本的人権が本稿のように効いてくる場面が多いのではないだろうか。法曹の最前線で活躍している弁護士の方々の</w:t>
      </w:r>
      <w:r>
        <w:t>SNS</w:t>
      </w:r>
      <w:r>
        <w:rPr>
          <w:rFonts w:hint="eastAsia"/>
        </w:rPr>
        <w:t>への投稿をみていると、法律相談で憲法を使う場面が昨今はかなり多くなったという意見がみられる。憲法上の権利を、それが理念上であったとしても、頭に入れながら現実の問題を考えることの大切さは増していると考えるし、筆者としても、レポートを通してそのような考え方が引き出しとなったように感じる。</w:t>
      </w:r>
    </w:p>
    <w:p w14:paraId="56E40BAF" w14:textId="3E7EA552" w:rsidR="00CF70FA" w:rsidRDefault="00CF70FA" w:rsidP="00BD3D82">
      <w:pPr>
        <w:jc w:val="left"/>
        <w:rPr>
          <w:rFonts w:ascii="Century" w:hAnsi="Century" w:cs="Century"/>
          <w:color w:val="000000" w:themeColor="text1"/>
          <w:sz w:val="22"/>
        </w:rPr>
      </w:pPr>
      <w:r>
        <w:rPr>
          <w:rFonts w:ascii="Century" w:hAnsi="Century" w:cs="Century"/>
          <w:color w:val="000000" w:themeColor="text1"/>
          <w:sz w:val="22"/>
        </w:rPr>
        <w:br w:type="page"/>
      </w:r>
    </w:p>
    <w:p w14:paraId="1B990738" w14:textId="1FBA6E54" w:rsidR="00BD3D82" w:rsidRDefault="00CF70FA" w:rsidP="00CF70FA">
      <w:pPr>
        <w:pStyle w:val="1"/>
      </w:pPr>
      <w:r>
        <w:rPr>
          <w:rFonts w:hint="eastAsia"/>
        </w:rPr>
        <w:t>参考文献一覧</w:t>
      </w:r>
    </w:p>
    <w:p w14:paraId="5386BCAB" w14:textId="77777777" w:rsidR="003126CB" w:rsidRDefault="003126CB" w:rsidP="003126CB">
      <w:pPr>
        <w:pStyle w:val="af"/>
        <w:numPr>
          <w:ilvl w:val="0"/>
          <w:numId w:val="1"/>
        </w:numPr>
        <w:ind w:leftChars="0"/>
      </w:pPr>
      <w:r>
        <w:t>European Commission [2018] Code of Practice on Disinformation, [https://ec.europa.eu/newsroom/dae/document.cfm?doc_id=54454]</w:t>
      </w:r>
    </w:p>
    <w:p w14:paraId="7300CA4E" w14:textId="77777777" w:rsidR="003126CB" w:rsidRDefault="003126CB" w:rsidP="003126CB">
      <w:pPr>
        <w:pStyle w:val="a3"/>
        <w:numPr>
          <w:ilvl w:val="0"/>
          <w:numId w:val="1"/>
        </w:numPr>
      </w:pPr>
      <w:r>
        <w:t xml:space="preserve">European Commission (2019) Commission reports on 2019 European elections: fostering European debates and securing free and fair elections </w:t>
      </w:r>
    </w:p>
    <w:p w14:paraId="005DF88B" w14:textId="77777777" w:rsidR="003126CB" w:rsidRDefault="003126CB" w:rsidP="003126CB">
      <w:pPr>
        <w:pStyle w:val="af"/>
        <w:ind w:leftChars="0" w:left="420"/>
      </w:pPr>
      <w:r>
        <w:t>[https://ec.europa.eu/commission/presscorner/detail/en/ip_20_1123]</w:t>
      </w:r>
    </w:p>
    <w:p w14:paraId="301496AF" w14:textId="77777777" w:rsidR="003126CB" w:rsidRDefault="003126CB" w:rsidP="003126CB">
      <w:pPr>
        <w:pStyle w:val="af"/>
        <w:numPr>
          <w:ilvl w:val="0"/>
          <w:numId w:val="1"/>
        </w:numPr>
        <w:ind w:leftChars="0"/>
      </w:pPr>
      <w:r>
        <w:t>European Union (2018) Roadmaps to implement the Code of Practice on disinformation, [https://ec.europa.eu/digital-single-market/en/news/roadmaps-implement-code-practice-disinformation]</w:t>
      </w:r>
    </w:p>
    <w:p w14:paraId="20E5752B" w14:textId="77777777" w:rsidR="003126CB" w:rsidRDefault="003126CB" w:rsidP="003126CB">
      <w:pPr>
        <w:pStyle w:val="af"/>
        <w:numPr>
          <w:ilvl w:val="0"/>
          <w:numId w:val="1"/>
        </w:numPr>
        <w:ind w:leftChars="0"/>
      </w:pPr>
      <w:r>
        <w:rPr>
          <w:rFonts w:hint="eastAsia"/>
        </w:rPr>
        <w:t>Facebook、</w:t>
      </w:r>
      <w:r w:rsidRPr="00657F8D">
        <w:t>Facebookのファクトチェック</w:t>
      </w:r>
      <w:r>
        <w:rPr>
          <w:rFonts w:hint="eastAsia"/>
        </w:rPr>
        <w:t>[https://www.facebook.com/business/help/2593586717571940]</w:t>
      </w:r>
    </w:p>
    <w:p w14:paraId="1DCCC053" w14:textId="77777777" w:rsidR="003126CB" w:rsidRDefault="003126CB" w:rsidP="003126CB">
      <w:pPr>
        <w:pStyle w:val="af"/>
        <w:numPr>
          <w:ilvl w:val="0"/>
          <w:numId w:val="1"/>
        </w:numPr>
        <w:ind w:leftChars="0"/>
      </w:pPr>
      <w:r>
        <w:t xml:space="preserve">Lawrence Lessig, The New Chicago School, </w:t>
      </w:r>
      <w:r>
        <w:rPr>
          <w:i/>
          <w:iCs/>
        </w:rPr>
        <w:t>Journal of Legal Studies</w:t>
      </w:r>
      <w:r>
        <w:t>, Vol. 27, Issue 2</w:t>
      </w:r>
    </w:p>
    <w:p w14:paraId="52FAF17D" w14:textId="77777777" w:rsidR="003126CB" w:rsidRDefault="003126CB" w:rsidP="003126CB">
      <w:pPr>
        <w:pStyle w:val="af"/>
        <w:numPr>
          <w:ilvl w:val="0"/>
          <w:numId w:val="1"/>
        </w:numPr>
        <w:ind w:leftChars="0"/>
        <w:rPr>
          <w:rFonts w:hint="eastAsia"/>
        </w:rPr>
      </w:pPr>
      <w:r>
        <w:rPr>
          <w:rFonts w:hint="eastAsia"/>
        </w:rPr>
        <w:t xml:space="preserve">NHK「『Qアノン』政界へも影響拡大」(2020年10月12日掲載)[ </w:t>
      </w:r>
      <w:r w:rsidRPr="00CF70FA">
        <w:rPr>
          <w:rFonts w:hint="eastAsia"/>
        </w:rPr>
        <w:t>https://www.nhk.or.jp/kokusaihoudou/archive/2020/10/1012.html</w:t>
      </w:r>
      <w:r>
        <w:rPr>
          <w:rFonts w:hint="eastAsia"/>
        </w:rPr>
        <w:t>]</w:t>
      </w:r>
    </w:p>
    <w:p w14:paraId="4E2744C9" w14:textId="089F3A09" w:rsidR="003126CB" w:rsidRDefault="003126CB" w:rsidP="003126CB">
      <w:pPr>
        <w:pStyle w:val="af"/>
        <w:numPr>
          <w:ilvl w:val="0"/>
          <w:numId w:val="1"/>
        </w:numPr>
        <w:ind w:leftChars="0"/>
      </w:pPr>
      <w:r>
        <w:rPr>
          <w:rFonts w:hint="eastAsia"/>
        </w:rPr>
        <w:t>Twitter 透明性センター[https://transparency.twitter.com/ja.html]</w:t>
      </w:r>
    </w:p>
    <w:p w14:paraId="5F8220B1" w14:textId="0261A061" w:rsidR="003126CB" w:rsidRDefault="003126CB" w:rsidP="003126CB">
      <w:pPr>
        <w:pStyle w:val="af"/>
        <w:numPr>
          <w:ilvl w:val="0"/>
          <w:numId w:val="1"/>
        </w:numPr>
        <w:ind w:leftChars="0"/>
      </w:pPr>
      <w:r>
        <w:rPr>
          <w:rFonts w:hint="eastAsia"/>
        </w:rPr>
        <w:t>芦部信喜『憲法』第7版（岩波書店、2019年）</w:t>
      </w:r>
    </w:p>
    <w:p w14:paraId="76526BD9" w14:textId="1D497645" w:rsidR="003126CB" w:rsidRPr="003126CB" w:rsidRDefault="003126CB" w:rsidP="003126CB">
      <w:pPr>
        <w:pStyle w:val="af"/>
        <w:numPr>
          <w:ilvl w:val="0"/>
          <w:numId w:val="1"/>
        </w:numPr>
        <w:ind w:leftChars="0"/>
      </w:pPr>
      <w:r>
        <w:rPr>
          <w:rFonts w:ascii="ＭＳ 明朝" w:eastAsia="ＭＳ 明朝" w:hAnsi="ＭＳ 明朝" w:cs="ＭＳ 明朝" w:hint="eastAsia"/>
        </w:rPr>
        <w:t>安藤</w:t>
      </w:r>
      <w:r>
        <w:rPr>
          <w:rFonts w:ascii="Century" w:eastAsia="Century" w:hAnsi="Century" w:cs="Century"/>
        </w:rPr>
        <w:t xml:space="preserve"> </w:t>
      </w:r>
      <w:r>
        <w:rPr>
          <w:rFonts w:ascii="ＭＳ 明朝" w:eastAsia="ＭＳ 明朝" w:hAnsi="ＭＳ 明朝" w:cs="ＭＳ 明朝" w:hint="eastAsia"/>
        </w:rPr>
        <w:t>英梨香「【フランス】情報操作との闘いに関する法律」外国の立法</w:t>
      </w:r>
      <w:r>
        <w:rPr>
          <w:rFonts w:ascii="Century" w:eastAsia="Century" w:hAnsi="Century" w:cs="Century"/>
        </w:rPr>
        <w:t xml:space="preserve"> 279</w:t>
      </w:r>
      <w:r>
        <w:rPr>
          <w:rFonts w:ascii="ＭＳ 明朝" w:eastAsia="ＭＳ 明朝" w:hAnsi="ＭＳ 明朝" w:cs="ＭＳ 明朝" w:hint="eastAsia"/>
        </w:rPr>
        <w:t>巻</w:t>
      </w:r>
      <w:r>
        <w:rPr>
          <w:rFonts w:ascii="Century" w:eastAsia="Century" w:hAnsi="Century" w:cs="Century"/>
        </w:rPr>
        <w:t>1</w:t>
      </w:r>
      <w:r>
        <w:rPr>
          <w:rFonts w:ascii="ＭＳ 明朝" w:eastAsia="ＭＳ 明朝" w:hAnsi="ＭＳ 明朝" w:cs="ＭＳ 明朝" w:hint="eastAsia"/>
        </w:rPr>
        <w:t>号（</w:t>
      </w:r>
      <w:r>
        <w:rPr>
          <w:rFonts w:ascii="Century" w:eastAsia="Century" w:hAnsi="Century" w:cs="Century"/>
        </w:rPr>
        <w:t>2019</w:t>
      </w:r>
      <w:r>
        <w:rPr>
          <w:rFonts w:ascii="ＭＳ 明朝" w:eastAsia="ＭＳ 明朝" w:hAnsi="ＭＳ 明朝" w:cs="ＭＳ 明朝" w:hint="eastAsia"/>
        </w:rPr>
        <w:t>年）</w:t>
      </w:r>
    </w:p>
    <w:p w14:paraId="264AF894" w14:textId="1FBD5A72" w:rsidR="003126CB" w:rsidRPr="003126CB" w:rsidRDefault="003126CB" w:rsidP="003126CB">
      <w:pPr>
        <w:pStyle w:val="af"/>
        <w:numPr>
          <w:ilvl w:val="0"/>
          <w:numId w:val="1"/>
        </w:numPr>
        <w:ind w:leftChars="0"/>
        <w:rPr>
          <w:rFonts w:hint="eastAsia"/>
        </w:rPr>
      </w:pPr>
      <w:r w:rsidRPr="003B2608">
        <w:rPr>
          <w:rStyle w:val="normaltextrun"/>
          <w:rFonts w:eastAsiaTheme="minorHAnsi" w:hint="eastAsia"/>
          <w:color w:val="000000"/>
          <w:szCs w:val="21"/>
          <w:bdr w:val="none" w:sz="0" w:space="0" w:color="auto" w:frame="1"/>
        </w:rPr>
        <w:t>生貝</w:t>
      </w:r>
      <w:r>
        <w:rPr>
          <w:rStyle w:val="normaltextrun"/>
          <w:rFonts w:eastAsiaTheme="minorHAnsi" w:hint="eastAsia"/>
          <w:color w:val="000000"/>
          <w:szCs w:val="21"/>
          <w:bdr w:val="none" w:sz="0" w:space="0" w:color="auto" w:frame="1"/>
        </w:rPr>
        <w:t>直人『情報社会と共同規制』（勁草書房、</w:t>
      </w:r>
      <w:r w:rsidRPr="003B2608">
        <w:rPr>
          <w:rStyle w:val="normaltextrun"/>
          <w:rFonts w:eastAsiaTheme="minorHAnsi" w:hint="eastAsia"/>
          <w:color w:val="000000"/>
          <w:szCs w:val="21"/>
          <w:bdr w:val="none" w:sz="0" w:space="0" w:color="auto" w:frame="1"/>
        </w:rPr>
        <w:t>2011</w:t>
      </w:r>
      <w:r>
        <w:rPr>
          <w:rStyle w:val="normaltextrun"/>
          <w:rFonts w:eastAsiaTheme="minorHAnsi" w:hint="eastAsia"/>
          <w:color w:val="000000"/>
          <w:szCs w:val="21"/>
          <w:bdr w:val="none" w:sz="0" w:space="0" w:color="auto" w:frame="1"/>
        </w:rPr>
        <w:t>年）</w:t>
      </w:r>
    </w:p>
    <w:p w14:paraId="02A8E646" w14:textId="20690D2F" w:rsidR="003126CB" w:rsidRDefault="003126CB" w:rsidP="003126CB">
      <w:pPr>
        <w:pStyle w:val="af"/>
        <w:numPr>
          <w:ilvl w:val="0"/>
          <w:numId w:val="1"/>
        </w:numPr>
        <w:ind w:leftChars="0"/>
      </w:pPr>
      <w:r>
        <w:rPr>
          <w:rFonts w:hint="eastAsia"/>
        </w:rPr>
        <w:t>笹原和俊『フェイクニュースを科学する―拡散するデマ、陰謀論、プロパガンダのしくみ』(化学同人、2018年)</w:t>
      </w:r>
    </w:p>
    <w:p w14:paraId="792B8C3A" w14:textId="43C61571" w:rsidR="003126CB" w:rsidRDefault="003126CB" w:rsidP="003126CB">
      <w:pPr>
        <w:pStyle w:val="af"/>
        <w:numPr>
          <w:ilvl w:val="0"/>
          <w:numId w:val="1"/>
        </w:numPr>
        <w:ind w:leftChars="0"/>
        <w:rPr>
          <w:rFonts w:hint="eastAsia"/>
        </w:rPr>
      </w:pPr>
      <w:r>
        <w:rPr>
          <w:rFonts w:hint="eastAsia"/>
        </w:rPr>
        <w:t>鈴木秀美「ドイツの</w:t>
      </w:r>
      <w:r>
        <w:t>SNS</w:t>
      </w:r>
      <w:r>
        <w:rPr>
          <w:rFonts w:hint="eastAsia"/>
        </w:rPr>
        <w:t>対策法と表現の自由」慶應義塾大学メディア・コミュニケーション研究所紀要</w:t>
      </w:r>
      <w:r>
        <w:t>68</w:t>
      </w:r>
      <w:r>
        <w:rPr>
          <w:rFonts w:hint="eastAsia"/>
        </w:rPr>
        <w:t>号（</w:t>
      </w:r>
      <w:r>
        <w:t>2018</w:t>
      </w:r>
      <w:r>
        <w:rPr>
          <w:rFonts w:hint="eastAsia"/>
        </w:rPr>
        <w:t>年）</w:t>
      </w:r>
    </w:p>
    <w:p w14:paraId="0BFF4789" w14:textId="75F17580" w:rsidR="003126CB" w:rsidRDefault="003126CB" w:rsidP="003126CB">
      <w:pPr>
        <w:pStyle w:val="af"/>
        <w:numPr>
          <w:ilvl w:val="0"/>
          <w:numId w:val="1"/>
        </w:numPr>
        <w:ind w:leftChars="0"/>
        <w:rPr>
          <w:rFonts w:hint="eastAsia"/>
        </w:rPr>
      </w:pPr>
      <w:r>
        <w:rPr>
          <w:rFonts w:hint="eastAsia"/>
        </w:rPr>
        <w:t>総務省「インターネット上のフェイクニュースや偽情報への対策」[https://www.soumu.go.jp/main_sosiki/joho_tsusin/d_syohi/ihoyugai_05.html]</w:t>
      </w:r>
    </w:p>
    <w:p w14:paraId="6150AA9E" w14:textId="6FF68548" w:rsidR="003126CB" w:rsidRDefault="003126CB" w:rsidP="003126CB">
      <w:pPr>
        <w:pStyle w:val="af"/>
        <w:numPr>
          <w:ilvl w:val="0"/>
          <w:numId w:val="1"/>
        </w:numPr>
        <w:ind w:leftChars="0"/>
      </w:pPr>
      <w:r>
        <w:rPr>
          <w:rFonts w:hint="eastAsia"/>
        </w:rPr>
        <w:t>総務省「プラットフォームサービスに関する研究会最終報告書」(2020年)[https://www.soumu.go.jp/main_content/000668595.pdf]</w:t>
      </w:r>
    </w:p>
    <w:p w14:paraId="1DAB737C" w14:textId="77777777" w:rsidR="003126CB" w:rsidRDefault="003126CB" w:rsidP="003126CB">
      <w:pPr>
        <w:pStyle w:val="a3"/>
        <w:numPr>
          <w:ilvl w:val="0"/>
          <w:numId w:val="1"/>
        </w:numPr>
        <w:rPr>
          <w:rFonts w:hint="eastAsia"/>
        </w:rPr>
      </w:pPr>
      <w:r>
        <w:rPr>
          <w:rFonts w:hint="eastAsia"/>
        </w:rPr>
        <w:t>総務省令和元年情報通信白書第1部第4節「フェイクニュースを巡る動向」</w:t>
      </w:r>
    </w:p>
    <w:p w14:paraId="5F6415F6" w14:textId="63A2B528" w:rsidR="003126CB" w:rsidRDefault="003126CB" w:rsidP="003126CB">
      <w:pPr>
        <w:pStyle w:val="af"/>
        <w:ind w:leftChars="0" w:left="420"/>
      </w:pPr>
      <w:r>
        <w:rPr>
          <w:rFonts w:hint="eastAsia"/>
        </w:rPr>
        <w:t>[https://www.soumu.go.jp/johotsusintokei/whitepaper/ja/r01/html/nd114400.html]</w:t>
      </w:r>
    </w:p>
    <w:p w14:paraId="740CA488" w14:textId="4C366EAB" w:rsidR="003126CB" w:rsidRDefault="003126CB" w:rsidP="003126CB">
      <w:pPr>
        <w:pStyle w:val="af"/>
        <w:numPr>
          <w:ilvl w:val="0"/>
          <w:numId w:val="1"/>
        </w:numPr>
        <w:ind w:leftChars="0"/>
      </w:pPr>
      <w:r>
        <w:rPr>
          <w:rFonts w:hint="eastAsia"/>
        </w:rPr>
        <w:t>曽我部真裕「共同規制</w:t>
      </w:r>
      <w:r>
        <w:t>―</w:t>
      </w:r>
      <w:r>
        <w:rPr>
          <w:rFonts w:hint="eastAsia"/>
        </w:rPr>
        <w:t>携帯電話におけるフィルタリングの事例</w:t>
      </w:r>
      <w:r>
        <w:t>―</w:t>
      </w:r>
      <w:r>
        <w:rPr>
          <w:rFonts w:hint="eastAsia"/>
        </w:rPr>
        <w:t>」ドイツ憲法判例研究会編『〈講座　憲法の規範力〉第</w:t>
      </w:r>
      <w:r>
        <w:t>4</w:t>
      </w:r>
      <w:r>
        <w:rPr>
          <w:rFonts w:hint="eastAsia"/>
        </w:rPr>
        <w:t>巻憲法の規範力とメディア法』（信山社、</w:t>
      </w:r>
      <w:r>
        <w:t>2015</w:t>
      </w:r>
      <w:r>
        <w:rPr>
          <w:rFonts w:hint="eastAsia"/>
        </w:rPr>
        <w:t>年）</w:t>
      </w:r>
      <w:r>
        <w:t>87-105</w:t>
      </w:r>
      <w:r>
        <w:rPr>
          <w:rFonts w:hint="eastAsia"/>
        </w:rPr>
        <w:t>頁</w:t>
      </w:r>
    </w:p>
    <w:p w14:paraId="470E16CA" w14:textId="77777777" w:rsidR="003126CB" w:rsidRDefault="003126CB" w:rsidP="003126CB">
      <w:pPr>
        <w:pStyle w:val="af"/>
        <w:numPr>
          <w:ilvl w:val="0"/>
          <w:numId w:val="1"/>
        </w:numPr>
        <w:ind w:leftChars="0"/>
      </w:pPr>
      <w:r>
        <w:rPr>
          <w:rFonts w:hint="eastAsia"/>
        </w:rPr>
        <w:t>曽我部真裕「表現空間の設計構想（フランス）」駒村圭吾・鈴木秀美編『表現の自由</w:t>
      </w:r>
      <w:r>
        <w:t>I—</w:t>
      </w:r>
      <w:r>
        <w:rPr>
          <w:rFonts w:hint="eastAsia"/>
        </w:rPr>
        <w:t>状況へ</w:t>
      </w:r>
      <w:r>
        <w:t>—</w:t>
      </w:r>
      <w:r>
        <w:rPr>
          <w:rFonts w:hint="eastAsia"/>
        </w:rPr>
        <w:t>』（尚学社、</w:t>
      </w:r>
      <w:r>
        <w:t>2011</w:t>
      </w:r>
      <w:r>
        <w:rPr>
          <w:rFonts w:hint="eastAsia"/>
        </w:rPr>
        <w:t>年）</w:t>
      </w:r>
    </w:p>
    <w:p w14:paraId="5F40767A" w14:textId="7DFA958B" w:rsidR="003126CB" w:rsidRPr="003126CB" w:rsidRDefault="003126CB" w:rsidP="003126CB">
      <w:pPr>
        <w:pStyle w:val="af"/>
        <w:numPr>
          <w:ilvl w:val="0"/>
          <w:numId w:val="1"/>
        </w:numPr>
        <w:ind w:leftChars="0"/>
      </w:pPr>
      <w:r w:rsidRPr="00DE2965">
        <w:rPr>
          <w:rFonts w:hint="eastAsia"/>
        </w:rPr>
        <w:t>曽我部真裕「メディア法における共同規制</w:t>
      </w:r>
      <w:r w:rsidRPr="00DE2965">
        <w:t>(コレギュレーション)について」(大石眞ほか『各国憲法の差異と接点(初宿正典先生還暦記念論文集)』</w:t>
      </w:r>
      <w:r>
        <w:rPr>
          <w:rFonts w:hint="eastAsia"/>
        </w:rPr>
        <w:t>（成文堂、</w:t>
      </w:r>
      <w:r w:rsidRPr="00DE2965">
        <w:t>2010年</w:t>
      </w:r>
      <w:r>
        <w:t>）</w:t>
      </w:r>
      <w:r>
        <w:rPr>
          <w:rFonts w:hint="eastAsia"/>
        </w:rPr>
        <w:t>643頁</w:t>
      </w:r>
      <w:r w:rsidRPr="005D4C13">
        <w:rPr>
          <w:rFonts w:eastAsiaTheme="minorHAnsi" w:cs="ＭＳ ゴシック" w:hint="eastAsia"/>
          <w:color w:val="000000" w:themeColor="text1"/>
          <w:szCs w:val="21"/>
        </w:rPr>
        <w:t>)</w:t>
      </w:r>
    </w:p>
    <w:p w14:paraId="1147E7D7" w14:textId="73A3B897" w:rsidR="003126CB" w:rsidRPr="003126CB" w:rsidRDefault="003126CB" w:rsidP="003126CB">
      <w:pPr>
        <w:pStyle w:val="af"/>
        <w:numPr>
          <w:ilvl w:val="0"/>
          <w:numId w:val="1"/>
        </w:numPr>
        <w:ind w:leftChars="0"/>
        <w:rPr>
          <w:rFonts w:hint="eastAsia"/>
        </w:rPr>
      </w:pPr>
      <w:r>
        <w:rPr>
          <w:rFonts w:hint="eastAsia"/>
        </w:rPr>
        <w:t>平和博『信じてはいけない―民主主義を壊すフェイクニュースの正体』(朝日新書、2017年)</w:t>
      </w:r>
    </w:p>
    <w:p w14:paraId="7556C235" w14:textId="6619CC61" w:rsidR="00CF70FA" w:rsidRDefault="00CF70FA" w:rsidP="00CF70FA">
      <w:pPr>
        <w:pStyle w:val="af"/>
        <w:numPr>
          <w:ilvl w:val="0"/>
          <w:numId w:val="1"/>
        </w:numPr>
        <w:ind w:leftChars="0"/>
      </w:pPr>
      <w:r>
        <w:rPr>
          <w:rFonts w:hint="eastAsia"/>
        </w:rPr>
        <w:t>西村博之「米国引き裂くデマと陰謀論　SNSは嘘つきマシン？」日本経済新聞2020年11月8日[https://www.nikkei.com/article/DGXMZO65851800V01C20A1I00000/]</w:t>
      </w:r>
    </w:p>
    <w:p w14:paraId="06C29FFA" w14:textId="043108FD" w:rsidR="003126CB" w:rsidRDefault="003126CB" w:rsidP="003126CB">
      <w:pPr>
        <w:pStyle w:val="af"/>
        <w:numPr>
          <w:ilvl w:val="0"/>
          <w:numId w:val="1"/>
        </w:numPr>
        <w:ind w:leftChars="0"/>
      </w:pPr>
      <w:r>
        <w:rPr>
          <w:rFonts w:hint="eastAsia"/>
        </w:rPr>
        <w:t>原田大樹『自主規制の公法学的研究』（有斐閣、2007年）</w:t>
      </w:r>
    </w:p>
    <w:p w14:paraId="68329352" w14:textId="6B31086D" w:rsidR="00F243B5" w:rsidRDefault="00F243B5" w:rsidP="00F243B5">
      <w:pPr>
        <w:pStyle w:val="af"/>
        <w:numPr>
          <w:ilvl w:val="0"/>
          <w:numId w:val="1"/>
        </w:numPr>
        <w:ind w:leftChars="0"/>
        <w:rPr>
          <w:rFonts w:hint="eastAsia"/>
        </w:rPr>
      </w:pPr>
      <w:r w:rsidRPr="00D84609">
        <w:rPr>
          <w:rFonts w:hint="eastAsia"/>
        </w:rPr>
        <w:t>水谷瑛嗣郎「思想の自由市場の中のフェイクニュース」慶応義塾大学メディア・コミュニケーション研究所紀要69巻(2019年)</w:t>
      </w:r>
    </w:p>
    <w:p w14:paraId="0543F9E9" w14:textId="76FE7286" w:rsidR="00CF70FA" w:rsidRDefault="00CF70FA" w:rsidP="003126CB">
      <w:pPr>
        <w:pStyle w:val="af"/>
        <w:numPr>
          <w:ilvl w:val="0"/>
          <w:numId w:val="1"/>
        </w:numPr>
        <w:ind w:leftChars="0"/>
        <w:rPr>
          <w:rFonts w:hint="eastAsia"/>
        </w:rPr>
      </w:pPr>
      <w:r>
        <w:rPr>
          <w:rFonts w:hint="eastAsia"/>
        </w:rPr>
        <w:t>水谷瑛嗣郎「『表現の自由』の現代的な『カタチ』―フェイクニュース問題を切り口に」論究ジュリスト2020年春号(No.33)</w:t>
      </w:r>
    </w:p>
    <w:p w14:paraId="25AB5FD5" w14:textId="09C162C6" w:rsidR="00657F8D" w:rsidRPr="00F243B5" w:rsidRDefault="00657F8D" w:rsidP="00657F8D">
      <w:pPr>
        <w:pStyle w:val="af"/>
        <w:numPr>
          <w:ilvl w:val="0"/>
          <w:numId w:val="1"/>
        </w:numPr>
        <w:ind w:leftChars="0"/>
      </w:pPr>
      <w:r>
        <w:rPr>
          <w:rFonts w:ascii="ＭＳ 明朝" w:eastAsia="ＭＳ 明朝" w:hAnsi="ＭＳ 明朝" w:cs="ＭＳ 明朝" w:hint="eastAsia"/>
        </w:rPr>
        <w:t>三菱総合研究所</w:t>
      </w:r>
      <w:r>
        <w:rPr>
          <w:rFonts w:hint="eastAsia"/>
          <w:color w:val="000000" w:themeColor="text1"/>
        </w:rPr>
        <w:t>「諸外国におけるフェイクニュース及び誤情報への対応」第</w:t>
      </w:r>
      <w:r>
        <w:rPr>
          <w:color w:val="000000" w:themeColor="text1"/>
        </w:rPr>
        <w:t>8</w:t>
      </w:r>
      <w:r>
        <w:rPr>
          <w:rFonts w:hint="eastAsia"/>
          <w:color w:val="000000" w:themeColor="text1"/>
        </w:rPr>
        <w:t>回プラットフォームサービスに関する研究会</w:t>
      </w:r>
      <w:r>
        <w:rPr>
          <w:color w:val="000000" w:themeColor="text1"/>
        </w:rPr>
        <w:t>(2019</w:t>
      </w:r>
      <w:r>
        <w:rPr>
          <w:rFonts w:hint="eastAsia"/>
          <w:color w:val="000000" w:themeColor="text1"/>
        </w:rPr>
        <w:t>年</w:t>
      </w:r>
      <w:r>
        <w:rPr>
          <w:color w:val="000000" w:themeColor="text1"/>
        </w:rPr>
        <w:t>)[https://www.soumu.go.jp/main_content/000621621.pdf]</w:t>
      </w:r>
    </w:p>
    <w:p w14:paraId="5AF707DE" w14:textId="7DDAC9B3" w:rsidR="00F243B5" w:rsidRPr="00657F8D" w:rsidRDefault="00F243B5" w:rsidP="00F243B5">
      <w:pPr>
        <w:pStyle w:val="af"/>
        <w:numPr>
          <w:ilvl w:val="0"/>
          <w:numId w:val="1"/>
        </w:numPr>
        <w:ind w:leftChars="0"/>
        <w:rPr>
          <w:rFonts w:hint="eastAsia"/>
        </w:rPr>
      </w:pPr>
      <w:r>
        <w:rPr>
          <w:rFonts w:hint="eastAsia"/>
        </w:rPr>
        <w:t>毛利透・小泉良幸・淺野博宣・松本哲司『憲法II 人権(第2版)』(有斐閣、2018年)</w:t>
      </w:r>
    </w:p>
    <w:sectPr w:rsidR="00F243B5" w:rsidRPr="00657F8D">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A3452B" w14:textId="77777777" w:rsidR="00DB7A3B" w:rsidRDefault="00DB7A3B" w:rsidP="00BD3D82">
      <w:r>
        <w:separator/>
      </w:r>
    </w:p>
  </w:endnote>
  <w:endnote w:type="continuationSeparator" w:id="0">
    <w:p w14:paraId="10BA23AD" w14:textId="77777777" w:rsidR="00DB7A3B" w:rsidRDefault="00DB7A3B" w:rsidP="00BD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30507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2763928"/>
      <w:docPartObj>
        <w:docPartGallery w:val="Page Numbers (Bottom of Page)"/>
        <w:docPartUnique/>
      </w:docPartObj>
    </w:sdtPr>
    <w:sdtContent>
      <w:p w14:paraId="726B36DA" w14:textId="06520023" w:rsidR="003126CB" w:rsidRDefault="003126CB">
        <w:pPr>
          <w:pStyle w:val="ab"/>
          <w:jc w:val="center"/>
        </w:pPr>
        <w:r>
          <w:fldChar w:fldCharType="begin"/>
        </w:r>
        <w:r>
          <w:instrText>PAGE   \* MERGEFORMAT</w:instrText>
        </w:r>
        <w:r>
          <w:fldChar w:fldCharType="separate"/>
        </w:r>
        <w:r>
          <w:rPr>
            <w:lang w:val="ja-JP"/>
          </w:rPr>
          <w:t>2</w:t>
        </w:r>
        <w:r>
          <w:fldChar w:fldCharType="end"/>
        </w:r>
      </w:p>
    </w:sdtContent>
  </w:sdt>
  <w:p w14:paraId="10ABAEEE" w14:textId="77777777" w:rsidR="00657F8D" w:rsidRDefault="00657F8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7C7F3F" w14:textId="77777777" w:rsidR="00DB7A3B" w:rsidRDefault="00DB7A3B" w:rsidP="00BD3D82">
      <w:r>
        <w:separator/>
      </w:r>
    </w:p>
  </w:footnote>
  <w:footnote w:type="continuationSeparator" w:id="0">
    <w:p w14:paraId="58D28E86" w14:textId="77777777" w:rsidR="00DB7A3B" w:rsidRDefault="00DB7A3B" w:rsidP="00BD3D82">
      <w:r>
        <w:continuationSeparator/>
      </w:r>
    </w:p>
  </w:footnote>
  <w:footnote w:id="1">
    <w:p w14:paraId="5B865B7D" w14:textId="702D1BBC" w:rsidR="00657F8D" w:rsidRDefault="00657F8D" w:rsidP="00BD3D82">
      <w:pPr>
        <w:pStyle w:val="a3"/>
        <w:rPr>
          <w:rFonts w:hint="eastAsia"/>
        </w:rPr>
      </w:pPr>
      <w:r>
        <w:rPr>
          <w:rStyle w:val="a5"/>
        </w:rPr>
        <w:footnoteRef/>
      </w:r>
      <w:r>
        <w:rPr>
          <w:rFonts w:hint="eastAsia"/>
        </w:rPr>
        <w:t xml:space="preserve"> NHK「『Qアノン』政界へも影響拡大」(2020年10月12日掲載)[ </w:t>
      </w:r>
      <w:r w:rsidRPr="00063590">
        <w:rPr>
          <w:rFonts w:hint="eastAsia"/>
        </w:rPr>
        <w:t>https://www.nhk.or.jp/kokusaihoudou/archive/2020/10/1012.html</w:t>
      </w:r>
      <w:r>
        <w:rPr>
          <w:rFonts w:hint="eastAsia"/>
        </w:rPr>
        <w:t>]。</w:t>
      </w:r>
    </w:p>
  </w:footnote>
  <w:footnote w:id="2">
    <w:p w14:paraId="4C70BDA6" w14:textId="398A491F" w:rsidR="00657F8D" w:rsidRDefault="00657F8D" w:rsidP="00BD3D82">
      <w:pPr>
        <w:pStyle w:val="a3"/>
        <w:rPr>
          <w:rFonts w:hint="eastAsia"/>
        </w:rPr>
      </w:pPr>
      <w:r>
        <w:rPr>
          <w:rStyle w:val="a5"/>
        </w:rPr>
        <w:footnoteRef/>
      </w:r>
      <w:r>
        <w:rPr>
          <w:rFonts w:hint="eastAsia"/>
        </w:rPr>
        <w:t xml:space="preserve"> </w:t>
      </w:r>
      <w:r>
        <w:rPr>
          <w:rFonts w:hint="eastAsia"/>
        </w:rPr>
        <w:t>西村博之「米国引き裂くデマと陰謀論　SNSは嘘つきマシン？」日本経済新聞2020年11月8日[https://www.nikkei.com/article/DGXMZO65851800V01C20A1I00000/]。</w:t>
      </w:r>
    </w:p>
  </w:footnote>
  <w:footnote w:id="3">
    <w:p w14:paraId="1C287115" w14:textId="3D80C79D" w:rsidR="00657F8D" w:rsidRDefault="00657F8D" w:rsidP="00BD3D82">
      <w:pPr>
        <w:pStyle w:val="a3"/>
        <w:rPr>
          <w:rFonts w:hint="eastAsia"/>
        </w:rPr>
      </w:pPr>
      <w:r>
        <w:rPr>
          <w:rStyle w:val="a5"/>
        </w:rPr>
        <w:footnoteRef/>
      </w:r>
      <w:r>
        <w:rPr>
          <w:rFonts w:hint="eastAsia"/>
        </w:rPr>
        <w:t xml:space="preserve"> </w:t>
      </w:r>
      <w:r>
        <w:rPr>
          <w:rFonts w:hint="eastAsia"/>
        </w:rPr>
        <w:t>平和博『信じてはいけない―民主主義を壊すフェイクニュースの正体』(朝日新書、2017年)14-18頁。</w:t>
      </w:r>
    </w:p>
  </w:footnote>
  <w:footnote w:id="4">
    <w:p w14:paraId="5686FC0F" w14:textId="1076958C" w:rsidR="00657F8D" w:rsidRDefault="00657F8D" w:rsidP="00BD3D82">
      <w:pPr>
        <w:pStyle w:val="a3"/>
        <w:rPr>
          <w:rFonts w:hint="eastAsia"/>
        </w:rPr>
      </w:pPr>
      <w:r>
        <w:rPr>
          <w:rStyle w:val="a5"/>
        </w:rPr>
        <w:footnoteRef/>
      </w:r>
      <w:r>
        <w:rPr>
          <w:rFonts w:hint="eastAsia"/>
        </w:rPr>
        <w:t xml:space="preserve"> </w:t>
      </w:r>
      <w:r>
        <w:rPr>
          <w:rFonts w:hint="eastAsia"/>
        </w:rPr>
        <w:t>同上、54-55頁。</w:t>
      </w:r>
    </w:p>
  </w:footnote>
  <w:footnote w:id="5">
    <w:p w14:paraId="570E34AD" w14:textId="77777777" w:rsidR="00657F8D" w:rsidRDefault="00657F8D" w:rsidP="00BD3D82">
      <w:pPr>
        <w:pStyle w:val="a3"/>
        <w:rPr>
          <w:rFonts w:hint="eastAsia"/>
        </w:rPr>
      </w:pPr>
      <w:r>
        <w:rPr>
          <w:rStyle w:val="a5"/>
        </w:rPr>
        <w:footnoteRef/>
      </w:r>
      <w:r>
        <w:rPr>
          <w:rFonts w:hint="eastAsia"/>
        </w:rPr>
        <w:t xml:space="preserve"> </w:t>
      </w:r>
      <w:r>
        <w:rPr>
          <w:rFonts w:hint="eastAsia"/>
        </w:rPr>
        <w:t>総務省令和元年情報通信白書第1部第4節「フェイクニュースを巡る動向」</w:t>
      </w:r>
    </w:p>
    <w:p w14:paraId="5707BE64" w14:textId="2CE1C29A" w:rsidR="00657F8D" w:rsidRDefault="00657F8D" w:rsidP="00BD3D82">
      <w:pPr>
        <w:pStyle w:val="a3"/>
        <w:rPr>
          <w:rFonts w:hint="eastAsia"/>
        </w:rPr>
      </w:pPr>
      <w:r>
        <w:rPr>
          <w:rFonts w:hint="eastAsia"/>
        </w:rPr>
        <w:t>[https://www.soumu.go.jp/johotsusintokei/whitepaper/ja/r01/html/nd114400.html]（2021年２月20日閲覧）。</w:t>
      </w:r>
    </w:p>
  </w:footnote>
  <w:footnote w:id="6">
    <w:p w14:paraId="5F1FF198" w14:textId="1E0E9C55" w:rsidR="00657F8D" w:rsidRDefault="00657F8D" w:rsidP="00BD3D82">
      <w:pPr>
        <w:pStyle w:val="a3"/>
        <w:rPr>
          <w:rFonts w:hint="eastAsia"/>
        </w:rPr>
      </w:pPr>
      <w:r>
        <w:rPr>
          <w:rStyle w:val="a5"/>
        </w:rPr>
        <w:footnoteRef/>
      </w:r>
      <w:r>
        <w:rPr>
          <w:rFonts w:hint="eastAsia"/>
        </w:rPr>
        <w:t xml:space="preserve"> </w:t>
      </w:r>
      <w:r>
        <w:rPr>
          <w:rFonts w:hint="eastAsia"/>
        </w:rPr>
        <w:t>笹原和俊『フェイクニュースを科学する―拡散するデマ、陰謀論、プロパガンダのしくみ』(化学同人、2018年)13頁。</w:t>
      </w:r>
    </w:p>
  </w:footnote>
  <w:footnote w:id="7">
    <w:p w14:paraId="67844A4E" w14:textId="31903A8D" w:rsidR="00657F8D" w:rsidRDefault="00657F8D" w:rsidP="00BD3D82">
      <w:pPr>
        <w:pStyle w:val="a3"/>
        <w:rPr>
          <w:rFonts w:hint="eastAsia"/>
        </w:rPr>
      </w:pPr>
      <w:r>
        <w:rPr>
          <w:rStyle w:val="a5"/>
        </w:rPr>
        <w:footnoteRef/>
      </w:r>
      <w:r>
        <w:rPr>
          <w:rFonts w:hint="eastAsia"/>
        </w:rPr>
        <w:t xml:space="preserve"> </w:t>
      </w:r>
      <w:r>
        <w:rPr>
          <w:rFonts w:hint="eastAsia"/>
        </w:rPr>
        <w:t>西村、前掲注(2)、13-14頁。</w:t>
      </w:r>
    </w:p>
  </w:footnote>
  <w:footnote w:id="8">
    <w:p w14:paraId="5923765D" w14:textId="05230C9E" w:rsidR="00657F8D" w:rsidRDefault="00657F8D" w:rsidP="00BD3D82">
      <w:pPr>
        <w:pStyle w:val="a3"/>
        <w:rPr>
          <w:rFonts w:hint="eastAsia"/>
        </w:rPr>
      </w:pPr>
      <w:r>
        <w:rPr>
          <w:rStyle w:val="a5"/>
        </w:rPr>
        <w:footnoteRef/>
      </w:r>
      <w:r>
        <w:rPr>
          <w:rFonts w:hint="eastAsia"/>
        </w:rPr>
        <w:t xml:space="preserve"> </w:t>
      </w:r>
      <w:r>
        <w:rPr>
          <w:rFonts w:hint="eastAsia"/>
        </w:rPr>
        <w:t>西村、前掲注(2)、14-20頁。</w:t>
      </w:r>
    </w:p>
  </w:footnote>
  <w:footnote w:id="9">
    <w:p w14:paraId="4080BA6E" w14:textId="7FB00621" w:rsidR="00657F8D" w:rsidRDefault="00657F8D" w:rsidP="00BD3D82">
      <w:pPr>
        <w:pStyle w:val="a3"/>
        <w:rPr>
          <w:rFonts w:hint="eastAsia"/>
        </w:rPr>
      </w:pPr>
      <w:r>
        <w:rPr>
          <w:rStyle w:val="a5"/>
        </w:rPr>
        <w:footnoteRef/>
      </w:r>
      <w:r>
        <w:rPr>
          <w:rFonts w:hint="eastAsia"/>
        </w:rPr>
        <w:t xml:space="preserve"> </w:t>
      </w:r>
      <w:r>
        <w:rPr>
          <w:rFonts w:hint="eastAsia"/>
        </w:rPr>
        <w:t>総務省「プラットフォームサービスに関する研究会最終報告書」(2020年)[https://www.soumu.go.jp/main_content/000668595.pdf]（202</w:t>
      </w:r>
      <w:r>
        <w:t>1</w:t>
      </w:r>
      <w:r>
        <w:rPr>
          <w:rFonts w:hint="eastAsia"/>
        </w:rPr>
        <w:t>年２月20日閲覧）。</w:t>
      </w:r>
    </w:p>
  </w:footnote>
  <w:footnote w:id="10">
    <w:p w14:paraId="257CF657" w14:textId="23252423" w:rsidR="00657F8D" w:rsidRDefault="00657F8D" w:rsidP="00BD3D82">
      <w:pPr>
        <w:pStyle w:val="a3"/>
        <w:rPr>
          <w:rFonts w:hint="eastAsia"/>
        </w:rPr>
      </w:pPr>
      <w:r>
        <w:rPr>
          <w:rStyle w:val="a5"/>
        </w:rPr>
        <w:footnoteRef/>
      </w:r>
      <w:r>
        <w:rPr>
          <w:rFonts w:hint="eastAsia"/>
        </w:rPr>
        <w:t xml:space="preserve"> </w:t>
      </w:r>
      <w:r>
        <w:rPr>
          <w:rFonts w:hint="eastAsia"/>
        </w:rPr>
        <w:t>水谷瑛嗣郎「『表現の自由』の現代的な『カタチ』―フェイクニュース問題を切り口に」論究ジュリスト2020年春号(No.33)24頁。</w:t>
      </w:r>
    </w:p>
  </w:footnote>
  <w:footnote w:id="11">
    <w:p w14:paraId="46031C0E" w14:textId="62E80F1B" w:rsidR="00657F8D" w:rsidRDefault="00657F8D" w:rsidP="00BD3D82">
      <w:pPr>
        <w:pStyle w:val="a3"/>
        <w:rPr>
          <w:rFonts w:hint="eastAsia"/>
        </w:rPr>
      </w:pPr>
      <w:r>
        <w:rPr>
          <w:rStyle w:val="a5"/>
        </w:rPr>
        <w:footnoteRef/>
      </w:r>
      <w:r>
        <w:rPr>
          <w:rFonts w:hint="eastAsia"/>
        </w:rPr>
        <w:t xml:space="preserve"> </w:t>
      </w:r>
      <w:r>
        <w:rPr>
          <w:rFonts w:hint="eastAsia"/>
        </w:rPr>
        <w:t>同上、26頁。</w:t>
      </w:r>
    </w:p>
  </w:footnote>
  <w:footnote w:id="12">
    <w:p w14:paraId="32742D05" w14:textId="7B986814" w:rsidR="00657F8D" w:rsidRDefault="00657F8D" w:rsidP="00BD3D82">
      <w:pPr>
        <w:pStyle w:val="a3"/>
        <w:rPr>
          <w:rFonts w:hint="eastAsia"/>
        </w:rPr>
      </w:pPr>
      <w:r>
        <w:rPr>
          <w:rStyle w:val="a5"/>
        </w:rPr>
        <w:footnoteRef/>
      </w:r>
      <w:r>
        <w:rPr>
          <w:rFonts w:hint="eastAsia"/>
        </w:rPr>
        <w:t xml:space="preserve"> </w:t>
      </w:r>
      <w:r>
        <w:rPr>
          <w:rFonts w:hint="eastAsia"/>
        </w:rPr>
        <w:t>芦部信喜『憲法』第7版（岩波書店、2019年）214頁。</w:t>
      </w:r>
    </w:p>
  </w:footnote>
  <w:footnote w:id="13">
    <w:p w14:paraId="2DEFE672" w14:textId="20DDCF56" w:rsidR="00657F8D" w:rsidRDefault="00657F8D" w:rsidP="00BD3D82">
      <w:pPr>
        <w:pStyle w:val="a3"/>
        <w:rPr>
          <w:rFonts w:hint="eastAsia"/>
        </w:rPr>
      </w:pPr>
      <w:r>
        <w:rPr>
          <w:rStyle w:val="a5"/>
        </w:rPr>
        <w:footnoteRef/>
      </w:r>
      <w:r>
        <w:rPr>
          <w:rFonts w:hint="eastAsia"/>
        </w:rPr>
        <w:t xml:space="preserve"> </w:t>
      </w:r>
      <w:r>
        <w:rPr>
          <w:rFonts w:hint="eastAsia"/>
        </w:rPr>
        <w:t>毛利透・小泉良幸・淺野博宣・松本哲司『憲法II 人権(第2版)』(有斐閣、2018年)202-203頁。</w:t>
      </w:r>
    </w:p>
  </w:footnote>
  <w:footnote w:id="14">
    <w:p w14:paraId="67685DC8" w14:textId="38482318" w:rsidR="00657F8D" w:rsidRDefault="00657F8D" w:rsidP="00BD3D82">
      <w:pPr>
        <w:pStyle w:val="a3"/>
        <w:rPr>
          <w:rFonts w:hint="eastAsia"/>
        </w:rPr>
      </w:pPr>
      <w:r>
        <w:rPr>
          <w:rStyle w:val="a5"/>
        </w:rPr>
        <w:footnoteRef/>
      </w:r>
      <w:r>
        <w:rPr>
          <w:rFonts w:hint="eastAsia"/>
        </w:rPr>
        <w:t xml:space="preserve"> </w:t>
      </w:r>
      <w:r>
        <w:rPr>
          <w:rFonts w:hint="eastAsia"/>
        </w:rPr>
        <w:t>西村、前掲(2)、205頁。</w:t>
      </w:r>
    </w:p>
  </w:footnote>
  <w:footnote w:id="15">
    <w:p w14:paraId="29E2AE9B" w14:textId="42771BB2" w:rsidR="00657F8D" w:rsidRDefault="00657F8D" w:rsidP="00BD3D82">
      <w:pPr>
        <w:pStyle w:val="a3"/>
        <w:rPr>
          <w:rFonts w:hint="eastAsia"/>
        </w:rPr>
      </w:pPr>
      <w:r>
        <w:rPr>
          <w:rStyle w:val="a5"/>
        </w:rPr>
        <w:footnoteRef/>
      </w:r>
      <w:r>
        <w:rPr>
          <w:rFonts w:hint="eastAsia"/>
        </w:rPr>
        <w:t xml:space="preserve"> </w:t>
      </w:r>
      <w:r>
        <w:rPr>
          <w:rFonts w:hint="eastAsia"/>
        </w:rPr>
        <w:t>西村、前掲(2)、206頁。</w:t>
      </w:r>
    </w:p>
  </w:footnote>
  <w:footnote w:id="16">
    <w:p w14:paraId="785127D4" w14:textId="6E6E5C8B" w:rsidR="00657F8D" w:rsidRDefault="00657F8D" w:rsidP="00BD3D82">
      <w:pPr>
        <w:pStyle w:val="a3"/>
        <w:rPr>
          <w:rFonts w:hint="eastAsia"/>
        </w:rPr>
      </w:pPr>
      <w:r>
        <w:rPr>
          <w:rStyle w:val="a5"/>
        </w:rPr>
        <w:footnoteRef/>
      </w:r>
      <w:r>
        <w:rPr>
          <w:rFonts w:hint="eastAsia"/>
        </w:rPr>
        <w:t xml:space="preserve"> </w:t>
      </w:r>
      <w:r>
        <w:rPr>
          <w:rFonts w:hint="eastAsia"/>
        </w:rPr>
        <w:t>最大判1983年6月22日民集37巻5号793頁。</w:t>
      </w:r>
    </w:p>
  </w:footnote>
  <w:footnote w:id="17">
    <w:p w14:paraId="5C71E0B5" w14:textId="1AE13B62" w:rsidR="00657F8D" w:rsidRDefault="00657F8D" w:rsidP="00BD3D82">
      <w:pPr>
        <w:pStyle w:val="a3"/>
        <w:rPr>
          <w:rFonts w:hint="eastAsia"/>
        </w:rPr>
      </w:pPr>
      <w:r>
        <w:rPr>
          <w:rStyle w:val="a5"/>
        </w:rPr>
        <w:footnoteRef/>
      </w:r>
      <w:r>
        <w:rPr>
          <w:rFonts w:hint="eastAsia"/>
        </w:rPr>
        <w:t xml:space="preserve"> </w:t>
      </w:r>
      <w:r>
        <w:rPr>
          <w:rFonts w:hint="eastAsia"/>
        </w:rPr>
        <w:t>西村、前掲(2)、206-207頁。</w:t>
      </w:r>
    </w:p>
  </w:footnote>
  <w:footnote w:id="18">
    <w:p w14:paraId="17C660CA" w14:textId="4DAFCDE1" w:rsidR="00657F8D" w:rsidRDefault="00657F8D" w:rsidP="00BD3D82">
      <w:pPr>
        <w:pStyle w:val="a3"/>
        <w:rPr>
          <w:rFonts w:hint="eastAsia"/>
        </w:rPr>
      </w:pPr>
      <w:r>
        <w:rPr>
          <w:rStyle w:val="a5"/>
        </w:rPr>
        <w:footnoteRef/>
      </w:r>
      <w:r>
        <w:rPr>
          <w:rFonts w:hint="eastAsia"/>
        </w:rPr>
        <w:t xml:space="preserve"> </w:t>
      </w:r>
      <w:r>
        <w:rPr>
          <w:rFonts w:hint="eastAsia"/>
        </w:rPr>
        <w:t>水谷、前掲注(1</w:t>
      </w:r>
      <w:r>
        <w:t>0)</w:t>
      </w:r>
      <w:r>
        <w:rPr>
          <w:rFonts w:hint="eastAsia"/>
        </w:rPr>
        <w:t>、26頁。</w:t>
      </w:r>
    </w:p>
  </w:footnote>
  <w:footnote w:id="19">
    <w:p w14:paraId="307BE17A" w14:textId="6C7A222D" w:rsidR="00657F8D" w:rsidRDefault="00657F8D" w:rsidP="00BD3D82">
      <w:pPr>
        <w:pStyle w:val="a3"/>
        <w:rPr>
          <w:rFonts w:hint="eastAsia"/>
        </w:rPr>
      </w:pPr>
      <w:r>
        <w:rPr>
          <w:rStyle w:val="a5"/>
        </w:rPr>
        <w:footnoteRef/>
      </w:r>
      <w:r>
        <w:rPr>
          <w:rFonts w:hint="eastAsia"/>
        </w:rPr>
        <w:t xml:space="preserve"> </w:t>
      </w:r>
      <w:r w:rsidRPr="00D84609">
        <w:rPr>
          <w:rFonts w:hint="eastAsia"/>
        </w:rPr>
        <w:t>水谷瑛嗣郎「思想の自由市場の中のフェイクニュース」慶応義塾大学メディア・コミュニケーション研究所紀要69巻(2019年)61頁</w:t>
      </w:r>
      <w:r>
        <w:rPr>
          <w:rFonts w:hint="eastAsia"/>
        </w:rPr>
        <w:t>。</w:t>
      </w:r>
    </w:p>
  </w:footnote>
  <w:footnote w:id="20">
    <w:p w14:paraId="1B85D2B9" w14:textId="247E18B4" w:rsidR="00657F8D" w:rsidRDefault="00657F8D" w:rsidP="00BD3D82">
      <w:pPr>
        <w:pStyle w:val="a3"/>
        <w:rPr>
          <w:rFonts w:hint="eastAsia"/>
        </w:rPr>
      </w:pPr>
      <w:r>
        <w:rPr>
          <w:rStyle w:val="a5"/>
        </w:rPr>
        <w:footnoteRef/>
      </w:r>
      <w:r>
        <w:rPr>
          <w:rFonts w:hint="eastAsia"/>
        </w:rPr>
        <w:t xml:space="preserve"> </w:t>
      </w:r>
      <w:r>
        <w:rPr>
          <w:rFonts w:hint="eastAsia"/>
        </w:rPr>
        <w:t>同上、62頁。</w:t>
      </w:r>
    </w:p>
  </w:footnote>
  <w:footnote w:id="21">
    <w:p w14:paraId="77F1CF08" w14:textId="14866AB7" w:rsidR="00657F8D" w:rsidRDefault="00657F8D" w:rsidP="00BD3D82">
      <w:pPr>
        <w:pStyle w:val="a3"/>
        <w:rPr>
          <w:rFonts w:hint="eastAsia"/>
        </w:rPr>
      </w:pPr>
      <w:r>
        <w:rPr>
          <w:rStyle w:val="a5"/>
        </w:rPr>
        <w:footnoteRef/>
      </w:r>
      <w:r>
        <w:rPr>
          <w:rFonts w:hint="eastAsia"/>
        </w:rPr>
        <w:t xml:space="preserve"> </w:t>
      </w:r>
      <w:r>
        <w:rPr>
          <w:rFonts w:hint="eastAsia"/>
        </w:rPr>
        <w:t>同上、63頁。</w:t>
      </w:r>
    </w:p>
  </w:footnote>
  <w:footnote w:id="22">
    <w:p w14:paraId="12A05F38" w14:textId="03B8A03D" w:rsidR="00657F8D" w:rsidRDefault="00657F8D" w:rsidP="00BD3D82">
      <w:pPr>
        <w:pStyle w:val="a3"/>
        <w:rPr>
          <w:rFonts w:hint="eastAsia"/>
        </w:rPr>
      </w:pPr>
      <w:r>
        <w:rPr>
          <w:rStyle w:val="a5"/>
        </w:rPr>
        <w:footnoteRef/>
      </w:r>
      <w:r>
        <w:rPr>
          <w:rFonts w:hint="eastAsia"/>
        </w:rPr>
        <w:t xml:space="preserve"> </w:t>
      </w:r>
      <w:r>
        <w:rPr>
          <w:rFonts w:hint="eastAsia"/>
        </w:rPr>
        <w:t>同上、62頁。</w:t>
      </w:r>
    </w:p>
  </w:footnote>
  <w:footnote w:id="23">
    <w:p w14:paraId="2D719DD1" w14:textId="5CE7E8A6" w:rsidR="00657F8D" w:rsidRDefault="00657F8D" w:rsidP="00BD3D82">
      <w:pPr>
        <w:pStyle w:val="a3"/>
        <w:rPr>
          <w:rFonts w:hint="eastAsia"/>
        </w:rPr>
      </w:pPr>
      <w:r>
        <w:rPr>
          <w:rStyle w:val="a5"/>
        </w:rPr>
        <w:footnoteRef/>
      </w:r>
      <w:r>
        <w:rPr>
          <w:rFonts w:hint="eastAsia"/>
        </w:rPr>
        <w:t xml:space="preserve"> </w:t>
      </w:r>
      <w:r>
        <w:rPr>
          <w:rFonts w:hint="eastAsia"/>
        </w:rPr>
        <w:t>水谷、前掲注(10)、26-27頁。</w:t>
      </w:r>
    </w:p>
  </w:footnote>
  <w:footnote w:id="24">
    <w:p w14:paraId="7AC036C9" w14:textId="47D513C0" w:rsidR="00657F8D" w:rsidRDefault="00657F8D" w:rsidP="00BD3D82">
      <w:pPr>
        <w:pStyle w:val="a3"/>
        <w:rPr>
          <w:rFonts w:hint="eastAsia"/>
        </w:rPr>
      </w:pPr>
      <w:r>
        <w:rPr>
          <w:rStyle w:val="a5"/>
        </w:rPr>
        <w:footnoteRef/>
      </w:r>
      <w:r>
        <w:rPr>
          <w:rFonts w:hint="eastAsia"/>
        </w:rPr>
        <w:t xml:space="preserve"> </w:t>
      </w:r>
      <w:r>
        <w:rPr>
          <w:rFonts w:hint="eastAsia"/>
        </w:rPr>
        <w:t>同上、26頁。</w:t>
      </w:r>
    </w:p>
  </w:footnote>
  <w:footnote w:id="25">
    <w:p w14:paraId="3B02B162" w14:textId="546398B9" w:rsidR="00657F8D" w:rsidRDefault="00657F8D" w:rsidP="00BD3D82">
      <w:pPr>
        <w:pStyle w:val="a3"/>
        <w:rPr>
          <w:rFonts w:hint="eastAsia"/>
        </w:rPr>
      </w:pPr>
      <w:r>
        <w:rPr>
          <w:rStyle w:val="a5"/>
        </w:rPr>
        <w:footnoteRef/>
      </w:r>
      <w:r>
        <w:rPr>
          <w:rFonts w:hint="eastAsia"/>
        </w:rPr>
        <w:t xml:space="preserve"> </w:t>
      </w:r>
      <w:r>
        <w:rPr>
          <w:rFonts w:hint="eastAsia"/>
        </w:rPr>
        <w:t>同上、26－27頁。</w:t>
      </w:r>
    </w:p>
  </w:footnote>
  <w:footnote w:id="26">
    <w:p w14:paraId="715BD9E2" w14:textId="0BE6C13C" w:rsidR="00657F8D" w:rsidRDefault="00657F8D" w:rsidP="00BD3D82">
      <w:pPr>
        <w:pStyle w:val="a3"/>
        <w:rPr>
          <w:rFonts w:hint="eastAsia"/>
        </w:rPr>
      </w:pPr>
      <w:r>
        <w:rPr>
          <w:rStyle w:val="a5"/>
        </w:rPr>
        <w:footnoteRef/>
      </w:r>
      <w:r>
        <w:rPr>
          <w:rFonts w:hint="eastAsia"/>
        </w:rPr>
        <w:t xml:space="preserve"> </w:t>
      </w:r>
      <w:r>
        <w:rPr>
          <w:rFonts w:hint="eastAsia"/>
        </w:rPr>
        <w:t>同上、28頁。</w:t>
      </w:r>
    </w:p>
  </w:footnote>
  <w:footnote w:id="27">
    <w:p w14:paraId="6BC2B8C5" w14:textId="1B278846" w:rsidR="00657F8D" w:rsidRDefault="00657F8D" w:rsidP="00BD3D82">
      <w:pPr>
        <w:pStyle w:val="a3"/>
        <w:rPr>
          <w:rFonts w:hint="eastAsia"/>
        </w:rPr>
      </w:pPr>
      <w:r>
        <w:rPr>
          <w:rStyle w:val="a5"/>
        </w:rPr>
        <w:footnoteRef/>
      </w:r>
      <w:r>
        <w:rPr>
          <w:rFonts w:hint="eastAsia"/>
        </w:rPr>
        <w:t xml:space="preserve"> </w:t>
      </w:r>
      <w:r>
        <w:rPr>
          <w:rFonts w:hint="eastAsia"/>
        </w:rPr>
        <w:t>同上、28頁。</w:t>
      </w:r>
    </w:p>
  </w:footnote>
  <w:footnote w:id="28">
    <w:p w14:paraId="28375F92" w14:textId="56A3B228" w:rsidR="00657F8D" w:rsidRDefault="00657F8D" w:rsidP="00BD3D82">
      <w:pPr>
        <w:pStyle w:val="a3"/>
        <w:rPr>
          <w:rFonts w:hint="eastAsia"/>
        </w:rPr>
      </w:pPr>
      <w:r>
        <w:rPr>
          <w:rStyle w:val="a5"/>
        </w:rPr>
        <w:footnoteRef/>
      </w:r>
      <w:r>
        <w:rPr>
          <w:rFonts w:hint="eastAsia"/>
        </w:rPr>
        <w:t xml:space="preserve"> </w:t>
      </w:r>
      <w:r>
        <w:rPr>
          <w:rFonts w:hint="eastAsia"/>
        </w:rPr>
        <w:t>最決2018年1月31日民集71巻1号63頁。</w:t>
      </w:r>
    </w:p>
  </w:footnote>
  <w:footnote w:id="29">
    <w:p w14:paraId="6F5A1D35" w14:textId="60F6825E" w:rsidR="00657F8D" w:rsidRDefault="00657F8D" w:rsidP="00BD3D82">
      <w:pPr>
        <w:pStyle w:val="a3"/>
        <w:rPr>
          <w:rFonts w:hint="eastAsia"/>
        </w:rPr>
      </w:pPr>
      <w:r>
        <w:rPr>
          <w:rStyle w:val="a5"/>
        </w:rPr>
        <w:footnoteRef/>
      </w:r>
      <w:r>
        <w:rPr>
          <w:rFonts w:hint="eastAsia"/>
        </w:rPr>
        <w:t xml:space="preserve"> </w:t>
      </w:r>
      <w:r>
        <w:rPr>
          <w:rFonts w:hint="eastAsia"/>
        </w:rPr>
        <w:t>水谷、前掲注(10)、29頁。</w:t>
      </w:r>
    </w:p>
  </w:footnote>
  <w:footnote w:id="30">
    <w:p w14:paraId="6F1F6ACB" w14:textId="6BF4482E" w:rsidR="00657F8D" w:rsidRDefault="00657F8D" w:rsidP="00BD3D82">
      <w:pPr>
        <w:pStyle w:val="a3"/>
        <w:rPr>
          <w:rFonts w:hint="eastAsia"/>
        </w:rPr>
      </w:pPr>
      <w:r>
        <w:rPr>
          <w:rStyle w:val="a5"/>
        </w:rPr>
        <w:footnoteRef/>
      </w:r>
      <w:r>
        <w:rPr>
          <w:rFonts w:hint="eastAsia"/>
        </w:rPr>
        <w:t xml:space="preserve"> </w:t>
      </w:r>
      <w:r>
        <w:rPr>
          <w:rFonts w:hint="eastAsia"/>
        </w:rPr>
        <w:t>最大決1969年11月26日刑集23巻11号1490頁。</w:t>
      </w:r>
    </w:p>
  </w:footnote>
  <w:footnote w:id="31">
    <w:p w14:paraId="2350E75B" w14:textId="5B6BD720" w:rsidR="00657F8D" w:rsidRDefault="00657F8D" w:rsidP="00BD3D82">
      <w:pPr>
        <w:pStyle w:val="a3"/>
        <w:rPr>
          <w:rFonts w:hint="eastAsia"/>
        </w:rPr>
      </w:pPr>
      <w:r>
        <w:rPr>
          <w:rStyle w:val="a5"/>
        </w:rPr>
        <w:footnoteRef/>
      </w:r>
      <w:r>
        <w:rPr>
          <w:rFonts w:hint="eastAsia"/>
        </w:rPr>
        <w:t xml:space="preserve"> </w:t>
      </w:r>
      <w:r>
        <w:rPr>
          <w:rFonts w:hint="eastAsia"/>
        </w:rPr>
        <w:t>水谷、前掲注(10)、29頁。</w:t>
      </w:r>
    </w:p>
  </w:footnote>
  <w:footnote w:id="32">
    <w:p w14:paraId="3FE2B9F5" w14:textId="5328D4D8" w:rsidR="00657F8D" w:rsidRDefault="00657F8D" w:rsidP="00BD3D82">
      <w:pPr>
        <w:pStyle w:val="a3"/>
        <w:rPr>
          <w:rFonts w:hint="eastAsia"/>
        </w:rPr>
      </w:pPr>
      <w:r>
        <w:rPr>
          <w:rStyle w:val="a5"/>
        </w:rPr>
        <w:footnoteRef/>
      </w:r>
      <w:r>
        <w:rPr>
          <w:rFonts w:hint="eastAsia"/>
        </w:rPr>
        <w:t xml:space="preserve"> </w:t>
      </w:r>
      <w:r>
        <w:rPr>
          <w:rFonts w:hint="eastAsia"/>
        </w:rPr>
        <w:t>総務省、前掲注(9)、27－28頁。</w:t>
      </w:r>
    </w:p>
  </w:footnote>
  <w:footnote w:id="33">
    <w:p w14:paraId="7804C6AA" w14:textId="607A43B9" w:rsidR="00657F8D" w:rsidRDefault="00657F8D" w:rsidP="00BD3D82">
      <w:pPr>
        <w:pStyle w:val="a3"/>
        <w:rPr>
          <w:rFonts w:hint="eastAsia"/>
        </w:rPr>
      </w:pPr>
      <w:r>
        <w:rPr>
          <w:rStyle w:val="a5"/>
        </w:rPr>
        <w:footnoteRef/>
      </w:r>
      <w:r>
        <w:rPr>
          <w:rFonts w:hint="eastAsia"/>
        </w:rPr>
        <w:t xml:space="preserve"> </w:t>
      </w:r>
      <w:r>
        <w:rPr>
          <w:rFonts w:hint="eastAsia"/>
        </w:rPr>
        <w:t>同上、28頁。</w:t>
      </w:r>
    </w:p>
  </w:footnote>
  <w:footnote w:id="34">
    <w:p w14:paraId="28D2E857" w14:textId="1CE26ECC" w:rsidR="00657F8D" w:rsidRDefault="00657F8D" w:rsidP="00BD3D82">
      <w:pPr>
        <w:pStyle w:val="a3"/>
        <w:rPr>
          <w:rFonts w:hint="eastAsia"/>
        </w:rPr>
      </w:pPr>
      <w:r>
        <w:rPr>
          <w:rStyle w:val="a5"/>
        </w:rPr>
        <w:footnoteRef/>
      </w:r>
      <w:r>
        <w:t xml:space="preserve"> </w:t>
      </w:r>
      <w:r w:rsidRPr="00657F8D">
        <w:t>Facebook</w:t>
      </w:r>
      <w:r w:rsidRPr="00657F8D">
        <w:t>のファクトチェック</w:t>
      </w:r>
      <w:r>
        <w:rPr>
          <w:rFonts w:hint="eastAsia"/>
        </w:rPr>
        <w:t>、[https://www.facebook.com/business/help/2593586717571940]（2021年２月20日閲覧）。</w:t>
      </w:r>
    </w:p>
  </w:footnote>
  <w:footnote w:id="35">
    <w:p w14:paraId="3E282AEC" w14:textId="4D850791" w:rsidR="00657F8D" w:rsidRDefault="00657F8D" w:rsidP="00BD3D82">
      <w:pPr>
        <w:pStyle w:val="a3"/>
        <w:rPr>
          <w:rFonts w:hint="eastAsia"/>
        </w:rPr>
      </w:pPr>
      <w:r>
        <w:rPr>
          <w:rStyle w:val="a5"/>
        </w:rPr>
        <w:footnoteRef/>
      </w:r>
      <w:r>
        <w:rPr>
          <w:rFonts w:hint="eastAsia"/>
        </w:rPr>
        <w:t xml:space="preserve"> </w:t>
      </w:r>
      <w:r>
        <w:rPr>
          <w:rFonts w:hint="eastAsia"/>
        </w:rPr>
        <w:t>総務省、前掲注(9)、28頁。</w:t>
      </w:r>
    </w:p>
  </w:footnote>
  <w:footnote w:id="36">
    <w:p w14:paraId="260366FE" w14:textId="03802D15" w:rsidR="00657F8D" w:rsidRDefault="00657F8D" w:rsidP="00BD3D82">
      <w:pPr>
        <w:pStyle w:val="a3"/>
        <w:rPr>
          <w:rFonts w:hint="eastAsia"/>
        </w:rPr>
      </w:pPr>
      <w:r>
        <w:rPr>
          <w:rStyle w:val="a5"/>
        </w:rPr>
        <w:footnoteRef/>
      </w:r>
      <w:r>
        <w:rPr>
          <w:rFonts w:hint="eastAsia"/>
        </w:rPr>
        <w:t xml:space="preserve"> Twitter </w:t>
      </w:r>
      <w:r>
        <w:rPr>
          <w:rFonts w:hint="eastAsia"/>
        </w:rPr>
        <w:t>透明性センター[https://transparency.twitter.com/ja.html]。</w:t>
      </w:r>
    </w:p>
  </w:footnote>
  <w:footnote w:id="37">
    <w:p w14:paraId="6B92EE25" w14:textId="674E2537" w:rsidR="00657F8D" w:rsidRDefault="00657F8D" w:rsidP="00BD3D82">
      <w:pPr>
        <w:pStyle w:val="a3"/>
        <w:rPr>
          <w:rFonts w:hint="eastAsia"/>
        </w:rPr>
      </w:pPr>
      <w:r>
        <w:rPr>
          <w:rStyle w:val="a5"/>
        </w:rPr>
        <w:footnoteRef/>
      </w:r>
      <w:r>
        <w:rPr>
          <w:rFonts w:hint="eastAsia"/>
        </w:rPr>
        <w:t xml:space="preserve"> </w:t>
      </w:r>
      <w:r>
        <w:rPr>
          <w:rFonts w:hint="eastAsia"/>
        </w:rPr>
        <w:t>総務省、前掲注(9)、28頁。</w:t>
      </w:r>
    </w:p>
  </w:footnote>
  <w:footnote w:id="38">
    <w:p w14:paraId="7EC6F367" w14:textId="3BF69DBA" w:rsidR="00657F8D" w:rsidRDefault="00657F8D" w:rsidP="00BD3D82">
      <w:pPr>
        <w:pStyle w:val="a3"/>
        <w:rPr>
          <w:rFonts w:hint="eastAsia"/>
        </w:rPr>
      </w:pPr>
      <w:r>
        <w:rPr>
          <w:rStyle w:val="a5"/>
        </w:rPr>
        <w:footnoteRef/>
      </w:r>
      <w:r>
        <w:rPr>
          <w:rFonts w:hint="eastAsia"/>
        </w:rPr>
        <w:t xml:space="preserve"> </w:t>
      </w:r>
      <w:r>
        <w:rPr>
          <w:rFonts w:hint="eastAsia"/>
        </w:rPr>
        <w:t>同上、30頁。</w:t>
      </w:r>
    </w:p>
  </w:footnote>
  <w:footnote w:id="39">
    <w:p w14:paraId="1634F4C6" w14:textId="52236046" w:rsidR="00657F8D" w:rsidRDefault="00657F8D" w:rsidP="00BD3D82">
      <w:pPr>
        <w:pStyle w:val="a3"/>
      </w:pPr>
      <w:r>
        <w:rPr>
          <w:rStyle w:val="a5"/>
        </w:rPr>
        <w:footnoteRef/>
      </w:r>
      <w:r>
        <w:t xml:space="preserve"> </w:t>
      </w:r>
      <w:r>
        <w:rPr>
          <w:rFonts w:hint="eastAsia"/>
        </w:rPr>
        <w:t>総務省、前掲注(9)。</w:t>
      </w:r>
    </w:p>
  </w:footnote>
  <w:footnote w:id="40">
    <w:p w14:paraId="089EFFE3" w14:textId="32313818" w:rsidR="00657F8D" w:rsidRDefault="00657F8D" w:rsidP="00BD3D82">
      <w:pPr>
        <w:pStyle w:val="a3"/>
      </w:pPr>
      <w:r>
        <w:rPr>
          <w:rStyle w:val="a5"/>
        </w:rPr>
        <w:footnoteRef/>
      </w:r>
      <w:r>
        <w:t xml:space="preserve"> </w:t>
      </w:r>
      <w:r>
        <w:rPr>
          <w:rFonts w:hint="eastAsia"/>
        </w:rPr>
        <w:t>水谷、前掲注(19)、</w:t>
      </w:r>
      <w:r>
        <w:t>59-60</w:t>
      </w:r>
      <w:r>
        <w:rPr>
          <w:rFonts w:hint="eastAsia"/>
        </w:rPr>
        <w:t>頁。</w:t>
      </w:r>
    </w:p>
  </w:footnote>
  <w:footnote w:id="41">
    <w:p w14:paraId="56CB6488" w14:textId="0F65A078" w:rsidR="00657F8D" w:rsidRDefault="00657F8D" w:rsidP="00BD3D82">
      <w:pPr>
        <w:pStyle w:val="a3"/>
      </w:pPr>
      <w:r>
        <w:rPr>
          <w:rStyle w:val="a5"/>
        </w:rPr>
        <w:footnoteRef/>
      </w:r>
      <w:r>
        <w:t>European Commission [2018] Code of Practice on Disinformation, [https://ec.europa.eu/newsroom/dae/document.cfm?doc_id=54454] Accessed 2021, Feb. 20.</w:t>
      </w:r>
    </w:p>
  </w:footnote>
  <w:footnote w:id="42">
    <w:p w14:paraId="4FA6D31A" w14:textId="1639E647" w:rsidR="00657F8D" w:rsidRDefault="00657F8D" w:rsidP="00BD3D82">
      <w:pPr>
        <w:pStyle w:val="a3"/>
        <w:rPr>
          <w:rFonts w:hint="eastAsia"/>
        </w:rPr>
      </w:pPr>
      <w:r>
        <w:rPr>
          <w:rStyle w:val="a5"/>
        </w:rPr>
        <w:footnoteRef/>
      </w:r>
      <w:r>
        <w:rPr>
          <w:rFonts w:hint="eastAsia"/>
        </w:rPr>
        <w:t xml:space="preserve"> </w:t>
      </w:r>
      <w:r>
        <w:rPr>
          <w:rFonts w:hint="eastAsia"/>
        </w:rPr>
        <w:t>同上。</w:t>
      </w:r>
    </w:p>
  </w:footnote>
  <w:footnote w:id="43">
    <w:p w14:paraId="4DFD6443" w14:textId="70AC93BB" w:rsidR="00657F8D" w:rsidRDefault="00657F8D" w:rsidP="00BD3D82">
      <w:pPr>
        <w:pStyle w:val="a3"/>
      </w:pPr>
      <w:r>
        <w:rPr>
          <w:rStyle w:val="a5"/>
        </w:rPr>
        <w:footnoteRef/>
      </w:r>
      <w:r>
        <w:t xml:space="preserve"> European Union (2018) Roadmaps to implement the Code of Practice on disinformation, [https://ec.europa.eu/digital-single-market/en/news/roadmaps-implement-code-practice-disinformation] Accessed 2021, Feb. 20.</w:t>
      </w:r>
    </w:p>
  </w:footnote>
  <w:footnote w:id="44">
    <w:p w14:paraId="0CFC33B0" w14:textId="05C1DE57" w:rsidR="00657F8D" w:rsidRDefault="00657F8D" w:rsidP="00BD3D82">
      <w:pPr>
        <w:pStyle w:val="a3"/>
      </w:pPr>
      <w:r>
        <w:rPr>
          <w:rStyle w:val="a5"/>
        </w:rPr>
        <w:footnoteRef/>
      </w:r>
      <w:r>
        <w:t xml:space="preserve"> </w:t>
      </w:r>
      <w:r>
        <w:rPr>
          <w:rFonts w:hint="eastAsia"/>
        </w:rPr>
        <w:t>同上。</w:t>
      </w:r>
    </w:p>
  </w:footnote>
  <w:footnote w:id="45">
    <w:p w14:paraId="42579624" w14:textId="55073891" w:rsidR="00657F8D" w:rsidRDefault="00657F8D" w:rsidP="00BD3D82">
      <w:pPr>
        <w:pStyle w:val="a3"/>
      </w:pPr>
      <w:r>
        <w:rPr>
          <w:rStyle w:val="a5"/>
        </w:rPr>
        <w:footnoteRef/>
      </w:r>
      <w:r>
        <w:t xml:space="preserve"> European Commission (2019) Commission reports on 2019 European elections: fostering European debates and securing free and fair elections </w:t>
      </w:r>
    </w:p>
    <w:p w14:paraId="3527CD8D" w14:textId="08AA64E8" w:rsidR="00657F8D" w:rsidRDefault="00657F8D" w:rsidP="00BD3D82">
      <w:pPr>
        <w:pStyle w:val="a3"/>
      </w:pPr>
      <w:r>
        <w:t>[https://ec.europa.eu/commission/presscorner/detail/en/ip_20_1123] Accessed 2021, Feb. 20.</w:t>
      </w:r>
    </w:p>
  </w:footnote>
  <w:footnote w:id="46">
    <w:p w14:paraId="53057855" w14:textId="54B64CC9" w:rsidR="00657F8D" w:rsidRDefault="00657F8D" w:rsidP="00BD3D82">
      <w:pPr>
        <w:pStyle w:val="a3"/>
      </w:pPr>
      <w:r>
        <w:rPr>
          <w:rStyle w:val="a5"/>
        </w:rPr>
        <w:footnoteRef/>
      </w:r>
      <w:r>
        <w:t xml:space="preserve"> </w:t>
      </w:r>
      <w:r>
        <w:rPr>
          <w:rFonts w:hint="eastAsia"/>
        </w:rPr>
        <w:t>曽我部真裕「表現空間の設計構想（フランス）」駒村圭吾・鈴木秀美編『表現の自由</w:t>
      </w:r>
      <w:r>
        <w:t>I—</w:t>
      </w:r>
      <w:r>
        <w:rPr>
          <w:rFonts w:hint="eastAsia"/>
        </w:rPr>
        <w:t>状況へ</w:t>
      </w:r>
      <w:r>
        <w:t>—</w:t>
      </w:r>
      <w:r>
        <w:rPr>
          <w:rFonts w:hint="eastAsia"/>
        </w:rPr>
        <w:t>』（尚学社、</w:t>
      </w:r>
      <w:r>
        <w:t>2011</w:t>
      </w:r>
      <w:r>
        <w:rPr>
          <w:rFonts w:hint="eastAsia"/>
        </w:rPr>
        <w:t>年）</w:t>
      </w:r>
      <w:r>
        <w:t>134-160</w:t>
      </w:r>
      <w:r>
        <w:rPr>
          <w:rFonts w:hint="eastAsia"/>
        </w:rPr>
        <w:t>頁。</w:t>
      </w:r>
    </w:p>
  </w:footnote>
  <w:footnote w:id="47">
    <w:p w14:paraId="13E6341E" w14:textId="2D001B65" w:rsidR="00657F8D" w:rsidRDefault="00657F8D" w:rsidP="00BD3D82">
      <w:pPr>
        <w:pStyle w:val="a3"/>
        <w:rPr>
          <w:color w:val="000000" w:themeColor="text1"/>
        </w:rPr>
      </w:pPr>
      <w:r>
        <w:rPr>
          <w:rStyle w:val="a5"/>
          <w:rFonts w:ascii="Century" w:eastAsia="Century" w:hAnsi="Century" w:cs="Century"/>
        </w:rPr>
        <w:footnoteRef/>
      </w:r>
      <w:r>
        <w:rPr>
          <w:rFonts w:ascii="Century" w:eastAsia="Century" w:hAnsi="Century" w:cs="Century"/>
        </w:rPr>
        <w:t xml:space="preserve"> </w:t>
      </w:r>
      <w:proofErr w:type="spellStart"/>
      <w:r>
        <w:rPr>
          <w:rFonts w:ascii="Century" w:eastAsia="Century" w:hAnsi="Century" w:cs="Century"/>
        </w:rPr>
        <w:t>Loi</w:t>
      </w:r>
      <w:proofErr w:type="spellEnd"/>
      <w:r>
        <w:rPr>
          <w:rFonts w:ascii="Century" w:eastAsia="Century" w:hAnsi="Century" w:cs="Century"/>
        </w:rPr>
        <w:t xml:space="preserve"> n° 2018-1202 du 22 </w:t>
      </w:r>
      <w:proofErr w:type="spellStart"/>
      <w:r>
        <w:rPr>
          <w:rFonts w:ascii="Century" w:eastAsia="Century" w:hAnsi="Century" w:cs="Century"/>
        </w:rPr>
        <w:t>décembre</w:t>
      </w:r>
      <w:proofErr w:type="spellEnd"/>
      <w:r>
        <w:rPr>
          <w:rFonts w:ascii="Century" w:eastAsia="Century" w:hAnsi="Century" w:cs="Century"/>
        </w:rPr>
        <w:t xml:space="preserve"> 2018 relative à la </w:t>
      </w:r>
      <w:proofErr w:type="spellStart"/>
      <w:r>
        <w:rPr>
          <w:rFonts w:ascii="Century" w:eastAsia="Century" w:hAnsi="Century" w:cs="Century"/>
        </w:rPr>
        <w:t>lutte</w:t>
      </w:r>
      <w:proofErr w:type="spellEnd"/>
      <w:r>
        <w:rPr>
          <w:rFonts w:ascii="Century" w:eastAsia="Century" w:hAnsi="Century" w:cs="Century"/>
        </w:rPr>
        <w:t xml:space="preserve"> </w:t>
      </w:r>
      <w:proofErr w:type="spellStart"/>
      <w:r>
        <w:rPr>
          <w:rFonts w:ascii="Century" w:eastAsia="Century" w:hAnsi="Century" w:cs="Century"/>
        </w:rPr>
        <w:t>contre</w:t>
      </w:r>
      <w:proofErr w:type="spellEnd"/>
      <w:r>
        <w:rPr>
          <w:rFonts w:ascii="Century" w:eastAsia="Century" w:hAnsi="Century" w:cs="Century"/>
        </w:rPr>
        <w:t xml:space="preserve"> la manipulation de </w:t>
      </w:r>
      <w:proofErr w:type="spellStart"/>
      <w:r>
        <w:rPr>
          <w:rFonts w:ascii="Century" w:eastAsia="Century" w:hAnsi="Century" w:cs="Century"/>
        </w:rPr>
        <w:t>l'information</w:t>
      </w:r>
      <w:proofErr w:type="spellEnd"/>
      <w:r>
        <w:rPr>
          <w:rFonts w:ascii="ＭＳ 明朝" w:eastAsia="ＭＳ 明朝" w:hAnsi="ＭＳ 明朝" w:cs="ＭＳ 明朝" w:hint="eastAsia"/>
        </w:rPr>
        <w:t>；安藤</w:t>
      </w:r>
      <w:r>
        <w:rPr>
          <w:rFonts w:ascii="Century" w:eastAsia="Century" w:hAnsi="Century" w:cs="Century"/>
        </w:rPr>
        <w:t xml:space="preserve"> </w:t>
      </w:r>
      <w:r>
        <w:rPr>
          <w:rFonts w:ascii="ＭＳ 明朝" w:eastAsia="ＭＳ 明朝" w:hAnsi="ＭＳ 明朝" w:cs="ＭＳ 明朝" w:hint="eastAsia"/>
        </w:rPr>
        <w:t>英梨香「【フランス】情報操作との闘いに関する法律」外国の立法</w:t>
      </w:r>
      <w:r>
        <w:rPr>
          <w:rFonts w:ascii="Century" w:eastAsia="Century" w:hAnsi="Century" w:cs="Century"/>
        </w:rPr>
        <w:t xml:space="preserve"> 279</w:t>
      </w:r>
      <w:r>
        <w:rPr>
          <w:rFonts w:ascii="ＭＳ 明朝" w:eastAsia="ＭＳ 明朝" w:hAnsi="ＭＳ 明朝" w:cs="ＭＳ 明朝" w:hint="eastAsia"/>
        </w:rPr>
        <w:t>巻</w:t>
      </w:r>
      <w:r>
        <w:rPr>
          <w:rFonts w:ascii="Century" w:eastAsia="Century" w:hAnsi="Century" w:cs="Century"/>
        </w:rPr>
        <w:t>1</w:t>
      </w:r>
      <w:r>
        <w:rPr>
          <w:rFonts w:ascii="ＭＳ 明朝" w:eastAsia="ＭＳ 明朝" w:hAnsi="ＭＳ 明朝" w:cs="ＭＳ 明朝" w:hint="eastAsia"/>
        </w:rPr>
        <w:t>号（</w:t>
      </w:r>
      <w:r>
        <w:rPr>
          <w:rFonts w:ascii="Century" w:eastAsia="Century" w:hAnsi="Century" w:cs="Century"/>
        </w:rPr>
        <w:t>2019</w:t>
      </w:r>
      <w:r>
        <w:rPr>
          <w:rFonts w:ascii="ＭＳ 明朝" w:eastAsia="ＭＳ 明朝" w:hAnsi="ＭＳ 明朝" w:cs="ＭＳ 明朝" w:hint="eastAsia"/>
        </w:rPr>
        <w:t>年）</w:t>
      </w:r>
      <w:r>
        <w:rPr>
          <w:rFonts w:ascii="Century" w:eastAsia="Century" w:hAnsi="Century" w:cs="Century"/>
        </w:rPr>
        <w:t>18-19</w:t>
      </w:r>
      <w:r>
        <w:rPr>
          <w:rFonts w:ascii="ＭＳ 明朝" w:eastAsia="ＭＳ 明朝" w:hAnsi="ＭＳ 明朝" w:cs="ＭＳ 明朝" w:hint="eastAsia"/>
        </w:rPr>
        <w:t>頁；三菱総合研究所</w:t>
      </w:r>
      <w:r>
        <w:rPr>
          <w:rFonts w:hint="eastAsia"/>
          <w:color w:val="000000" w:themeColor="text1"/>
        </w:rPr>
        <w:t>「諸外国におけるフェイクニュース及び誤情報への対応」第</w:t>
      </w:r>
      <w:r>
        <w:rPr>
          <w:color w:val="000000" w:themeColor="text1"/>
        </w:rPr>
        <w:t>8</w:t>
      </w:r>
      <w:r>
        <w:rPr>
          <w:rFonts w:hint="eastAsia"/>
          <w:color w:val="000000" w:themeColor="text1"/>
        </w:rPr>
        <w:t>回プラットフォームサービスに関する研究会</w:t>
      </w:r>
      <w:r>
        <w:rPr>
          <w:color w:val="000000" w:themeColor="text1"/>
        </w:rPr>
        <w:t>(2019</w:t>
      </w:r>
      <w:r>
        <w:rPr>
          <w:rFonts w:hint="eastAsia"/>
          <w:color w:val="000000" w:themeColor="text1"/>
        </w:rPr>
        <w:t>年</w:t>
      </w:r>
      <w:r>
        <w:rPr>
          <w:color w:val="000000" w:themeColor="text1"/>
        </w:rPr>
        <w:t>)</w:t>
      </w:r>
      <w:r>
        <w:rPr>
          <w:rFonts w:hint="eastAsia"/>
          <w:color w:val="000000" w:themeColor="text1"/>
        </w:rPr>
        <w:t>40-47頁</w:t>
      </w:r>
      <w:r>
        <w:rPr>
          <w:color w:val="000000" w:themeColor="text1"/>
        </w:rPr>
        <w:t>[https://www.soumu.go.jp/main_content/000621621.pdf](2021</w:t>
      </w:r>
      <w:r>
        <w:rPr>
          <w:rFonts w:hint="eastAsia"/>
          <w:color w:val="000000" w:themeColor="text1"/>
        </w:rPr>
        <w:t>年２月20日閲覧</w:t>
      </w:r>
      <w:r>
        <w:rPr>
          <w:color w:val="000000" w:themeColor="text1"/>
        </w:rPr>
        <w:t>)</w:t>
      </w:r>
      <w:r>
        <w:rPr>
          <w:rFonts w:hint="eastAsia"/>
          <w:color w:val="000000" w:themeColor="text1"/>
        </w:rPr>
        <w:t>。</w:t>
      </w:r>
    </w:p>
  </w:footnote>
  <w:footnote w:id="48">
    <w:p w14:paraId="5D22DB78" w14:textId="03A88C10" w:rsidR="00657F8D" w:rsidRPr="00BD3D82" w:rsidRDefault="00657F8D" w:rsidP="00BD3D82">
      <w:pPr>
        <w:pStyle w:val="a3"/>
        <w:rPr>
          <w:rFonts w:hint="eastAsia"/>
          <w:color w:val="000000" w:themeColor="text1"/>
        </w:rPr>
      </w:pPr>
      <w:r>
        <w:rPr>
          <w:rStyle w:val="a5"/>
        </w:rPr>
        <w:footnoteRef/>
      </w:r>
      <w:r>
        <w:t xml:space="preserve"> </w:t>
      </w:r>
      <w:r>
        <w:rPr>
          <w:rFonts w:hint="eastAsia"/>
        </w:rPr>
        <w:t>この規定については、憲法評議会において条件付きで合憲の判断が下された。すなわち、配信コンテンツを削除できることに鑑みると、その不正確さや誤解を招く</w:t>
      </w:r>
      <w:r>
        <w:t xml:space="preserve"> </w:t>
      </w:r>
      <w:r>
        <w:rPr>
          <w:rFonts w:hint="eastAsia"/>
        </w:rPr>
        <w:t>性質、投票の真正性を損なうリスクが明⽩である場合にのみ許されるのである。三菱総合研究所、前掲注（47）、41頁。</w:t>
      </w:r>
    </w:p>
  </w:footnote>
  <w:footnote w:id="49">
    <w:p w14:paraId="1D4A73CC" w14:textId="5513F8BE" w:rsidR="00657F8D" w:rsidRDefault="00657F8D" w:rsidP="00BD3D82">
      <w:pPr>
        <w:pStyle w:val="a3"/>
      </w:pPr>
      <w:r>
        <w:rPr>
          <w:rStyle w:val="a5"/>
        </w:rPr>
        <w:footnoteRef/>
      </w:r>
      <w:r>
        <w:t xml:space="preserve"> </w:t>
      </w:r>
      <w:r>
        <w:rPr>
          <w:rFonts w:hint="eastAsia"/>
        </w:rPr>
        <w:t>鈴木秀美「ドイツの</w:t>
      </w:r>
      <w:r>
        <w:t>SNS</w:t>
      </w:r>
      <w:r>
        <w:rPr>
          <w:rFonts w:hint="eastAsia"/>
        </w:rPr>
        <w:t>対策法と表現の自由」慶應義塾大学メディア・コミュニケーション研究所紀要</w:t>
      </w:r>
      <w:r>
        <w:t>68</w:t>
      </w:r>
      <w:r>
        <w:rPr>
          <w:rFonts w:hint="eastAsia"/>
        </w:rPr>
        <w:t>号（</w:t>
      </w:r>
      <w:r>
        <w:t>2018</w:t>
      </w:r>
      <w:r>
        <w:rPr>
          <w:rFonts w:hint="eastAsia"/>
        </w:rPr>
        <w:t>年）</w:t>
      </w:r>
      <w:r>
        <w:t>1-12</w:t>
      </w:r>
      <w:r>
        <w:rPr>
          <w:rFonts w:hint="eastAsia"/>
        </w:rPr>
        <w:t>頁。</w:t>
      </w:r>
    </w:p>
  </w:footnote>
  <w:footnote w:id="50">
    <w:p w14:paraId="77A984D5" w14:textId="1D2ECF64" w:rsidR="00657F8D" w:rsidRDefault="00657F8D" w:rsidP="00BD3D82">
      <w:pPr>
        <w:pStyle w:val="a3"/>
        <w:rPr>
          <w:rFonts w:hint="eastAsia"/>
        </w:rPr>
      </w:pPr>
      <w:r>
        <w:rPr>
          <w:rStyle w:val="a5"/>
        </w:rPr>
        <w:footnoteRef/>
      </w:r>
      <w:r>
        <w:rPr>
          <w:rFonts w:hint="eastAsia"/>
        </w:rPr>
        <w:t xml:space="preserve"> </w:t>
      </w:r>
      <w:r>
        <w:rPr>
          <w:rFonts w:hint="eastAsia"/>
        </w:rPr>
        <w:t>総務省「インターネット上のフェイクニュースや偽情報への対策」[https://www.soumu.go.jp/main_sosiki/joho_tsusin/d_syohi/ihoyugai_05.html]（2021年２月20日閲覧）。</w:t>
      </w:r>
    </w:p>
  </w:footnote>
  <w:footnote w:id="51">
    <w:p w14:paraId="3D59DA43" w14:textId="7BA029AB" w:rsidR="00657F8D" w:rsidRDefault="00657F8D" w:rsidP="00BD3D82">
      <w:pPr>
        <w:pStyle w:val="a3"/>
        <w:rPr>
          <w:rFonts w:hint="eastAsia"/>
        </w:rPr>
      </w:pPr>
      <w:r>
        <w:rPr>
          <w:rStyle w:val="a5"/>
        </w:rPr>
        <w:footnoteRef/>
      </w:r>
      <w:r>
        <w:rPr>
          <w:rFonts w:hint="eastAsia"/>
        </w:rPr>
        <w:t xml:space="preserve"> </w:t>
      </w:r>
      <w:r>
        <w:rPr>
          <w:rFonts w:hint="eastAsia"/>
        </w:rPr>
        <w:t>総務省、前掲注(9)、35-36頁。</w:t>
      </w:r>
    </w:p>
  </w:footnote>
  <w:footnote w:id="52">
    <w:p w14:paraId="3B1711FC" w14:textId="29F43431" w:rsidR="00657F8D" w:rsidRDefault="00657F8D" w:rsidP="00BD3D82">
      <w:pPr>
        <w:pStyle w:val="a3"/>
        <w:rPr>
          <w:rFonts w:hint="eastAsia"/>
        </w:rPr>
      </w:pPr>
      <w:r>
        <w:rPr>
          <w:rStyle w:val="a5"/>
        </w:rPr>
        <w:footnoteRef/>
      </w:r>
      <w:r>
        <w:rPr>
          <w:rFonts w:hint="eastAsia"/>
        </w:rPr>
        <w:t xml:space="preserve"> </w:t>
      </w:r>
      <w:r>
        <w:rPr>
          <w:rFonts w:hint="eastAsia"/>
        </w:rPr>
        <w:t>同上、36頁。</w:t>
      </w:r>
    </w:p>
  </w:footnote>
  <w:footnote w:id="53">
    <w:p w14:paraId="7F19BB9F" w14:textId="274A2E40" w:rsidR="00657F8D" w:rsidRDefault="00657F8D" w:rsidP="00BD3D82">
      <w:pPr>
        <w:pStyle w:val="a3"/>
        <w:rPr>
          <w:rFonts w:hint="eastAsia"/>
        </w:rPr>
      </w:pPr>
      <w:r>
        <w:rPr>
          <w:rStyle w:val="a5"/>
        </w:rPr>
        <w:footnoteRef/>
      </w:r>
      <w:r>
        <w:rPr>
          <w:rFonts w:hint="eastAsia"/>
        </w:rPr>
        <w:t xml:space="preserve"> </w:t>
      </w:r>
      <w:r>
        <w:rPr>
          <w:rFonts w:hint="eastAsia"/>
        </w:rPr>
        <w:t>同上。</w:t>
      </w:r>
    </w:p>
  </w:footnote>
  <w:footnote w:id="54">
    <w:p w14:paraId="193FC31E" w14:textId="1687878B" w:rsidR="00657F8D" w:rsidRDefault="00657F8D" w:rsidP="00BD3D82">
      <w:pPr>
        <w:pStyle w:val="a3"/>
        <w:rPr>
          <w:rFonts w:hint="eastAsia"/>
        </w:rPr>
      </w:pPr>
      <w:r>
        <w:rPr>
          <w:rStyle w:val="a5"/>
        </w:rPr>
        <w:footnoteRef/>
      </w:r>
      <w:r>
        <w:rPr>
          <w:rFonts w:hint="eastAsia"/>
        </w:rPr>
        <w:t xml:space="preserve"> </w:t>
      </w:r>
      <w:r>
        <w:rPr>
          <w:rFonts w:hint="eastAsia"/>
        </w:rPr>
        <w:t>同上。</w:t>
      </w:r>
    </w:p>
  </w:footnote>
  <w:footnote w:id="55">
    <w:p w14:paraId="3E2D0F38" w14:textId="7F29057F" w:rsidR="00657F8D" w:rsidRDefault="00657F8D" w:rsidP="00BD3D82">
      <w:pPr>
        <w:pStyle w:val="a3"/>
        <w:rPr>
          <w:rFonts w:hint="eastAsia"/>
        </w:rPr>
      </w:pPr>
      <w:r>
        <w:rPr>
          <w:rStyle w:val="a5"/>
        </w:rPr>
        <w:footnoteRef/>
      </w:r>
      <w:r>
        <w:rPr>
          <w:rFonts w:hint="eastAsia"/>
        </w:rPr>
        <w:t xml:space="preserve"> </w:t>
      </w:r>
      <w:r>
        <w:rPr>
          <w:rFonts w:hint="eastAsia"/>
        </w:rPr>
        <w:t>同上、37頁。</w:t>
      </w:r>
    </w:p>
  </w:footnote>
  <w:footnote w:id="56">
    <w:p w14:paraId="61ADAF75" w14:textId="63C4D225" w:rsidR="00657F8D" w:rsidRDefault="00657F8D" w:rsidP="00BD3D82">
      <w:pPr>
        <w:pStyle w:val="a3"/>
        <w:rPr>
          <w:rFonts w:hint="eastAsia"/>
        </w:rPr>
      </w:pPr>
      <w:r>
        <w:rPr>
          <w:rStyle w:val="a5"/>
        </w:rPr>
        <w:footnoteRef/>
      </w:r>
      <w:r>
        <w:rPr>
          <w:rFonts w:hint="eastAsia"/>
        </w:rPr>
        <w:t xml:space="preserve"> </w:t>
      </w:r>
      <w:r>
        <w:rPr>
          <w:rFonts w:hint="eastAsia"/>
        </w:rPr>
        <w:t>同上、38頁。</w:t>
      </w:r>
    </w:p>
  </w:footnote>
  <w:footnote w:id="57">
    <w:p w14:paraId="5F310CB8" w14:textId="10BEBCC5" w:rsidR="00657F8D" w:rsidRDefault="00657F8D" w:rsidP="00BD3D82">
      <w:pPr>
        <w:pStyle w:val="a3"/>
        <w:rPr>
          <w:rFonts w:hint="eastAsia"/>
        </w:rPr>
      </w:pPr>
      <w:r>
        <w:rPr>
          <w:rStyle w:val="a5"/>
        </w:rPr>
        <w:footnoteRef/>
      </w:r>
      <w:r>
        <w:rPr>
          <w:rFonts w:hint="eastAsia"/>
        </w:rPr>
        <w:t xml:space="preserve"> </w:t>
      </w:r>
      <w:r>
        <w:rPr>
          <w:rFonts w:hint="eastAsia"/>
        </w:rPr>
        <w:t>同上、38-40頁。</w:t>
      </w:r>
    </w:p>
  </w:footnote>
  <w:footnote w:id="58">
    <w:p w14:paraId="77C1DA4A" w14:textId="79F26DFC" w:rsidR="00657F8D" w:rsidRDefault="00657F8D" w:rsidP="00BD3D82">
      <w:pPr>
        <w:pStyle w:val="a3"/>
        <w:rPr>
          <w:rFonts w:hint="eastAsia"/>
        </w:rPr>
      </w:pPr>
      <w:r>
        <w:rPr>
          <w:rStyle w:val="a5"/>
        </w:rPr>
        <w:footnoteRef/>
      </w:r>
      <w:r>
        <w:rPr>
          <w:rFonts w:hint="eastAsia"/>
        </w:rPr>
        <w:t xml:space="preserve"> </w:t>
      </w:r>
      <w:r>
        <w:rPr>
          <w:rFonts w:hint="eastAsia"/>
        </w:rPr>
        <w:t>同上、42-43頁。</w:t>
      </w:r>
    </w:p>
  </w:footnote>
  <w:footnote w:id="59">
    <w:p w14:paraId="62E034DA" w14:textId="2541C251" w:rsidR="00657F8D" w:rsidRDefault="00657F8D" w:rsidP="00BD3D82">
      <w:pPr>
        <w:pStyle w:val="a3"/>
        <w:rPr>
          <w:rFonts w:hint="eastAsia"/>
        </w:rPr>
      </w:pPr>
      <w:r>
        <w:rPr>
          <w:rStyle w:val="a5"/>
        </w:rPr>
        <w:footnoteRef/>
      </w:r>
      <w:r>
        <w:rPr>
          <w:rFonts w:hint="eastAsia"/>
        </w:rPr>
        <w:t xml:space="preserve"> </w:t>
      </w:r>
      <w:r>
        <w:rPr>
          <w:rFonts w:hint="eastAsia"/>
        </w:rPr>
        <w:t>同上、43-44頁。</w:t>
      </w:r>
    </w:p>
  </w:footnote>
  <w:footnote w:id="60">
    <w:p w14:paraId="4E5885A8" w14:textId="66C86FD8" w:rsidR="00657F8D" w:rsidRDefault="00657F8D" w:rsidP="00BD3D82">
      <w:pPr>
        <w:pStyle w:val="a3"/>
        <w:rPr>
          <w:rFonts w:hint="eastAsia"/>
        </w:rPr>
      </w:pPr>
      <w:r>
        <w:rPr>
          <w:rStyle w:val="a5"/>
        </w:rPr>
        <w:footnoteRef/>
      </w:r>
      <w:r>
        <w:rPr>
          <w:rFonts w:hint="eastAsia"/>
        </w:rPr>
        <w:t xml:space="preserve"> </w:t>
      </w:r>
      <w:r>
        <w:rPr>
          <w:rFonts w:hint="eastAsia"/>
        </w:rPr>
        <w:t>同上、44-46頁。</w:t>
      </w:r>
    </w:p>
  </w:footnote>
  <w:footnote w:id="61">
    <w:p w14:paraId="350C5E8A" w14:textId="3277AA2E" w:rsidR="00657F8D" w:rsidRDefault="00657F8D" w:rsidP="00BD3D82">
      <w:pPr>
        <w:pStyle w:val="a3"/>
        <w:rPr>
          <w:rFonts w:hint="eastAsia"/>
        </w:rPr>
      </w:pPr>
      <w:r>
        <w:rPr>
          <w:rStyle w:val="a5"/>
        </w:rPr>
        <w:footnoteRef/>
      </w:r>
      <w:r>
        <w:rPr>
          <w:rFonts w:hint="eastAsia"/>
        </w:rPr>
        <w:t xml:space="preserve"> </w:t>
      </w:r>
      <w:r>
        <w:rPr>
          <w:rFonts w:hint="eastAsia"/>
        </w:rPr>
        <w:t>同上、47頁。</w:t>
      </w:r>
    </w:p>
  </w:footnote>
  <w:footnote w:id="62">
    <w:p w14:paraId="3693AC2D" w14:textId="33C87217" w:rsidR="00657F8D" w:rsidRDefault="00657F8D" w:rsidP="00BD3D82">
      <w:pPr>
        <w:pStyle w:val="a3"/>
        <w:rPr>
          <w:rFonts w:hint="eastAsia"/>
        </w:rPr>
      </w:pPr>
      <w:r>
        <w:rPr>
          <w:rStyle w:val="a5"/>
        </w:rPr>
        <w:footnoteRef/>
      </w:r>
      <w:r>
        <w:rPr>
          <w:rFonts w:hint="eastAsia"/>
        </w:rPr>
        <w:t xml:space="preserve"> </w:t>
      </w:r>
      <w:r>
        <w:rPr>
          <w:rFonts w:hint="eastAsia"/>
        </w:rPr>
        <w:t>同上、48-49頁。</w:t>
      </w:r>
    </w:p>
  </w:footnote>
  <w:footnote w:id="63">
    <w:p w14:paraId="5A40FE3B" w14:textId="2BCDABDB" w:rsidR="00657F8D" w:rsidRDefault="00657F8D" w:rsidP="00BD3D82">
      <w:pPr>
        <w:pStyle w:val="a3"/>
        <w:rPr>
          <w:rFonts w:hint="eastAsia"/>
        </w:rPr>
      </w:pPr>
      <w:r>
        <w:rPr>
          <w:rStyle w:val="a5"/>
        </w:rPr>
        <w:footnoteRef/>
      </w:r>
      <w:r>
        <w:rPr>
          <w:rFonts w:hint="eastAsia"/>
        </w:rPr>
        <w:t xml:space="preserve"> </w:t>
      </w:r>
      <w:r>
        <w:rPr>
          <w:rFonts w:hint="eastAsia"/>
        </w:rPr>
        <w:t>同上、49-50頁。</w:t>
      </w:r>
    </w:p>
  </w:footnote>
  <w:footnote w:id="64">
    <w:p w14:paraId="6D2FA594" w14:textId="2EA5DC08" w:rsidR="00657F8D" w:rsidRDefault="00657F8D" w:rsidP="00BD3D82">
      <w:pPr>
        <w:pStyle w:val="a3"/>
      </w:pPr>
      <w:r>
        <w:rPr>
          <w:rStyle w:val="a5"/>
        </w:rPr>
        <w:footnoteRef/>
      </w:r>
      <w:r>
        <w:t xml:space="preserve"> </w:t>
      </w:r>
      <w:r w:rsidRPr="004E776F">
        <w:rPr>
          <w:rFonts w:hint="eastAsia"/>
          <w:color w:val="000000" w:themeColor="text1"/>
          <w:szCs w:val="21"/>
        </w:rPr>
        <w:t>総務省</w:t>
      </w:r>
      <w:r>
        <w:rPr>
          <w:rFonts w:hint="eastAsia"/>
          <w:color w:val="000000" w:themeColor="text1"/>
          <w:szCs w:val="21"/>
        </w:rPr>
        <w:t>、前掲注(9)、</w:t>
      </w:r>
      <w:r>
        <w:rPr>
          <w:szCs w:val="21"/>
        </w:rPr>
        <w:t>35-36</w:t>
      </w:r>
      <w:r>
        <w:rPr>
          <w:rFonts w:hint="eastAsia"/>
          <w:szCs w:val="21"/>
        </w:rPr>
        <w:t>頁</w:t>
      </w:r>
      <w:r>
        <w:rPr>
          <w:rFonts w:hint="eastAsia"/>
          <w:color w:val="000000" w:themeColor="text1"/>
          <w:szCs w:val="21"/>
        </w:rPr>
        <w:t>。</w:t>
      </w:r>
      <w:r>
        <w:t xml:space="preserve"> </w:t>
      </w:r>
    </w:p>
  </w:footnote>
  <w:footnote w:id="65">
    <w:p w14:paraId="66CFE1E7" w14:textId="0C46BFB0" w:rsidR="00657F8D" w:rsidRPr="00063590" w:rsidRDefault="00657F8D" w:rsidP="003B2608">
      <w:pPr>
        <w:jc w:val="left"/>
        <w:rPr>
          <w:rFonts w:eastAsiaTheme="minorHAnsi" w:hint="eastAsia"/>
          <w:color w:val="000000"/>
          <w:szCs w:val="21"/>
          <w:bdr w:val="none" w:sz="0" w:space="0" w:color="auto" w:frame="1"/>
        </w:rPr>
      </w:pPr>
      <w:r>
        <w:rPr>
          <w:rStyle w:val="a5"/>
        </w:rPr>
        <w:footnoteRef/>
      </w:r>
      <w:r>
        <w:t xml:space="preserve"> </w:t>
      </w:r>
      <w:r w:rsidRPr="003B2608">
        <w:rPr>
          <w:rStyle w:val="normaltextrun"/>
          <w:rFonts w:eastAsiaTheme="minorHAnsi" w:hint="eastAsia"/>
          <w:color w:val="000000"/>
          <w:szCs w:val="21"/>
          <w:bdr w:val="none" w:sz="0" w:space="0" w:color="auto" w:frame="1"/>
        </w:rPr>
        <w:t>生貝</w:t>
      </w:r>
      <w:r>
        <w:rPr>
          <w:rStyle w:val="normaltextrun"/>
          <w:rFonts w:eastAsiaTheme="minorHAnsi" w:hint="eastAsia"/>
          <w:color w:val="000000"/>
          <w:szCs w:val="21"/>
          <w:bdr w:val="none" w:sz="0" w:space="0" w:color="auto" w:frame="1"/>
        </w:rPr>
        <w:t>直人『情報社会と共同規制』（勁草書房、</w:t>
      </w:r>
      <w:r w:rsidRPr="003B2608">
        <w:rPr>
          <w:rStyle w:val="normaltextrun"/>
          <w:rFonts w:eastAsiaTheme="minorHAnsi" w:hint="eastAsia"/>
          <w:color w:val="000000"/>
          <w:szCs w:val="21"/>
          <w:bdr w:val="none" w:sz="0" w:space="0" w:color="auto" w:frame="1"/>
        </w:rPr>
        <w:t>2011</w:t>
      </w:r>
      <w:r>
        <w:rPr>
          <w:rStyle w:val="normaltextrun"/>
          <w:rFonts w:eastAsiaTheme="minorHAnsi" w:hint="eastAsia"/>
          <w:color w:val="000000"/>
          <w:szCs w:val="21"/>
          <w:bdr w:val="none" w:sz="0" w:space="0" w:color="auto" w:frame="1"/>
        </w:rPr>
        <w:t>年）</w:t>
      </w:r>
      <w:r w:rsidRPr="003B2608">
        <w:rPr>
          <w:rStyle w:val="normaltextrun"/>
          <w:rFonts w:eastAsiaTheme="minorHAnsi" w:hint="eastAsia"/>
          <w:color w:val="000000"/>
          <w:szCs w:val="21"/>
          <w:bdr w:val="none" w:sz="0" w:space="0" w:color="auto" w:frame="1"/>
        </w:rPr>
        <w:t>25頁</w:t>
      </w:r>
      <w:r>
        <w:rPr>
          <w:rStyle w:val="normaltextrun"/>
          <w:rFonts w:eastAsiaTheme="minorHAnsi" w:hint="eastAsia"/>
          <w:color w:val="000000"/>
          <w:szCs w:val="21"/>
          <w:bdr w:val="none" w:sz="0" w:space="0" w:color="auto" w:frame="1"/>
        </w:rPr>
        <w:t>では、著者が</w:t>
      </w:r>
      <w:proofErr w:type="spellStart"/>
      <w:r w:rsidRPr="003B2608">
        <w:rPr>
          <w:rStyle w:val="normaltextrun"/>
          <w:rFonts w:eastAsiaTheme="minorHAnsi" w:hint="eastAsia"/>
          <w:color w:val="000000"/>
          <w:szCs w:val="21"/>
          <w:bdr w:val="none" w:sz="0" w:space="0" w:color="auto" w:frame="1"/>
        </w:rPr>
        <w:t>Ofcom</w:t>
      </w:r>
      <w:proofErr w:type="spellEnd"/>
      <w:r w:rsidRPr="003B2608">
        <w:rPr>
          <w:rStyle w:val="normaltextrun"/>
          <w:rFonts w:eastAsiaTheme="minorHAnsi" w:hint="eastAsia"/>
          <w:color w:val="000000"/>
          <w:szCs w:val="21"/>
          <w:bdr w:val="none" w:sz="0" w:space="0" w:color="auto" w:frame="1"/>
        </w:rPr>
        <w:t>の規定する規制類型を整理</w:t>
      </w:r>
      <w:r>
        <w:rPr>
          <w:rStyle w:val="normaltextrun"/>
          <w:rFonts w:eastAsiaTheme="minorHAnsi" w:hint="eastAsia"/>
          <w:color w:val="000000"/>
          <w:szCs w:val="21"/>
          <w:bdr w:val="none" w:sz="0" w:space="0" w:color="auto" w:frame="1"/>
        </w:rPr>
        <w:t>し、</w:t>
      </w:r>
      <w:r w:rsidRPr="003B2608">
        <w:rPr>
          <w:rStyle w:val="normaltextrun"/>
          <w:rFonts w:eastAsiaTheme="minorHAnsi" w:hint="eastAsia"/>
          <w:color w:val="000000"/>
          <w:szCs w:val="21"/>
          <w:bdr w:val="none" w:sz="0" w:space="0" w:color="auto" w:frame="1"/>
        </w:rPr>
        <w:t>「自主規制と法的規制の両方により構成されるスキームであり、法的機関と産業界が、特定の問題に対する解決策を共同で管理している。責任分担の方法は多様だが、典型的には政府や規制機関は求められた目的を達成するために必要な補強力を保持している。」</w:t>
      </w:r>
      <w:r>
        <w:rPr>
          <w:rStyle w:val="normaltextrun"/>
          <w:rFonts w:eastAsiaTheme="minorHAnsi" w:hint="eastAsia"/>
          <w:color w:val="000000"/>
          <w:szCs w:val="21"/>
          <w:bdr w:val="none" w:sz="0" w:space="0" w:color="auto" w:frame="1"/>
        </w:rPr>
        <w:t>とした；</w:t>
      </w:r>
      <w:r w:rsidRPr="003B2608">
        <w:rPr>
          <w:rFonts w:eastAsiaTheme="minorHAnsi" w:cs="ＭＳ ゴシック" w:hint="eastAsia"/>
          <w:color w:val="000000" w:themeColor="text1"/>
          <w:szCs w:val="21"/>
        </w:rPr>
        <w:t>「強制力を持つ法令上の措置と、もっとも関係の深い諸アクターによって取られた措置とを結びつけ、彼らの実務上の経験を利用するもの」（ヨーロッパガバナンス白書）</w:t>
      </w:r>
      <w:r w:rsidRPr="00DE2965">
        <w:rPr>
          <w:rFonts w:hint="eastAsia"/>
        </w:rPr>
        <w:t>曽我部真裕「メディア法における共同規制</w:t>
      </w:r>
      <w:r w:rsidRPr="00DE2965">
        <w:t>(コレギュレーション)について」(大石眞ほか『各国憲法の差異と接点(初宿正典先生還暦記念論文集)』</w:t>
      </w:r>
      <w:r>
        <w:rPr>
          <w:rFonts w:hint="eastAsia"/>
        </w:rPr>
        <w:t>（成文堂、</w:t>
      </w:r>
      <w:r w:rsidRPr="00DE2965">
        <w:t>2010年</w:t>
      </w:r>
      <w:r>
        <w:t>）</w:t>
      </w:r>
      <w:r>
        <w:rPr>
          <w:rFonts w:hint="eastAsia"/>
        </w:rPr>
        <w:t>643頁</w:t>
      </w:r>
      <w:r w:rsidRPr="005D4C13">
        <w:rPr>
          <w:rFonts w:eastAsiaTheme="minorHAnsi" w:cs="ＭＳ ゴシック" w:hint="eastAsia"/>
          <w:color w:val="000000" w:themeColor="text1"/>
          <w:szCs w:val="21"/>
        </w:rPr>
        <w:t>)</w:t>
      </w:r>
      <w:r>
        <w:rPr>
          <w:rFonts w:eastAsiaTheme="minorHAnsi" w:cs="ＭＳ ゴシック" w:hint="eastAsia"/>
          <w:color w:val="000000" w:themeColor="text1"/>
          <w:szCs w:val="21"/>
        </w:rPr>
        <w:t>。</w:t>
      </w:r>
    </w:p>
  </w:footnote>
  <w:footnote w:id="66">
    <w:p w14:paraId="501A57F9" w14:textId="16094B46" w:rsidR="00657F8D" w:rsidRDefault="00657F8D" w:rsidP="00BD3D82">
      <w:pPr>
        <w:pStyle w:val="a3"/>
        <w:rPr>
          <w:rFonts w:hint="eastAsia"/>
          <w:sz w:val="20"/>
          <w:szCs w:val="20"/>
        </w:rPr>
      </w:pPr>
      <w:r>
        <w:rPr>
          <w:rStyle w:val="a5"/>
        </w:rPr>
        <w:footnoteRef/>
      </w:r>
      <w:r>
        <w:t xml:space="preserve"> </w:t>
      </w:r>
      <w:r>
        <w:rPr>
          <w:rFonts w:hint="eastAsia"/>
        </w:rPr>
        <w:t>インターネットの共同規制について、生貝直人、前掲注(65)。</w:t>
      </w:r>
    </w:p>
  </w:footnote>
  <w:footnote w:id="67">
    <w:p w14:paraId="1DADCB5E" w14:textId="169E9F77" w:rsidR="00657F8D" w:rsidRDefault="00657F8D" w:rsidP="00BD3D82">
      <w:pPr>
        <w:pStyle w:val="a3"/>
      </w:pPr>
      <w:r>
        <w:rPr>
          <w:rStyle w:val="a5"/>
        </w:rPr>
        <w:footnoteRef/>
      </w:r>
      <w:r>
        <w:t xml:space="preserve"> </w:t>
      </w:r>
      <w:r>
        <w:rPr>
          <w:rFonts w:hint="eastAsia"/>
        </w:rPr>
        <w:t>同上、1</w:t>
      </w:r>
      <w:r>
        <w:t>1-12</w:t>
      </w:r>
      <w:r>
        <w:rPr>
          <w:rFonts w:hint="eastAsia"/>
        </w:rPr>
        <w:t>頁。</w:t>
      </w:r>
    </w:p>
  </w:footnote>
  <w:footnote w:id="68">
    <w:p w14:paraId="2F5F9BCF" w14:textId="2841F391" w:rsidR="00657F8D" w:rsidRDefault="00657F8D" w:rsidP="00BD3D82">
      <w:pPr>
        <w:pStyle w:val="a3"/>
      </w:pPr>
      <w:r>
        <w:rPr>
          <w:rStyle w:val="a5"/>
        </w:rPr>
        <w:footnoteRef/>
      </w:r>
      <w:r>
        <w:t xml:space="preserve"> </w:t>
      </w:r>
      <w:r>
        <w:rPr>
          <w:rFonts w:hint="eastAsia"/>
        </w:rPr>
        <w:t>例えば、携帯電話のフィルタリングの事例においては、自主規制団体たるモバイルコンテンツ審査・監視機構（</w:t>
      </w:r>
      <w:r>
        <w:t>EMA</w:t>
      </w:r>
      <w:r>
        <w:rPr>
          <w:rFonts w:hint="eastAsia"/>
        </w:rPr>
        <w:t>）が、一定の類型（アダルト、出会い、ギャンブル、コミュニケーション）のサイト・アプリのうち、青少年にとって適切な配慮がなされているものについて認定をして、その認定がフィルタリング解除の基準として認められていた。しかしながら、グローバルなソーシャルメディア企業や国内でも新興の事業者が</w:t>
      </w:r>
      <w:r>
        <w:t>EMA</w:t>
      </w:r>
      <w:r>
        <w:rPr>
          <w:rFonts w:hint="eastAsia"/>
        </w:rPr>
        <w:t>に加入せず、フィルタリング規制の実効性が大きく低下した。曽我部真裕「共同規制</w:t>
      </w:r>
      <w:r>
        <w:t>―</w:t>
      </w:r>
      <w:r>
        <w:rPr>
          <w:rFonts w:hint="eastAsia"/>
        </w:rPr>
        <w:t>携帯電話におけるフィルタリングの事例</w:t>
      </w:r>
      <w:r>
        <w:t>―</w:t>
      </w:r>
      <w:r>
        <w:rPr>
          <w:rFonts w:hint="eastAsia"/>
        </w:rPr>
        <w:t>」ドイツ憲法判例研究会編『〈講座　憲法の規範力〉第</w:t>
      </w:r>
      <w:r>
        <w:t>4</w:t>
      </w:r>
      <w:r>
        <w:rPr>
          <w:rFonts w:hint="eastAsia"/>
        </w:rPr>
        <w:t>巻憲法の規範力とメディア法』（信山社、</w:t>
      </w:r>
      <w:r>
        <w:t>2015</w:t>
      </w:r>
      <w:r>
        <w:rPr>
          <w:rFonts w:hint="eastAsia"/>
        </w:rPr>
        <w:t>年）</w:t>
      </w:r>
      <w:r>
        <w:t>87-105</w:t>
      </w:r>
      <w:r>
        <w:rPr>
          <w:rFonts w:hint="eastAsia"/>
        </w:rPr>
        <w:t>頁。</w:t>
      </w:r>
    </w:p>
  </w:footnote>
  <w:footnote w:id="69">
    <w:p w14:paraId="01E912B2" w14:textId="11346F39" w:rsidR="00657F8D" w:rsidRDefault="00657F8D" w:rsidP="00BD3D82">
      <w:pPr>
        <w:pStyle w:val="a3"/>
      </w:pPr>
      <w:r>
        <w:rPr>
          <w:rStyle w:val="a5"/>
        </w:rPr>
        <w:footnoteRef/>
      </w:r>
      <w:r>
        <w:t xml:space="preserve"> </w:t>
      </w:r>
      <w:r>
        <w:rPr>
          <w:rFonts w:hint="eastAsia"/>
        </w:rPr>
        <w:t>生貝、前掲注(65)、</w:t>
      </w:r>
      <w:r>
        <w:t>17-18</w:t>
      </w:r>
      <w:r>
        <w:rPr>
          <w:rFonts w:hint="eastAsia"/>
        </w:rPr>
        <w:t>頁。</w:t>
      </w:r>
    </w:p>
  </w:footnote>
  <w:footnote w:id="70">
    <w:p w14:paraId="657ED682" w14:textId="1EE5B7F4" w:rsidR="00657F8D" w:rsidRDefault="00657F8D" w:rsidP="00BD3D82">
      <w:pPr>
        <w:pStyle w:val="a3"/>
      </w:pPr>
      <w:r>
        <w:rPr>
          <w:rStyle w:val="a5"/>
        </w:rPr>
        <w:footnoteRef/>
      </w:r>
      <w:r>
        <w:rPr>
          <w:rFonts w:hint="eastAsia"/>
        </w:rPr>
        <w:t xml:space="preserve"> </w:t>
      </w:r>
      <w:r>
        <w:rPr>
          <w:rFonts w:hint="eastAsia"/>
        </w:rPr>
        <w:t>曽我部、前掲注(68)、87-105頁。</w:t>
      </w:r>
    </w:p>
  </w:footnote>
  <w:footnote w:id="71">
    <w:p w14:paraId="4DF81AA3" w14:textId="62C68014" w:rsidR="00657F8D" w:rsidRDefault="00657F8D" w:rsidP="00BD3D82">
      <w:pPr>
        <w:pStyle w:val="a3"/>
      </w:pPr>
      <w:r>
        <w:rPr>
          <w:rStyle w:val="a5"/>
        </w:rPr>
        <w:footnoteRef/>
      </w:r>
      <w:r>
        <w:t xml:space="preserve"> </w:t>
      </w:r>
      <w:r>
        <w:rPr>
          <w:rFonts w:hint="eastAsia"/>
        </w:rPr>
        <w:t>生貝、前掲注(65)、</w:t>
      </w:r>
      <w:r>
        <w:t>17-18</w:t>
      </w:r>
      <w:r>
        <w:rPr>
          <w:rFonts w:hint="eastAsia"/>
        </w:rPr>
        <w:t>頁。</w:t>
      </w:r>
    </w:p>
  </w:footnote>
  <w:footnote w:id="72">
    <w:p w14:paraId="4222AECA" w14:textId="742C6384" w:rsidR="00657F8D" w:rsidRDefault="00657F8D" w:rsidP="00BD3D82">
      <w:pPr>
        <w:pStyle w:val="a3"/>
      </w:pPr>
      <w:r>
        <w:rPr>
          <w:rStyle w:val="a5"/>
        </w:rPr>
        <w:footnoteRef/>
      </w:r>
      <w:r>
        <w:t xml:space="preserve"> </w:t>
      </w:r>
      <w:r>
        <w:rPr>
          <w:rFonts w:hint="eastAsia"/>
        </w:rPr>
        <w:t>同上、</w:t>
      </w:r>
      <w:r>
        <w:t>18</w:t>
      </w:r>
      <w:r>
        <w:rPr>
          <w:rFonts w:hint="eastAsia"/>
        </w:rPr>
        <w:t>頁。</w:t>
      </w:r>
    </w:p>
  </w:footnote>
  <w:footnote w:id="73">
    <w:p w14:paraId="4798517A" w14:textId="239B9E99" w:rsidR="00657F8D" w:rsidRDefault="00657F8D" w:rsidP="00BD3D82">
      <w:pPr>
        <w:pStyle w:val="a3"/>
      </w:pPr>
      <w:r>
        <w:rPr>
          <w:rStyle w:val="a5"/>
        </w:rPr>
        <w:footnoteRef/>
      </w:r>
      <w:r>
        <w:t xml:space="preserve"> </w:t>
      </w:r>
      <w:r>
        <w:rPr>
          <w:rFonts w:hint="eastAsia"/>
        </w:rPr>
        <w:t>同上、</w:t>
      </w:r>
      <w:r>
        <w:t>18</w:t>
      </w:r>
      <w:r>
        <w:rPr>
          <w:rFonts w:hint="eastAsia"/>
        </w:rPr>
        <w:t>頁。</w:t>
      </w:r>
    </w:p>
  </w:footnote>
  <w:footnote w:id="74">
    <w:p w14:paraId="397A83D9" w14:textId="3829DDC5" w:rsidR="00657F8D" w:rsidRDefault="00657F8D" w:rsidP="00BD3D82">
      <w:pPr>
        <w:pStyle w:val="a3"/>
      </w:pPr>
      <w:r>
        <w:rPr>
          <w:rStyle w:val="a5"/>
        </w:rPr>
        <w:footnoteRef/>
      </w:r>
      <w:r>
        <w:t xml:space="preserve"> </w:t>
      </w:r>
      <w:r>
        <w:rPr>
          <w:rFonts w:hint="eastAsia"/>
        </w:rPr>
        <w:t>同上、</w:t>
      </w:r>
      <w:r>
        <w:t>18-19</w:t>
      </w:r>
      <w:r>
        <w:rPr>
          <w:rFonts w:hint="eastAsia"/>
        </w:rPr>
        <w:t>頁。</w:t>
      </w:r>
    </w:p>
  </w:footnote>
  <w:footnote w:id="75">
    <w:p w14:paraId="2C20DD19" w14:textId="754CF5EA" w:rsidR="00657F8D" w:rsidRPr="003B2608" w:rsidRDefault="00657F8D" w:rsidP="00BD3D82">
      <w:pPr>
        <w:pStyle w:val="a3"/>
        <w:rPr>
          <w:szCs w:val="21"/>
        </w:rPr>
      </w:pPr>
      <w:r w:rsidRPr="003B2608">
        <w:rPr>
          <w:rStyle w:val="a5"/>
          <w:szCs w:val="21"/>
        </w:rPr>
        <w:footnoteRef/>
      </w:r>
      <w:r w:rsidRPr="003B2608">
        <w:rPr>
          <w:szCs w:val="21"/>
        </w:rPr>
        <w:t xml:space="preserve"> </w:t>
      </w:r>
      <w:r>
        <w:rPr>
          <w:rFonts w:hint="eastAsia"/>
          <w:color w:val="000000" w:themeColor="text1"/>
          <w:szCs w:val="21"/>
        </w:rPr>
        <w:t>同上、</w:t>
      </w:r>
      <w:r w:rsidRPr="003B2608">
        <w:rPr>
          <w:color w:val="000000" w:themeColor="text1"/>
          <w:szCs w:val="21"/>
        </w:rPr>
        <w:t>20-21</w:t>
      </w:r>
      <w:r w:rsidRPr="003B2608">
        <w:rPr>
          <w:rFonts w:hint="eastAsia"/>
          <w:color w:val="000000" w:themeColor="text1"/>
          <w:szCs w:val="21"/>
        </w:rPr>
        <w:t>頁</w:t>
      </w:r>
      <w:r>
        <w:rPr>
          <w:rFonts w:hint="eastAsia"/>
          <w:color w:val="000000" w:themeColor="text1"/>
          <w:szCs w:val="21"/>
        </w:rPr>
        <w:t>。</w:t>
      </w:r>
    </w:p>
  </w:footnote>
  <w:footnote w:id="76">
    <w:p w14:paraId="03CEC394" w14:textId="064F2963" w:rsidR="00657F8D" w:rsidRDefault="00657F8D" w:rsidP="00BD3D82">
      <w:pPr>
        <w:pStyle w:val="a3"/>
      </w:pPr>
      <w:r w:rsidRPr="003B2608">
        <w:rPr>
          <w:rStyle w:val="a5"/>
          <w:szCs w:val="21"/>
        </w:rPr>
        <w:footnoteRef/>
      </w:r>
      <w:r w:rsidRPr="003B2608">
        <w:rPr>
          <w:szCs w:val="21"/>
        </w:rPr>
        <w:t xml:space="preserve"> </w:t>
      </w:r>
      <w:r>
        <w:rPr>
          <w:rFonts w:hint="eastAsia"/>
          <w:color w:val="000000" w:themeColor="text1"/>
          <w:szCs w:val="21"/>
        </w:rPr>
        <w:t>同上、</w:t>
      </w:r>
      <w:r w:rsidRPr="003B2608">
        <w:rPr>
          <w:color w:val="000000" w:themeColor="text1"/>
          <w:szCs w:val="21"/>
        </w:rPr>
        <w:t>20-21</w:t>
      </w:r>
      <w:r w:rsidRPr="003B2608">
        <w:rPr>
          <w:rFonts w:hint="eastAsia"/>
          <w:color w:val="000000" w:themeColor="text1"/>
          <w:szCs w:val="21"/>
        </w:rPr>
        <w:t>頁</w:t>
      </w:r>
      <w:r>
        <w:rPr>
          <w:rFonts w:hint="eastAsia"/>
          <w:color w:val="000000" w:themeColor="text1"/>
          <w:szCs w:val="21"/>
        </w:rPr>
        <w:t>。</w:t>
      </w:r>
    </w:p>
  </w:footnote>
  <w:footnote w:id="77">
    <w:p w14:paraId="4D8B7E75" w14:textId="77777777" w:rsidR="00657F8D" w:rsidRPr="006301D6" w:rsidRDefault="00657F8D" w:rsidP="00E342DC">
      <w:pPr>
        <w:pStyle w:val="a3"/>
        <w:rPr>
          <w:rFonts w:hint="eastAsia"/>
          <w:i/>
          <w:iCs/>
          <w:lang w:val="en-GB"/>
        </w:rPr>
      </w:pPr>
      <w:r>
        <w:rPr>
          <w:rStyle w:val="a5"/>
        </w:rPr>
        <w:footnoteRef/>
      </w:r>
      <w:r>
        <w:t xml:space="preserve"> </w:t>
      </w:r>
      <w:r>
        <w:rPr>
          <w:rFonts w:hint="eastAsia"/>
        </w:rPr>
        <w:t>原田大樹『自主規制の公法学的研究』（有斐閣、2007年）5</w:t>
      </w:r>
      <w:r>
        <w:t>3-65</w:t>
      </w:r>
      <w:r>
        <w:rPr>
          <w:rFonts w:hint="eastAsia"/>
        </w:rPr>
        <w:t>頁。</w:t>
      </w:r>
    </w:p>
  </w:footnote>
  <w:footnote w:id="78">
    <w:p w14:paraId="59BF982E" w14:textId="24201299" w:rsidR="00657F8D" w:rsidRPr="00E342DC" w:rsidRDefault="00657F8D">
      <w:pPr>
        <w:pStyle w:val="a3"/>
        <w:rPr>
          <w:rFonts w:hint="eastAsia"/>
        </w:rPr>
      </w:pPr>
      <w:r>
        <w:rPr>
          <w:rStyle w:val="a5"/>
        </w:rPr>
        <w:footnoteRef/>
      </w:r>
      <w:r>
        <w:t xml:space="preserve"> </w:t>
      </w:r>
      <w:r>
        <w:rPr>
          <w:rFonts w:hint="eastAsia"/>
        </w:rPr>
        <w:t>同上、5</w:t>
      </w:r>
      <w:r>
        <w:t>5,57</w:t>
      </w:r>
      <w:r>
        <w:rPr>
          <w:rFonts w:hint="eastAsia"/>
        </w:rPr>
        <w:t>頁。</w:t>
      </w:r>
    </w:p>
  </w:footnote>
  <w:footnote w:id="79">
    <w:p w14:paraId="19B17BB2" w14:textId="7D764834" w:rsidR="00657F8D" w:rsidRPr="00E342DC" w:rsidRDefault="00657F8D">
      <w:pPr>
        <w:pStyle w:val="a3"/>
        <w:rPr>
          <w:rFonts w:hint="eastAsia"/>
        </w:rPr>
      </w:pPr>
      <w:r>
        <w:rPr>
          <w:rStyle w:val="a5"/>
        </w:rPr>
        <w:footnoteRef/>
      </w:r>
      <w:r>
        <w:t xml:space="preserve"> </w:t>
      </w:r>
      <w:r>
        <w:rPr>
          <w:rFonts w:hint="eastAsia"/>
        </w:rPr>
        <w:t>同上、5</w:t>
      </w:r>
      <w:r>
        <w:t>5,57-58</w:t>
      </w:r>
      <w:r>
        <w:rPr>
          <w:rFonts w:hint="eastAsia"/>
        </w:rPr>
        <w:t>頁。</w:t>
      </w:r>
    </w:p>
  </w:footnote>
  <w:footnote w:id="80">
    <w:p w14:paraId="4283DEE3" w14:textId="3DBCDDD0" w:rsidR="00657F8D" w:rsidRPr="00E342DC" w:rsidRDefault="00657F8D">
      <w:pPr>
        <w:pStyle w:val="a3"/>
        <w:rPr>
          <w:rFonts w:hint="eastAsia"/>
        </w:rPr>
      </w:pPr>
      <w:r>
        <w:rPr>
          <w:rStyle w:val="a5"/>
        </w:rPr>
        <w:footnoteRef/>
      </w:r>
      <w:r>
        <w:t xml:space="preserve"> </w:t>
      </w:r>
      <w:r>
        <w:rPr>
          <w:rFonts w:hint="eastAsia"/>
        </w:rPr>
        <w:t>同上、5</w:t>
      </w:r>
      <w:r>
        <w:t>5-57</w:t>
      </w:r>
      <w:r>
        <w:rPr>
          <w:rFonts w:hint="eastAsia"/>
        </w:rPr>
        <w:t>頁。</w:t>
      </w:r>
    </w:p>
  </w:footnote>
  <w:footnote w:id="81">
    <w:p w14:paraId="12B1295F" w14:textId="11965632" w:rsidR="00657F8D" w:rsidRPr="0046471A" w:rsidRDefault="00657F8D">
      <w:pPr>
        <w:pStyle w:val="a3"/>
        <w:rPr>
          <w:rFonts w:hint="eastAsia"/>
        </w:rPr>
      </w:pPr>
      <w:r>
        <w:rPr>
          <w:rStyle w:val="a5"/>
        </w:rPr>
        <w:footnoteRef/>
      </w:r>
      <w:r>
        <w:t xml:space="preserve"> </w:t>
      </w:r>
      <w:r>
        <w:rPr>
          <w:rFonts w:hint="eastAsia"/>
        </w:rPr>
        <w:t>同上、54-55</w:t>
      </w:r>
      <w:r>
        <w:t>,59-91</w:t>
      </w:r>
      <w:r>
        <w:rPr>
          <w:rFonts w:hint="eastAsia"/>
        </w:rPr>
        <w:t>頁。</w:t>
      </w:r>
    </w:p>
  </w:footnote>
  <w:footnote w:id="82">
    <w:p w14:paraId="29767AF9" w14:textId="4F7589A4" w:rsidR="00657F8D" w:rsidRPr="0046471A" w:rsidRDefault="00657F8D">
      <w:pPr>
        <w:pStyle w:val="a3"/>
        <w:rPr>
          <w:rFonts w:hint="eastAsia"/>
        </w:rPr>
      </w:pPr>
      <w:r>
        <w:rPr>
          <w:rStyle w:val="a5"/>
        </w:rPr>
        <w:footnoteRef/>
      </w:r>
      <w:r>
        <w:t xml:space="preserve"> </w:t>
      </w:r>
      <w:r>
        <w:rPr>
          <w:rFonts w:hint="eastAsia"/>
        </w:rPr>
        <w:t>同上、13-14,61-65頁。</w:t>
      </w:r>
    </w:p>
  </w:footnote>
  <w:footnote w:id="83">
    <w:p w14:paraId="2E31C0C9" w14:textId="740A2AB4" w:rsidR="00657F8D" w:rsidRDefault="00657F8D" w:rsidP="00BD3D82">
      <w:pPr>
        <w:pStyle w:val="a3"/>
      </w:pPr>
      <w:r>
        <w:rPr>
          <w:rStyle w:val="a5"/>
        </w:rPr>
        <w:footnoteRef/>
      </w:r>
      <w:r>
        <w:t xml:space="preserve"> </w:t>
      </w:r>
      <w:r>
        <w:rPr>
          <w:rFonts w:hint="eastAsia"/>
        </w:rPr>
        <w:t>生貝、前掲注(65)、</w:t>
      </w:r>
      <w:r>
        <w:t>33-34</w:t>
      </w:r>
      <w:r>
        <w:rPr>
          <w:rFonts w:hint="eastAsia"/>
        </w:rPr>
        <w:t>頁</w:t>
      </w:r>
      <w:r>
        <w:t xml:space="preserve"> </w:t>
      </w:r>
      <w:r>
        <w:rPr>
          <w:rFonts w:hint="eastAsia"/>
        </w:rPr>
        <w:t>。生貝准教授は、情報社会における「共同規制」を、「特定の問題に対応するにあたり、効率的かつ実効的なコントロールポイントを特定し、それが行う自主規制に対し一定の公的な働きかけを行うことにより、公私が共同で解決策を管理する政策方法」と再定義し、規制客体は団体である必要はなく、あくまで団体はコントロールポイントの一類型に過ぎないことを示した。</w:t>
      </w:r>
    </w:p>
  </w:footnote>
  <w:footnote w:id="84">
    <w:p w14:paraId="5AB71C3C" w14:textId="4F4B8EB4" w:rsidR="00657F8D" w:rsidRPr="00DE2965" w:rsidRDefault="00657F8D">
      <w:pPr>
        <w:pStyle w:val="a3"/>
        <w:rPr>
          <w:rFonts w:hint="eastAsia"/>
        </w:rPr>
      </w:pPr>
      <w:r>
        <w:rPr>
          <w:rStyle w:val="a5"/>
        </w:rPr>
        <w:footnoteRef/>
      </w:r>
      <w:r>
        <w:t xml:space="preserve"> </w:t>
      </w:r>
      <w:r>
        <w:rPr>
          <w:rFonts w:hint="eastAsia"/>
        </w:rPr>
        <w:t>生貝、前掲注(65)、47</w:t>
      </w:r>
      <w:r>
        <w:t>-50</w:t>
      </w:r>
      <w:r>
        <w:rPr>
          <w:rFonts w:hint="eastAsia"/>
        </w:rPr>
        <w:t>頁。</w:t>
      </w:r>
    </w:p>
  </w:footnote>
  <w:footnote w:id="85">
    <w:p w14:paraId="7DD49C64" w14:textId="46052873" w:rsidR="00657F8D" w:rsidRPr="00DE2965" w:rsidRDefault="00657F8D">
      <w:pPr>
        <w:pStyle w:val="a3"/>
        <w:rPr>
          <w:rFonts w:hint="eastAsia"/>
        </w:rPr>
      </w:pPr>
      <w:r>
        <w:rPr>
          <w:rStyle w:val="a5"/>
        </w:rPr>
        <w:footnoteRef/>
      </w:r>
      <w:r>
        <w:t xml:space="preserve"> </w:t>
      </w:r>
      <w:r w:rsidRPr="00DE2965">
        <w:rPr>
          <w:rFonts w:hint="eastAsia"/>
        </w:rPr>
        <w:t>曽我部</w:t>
      </w:r>
      <w:r w:rsidR="003126CB">
        <w:rPr>
          <w:rFonts w:hint="eastAsia"/>
        </w:rPr>
        <w:t>、前掲注（65）、</w:t>
      </w:r>
      <w:r>
        <w:rPr>
          <w:rFonts w:hint="eastAsia"/>
        </w:rPr>
        <w:t>651頁</w:t>
      </w:r>
    </w:p>
  </w:footnote>
  <w:footnote w:id="86">
    <w:p w14:paraId="45BDA574" w14:textId="77777777" w:rsidR="00657F8D" w:rsidRDefault="00657F8D" w:rsidP="00BD3D82">
      <w:pPr>
        <w:pStyle w:val="a3"/>
      </w:pPr>
      <w:r>
        <w:rPr>
          <w:rStyle w:val="a5"/>
        </w:rPr>
        <w:footnoteRef/>
      </w:r>
      <w:r>
        <w:t xml:space="preserve"> Lawrence Lessig, The New Chicago School, </w:t>
      </w:r>
      <w:r>
        <w:rPr>
          <w:i/>
          <w:iCs/>
        </w:rPr>
        <w:t>Journal of Legal Studies</w:t>
      </w:r>
      <w:r>
        <w:t>, Vol. 27, Issue 2, pp661-691.</w:t>
      </w:r>
    </w:p>
  </w:footnote>
  <w:footnote w:id="87">
    <w:p w14:paraId="17812318" w14:textId="17C9F35F" w:rsidR="00657F8D" w:rsidRDefault="00657F8D" w:rsidP="00BD3D82">
      <w:pPr>
        <w:pStyle w:val="a3"/>
      </w:pPr>
      <w:r>
        <w:rPr>
          <w:rStyle w:val="a5"/>
        </w:rPr>
        <w:footnoteRef/>
      </w:r>
      <w:r>
        <w:t xml:space="preserve"> </w:t>
      </w:r>
      <w:r w:rsidRPr="00DE2965">
        <w:rPr>
          <w:rFonts w:hint="eastAsia"/>
          <w:color w:val="000000" w:themeColor="text1"/>
          <w:szCs w:val="21"/>
        </w:rPr>
        <w:t>生貝</w:t>
      </w:r>
      <w:r>
        <w:rPr>
          <w:rFonts w:hint="eastAsia"/>
          <w:color w:val="000000" w:themeColor="text1"/>
          <w:szCs w:val="21"/>
        </w:rPr>
        <w:t>、前掲注(65)、</w:t>
      </w:r>
      <w:r w:rsidRPr="00DE2965">
        <w:rPr>
          <w:color w:val="000000" w:themeColor="text1"/>
          <w:szCs w:val="21"/>
        </w:rPr>
        <w:t>38-45</w:t>
      </w:r>
      <w:r w:rsidRPr="00DE2965">
        <w:rPr>
          <w:rFonts w:hint="eastAsia"/>
          <w:color w:val="000000" w:themeColor="text1"/>
          <w:szCs w:val="21"/>
        </w:rPr>
        <w:t>頁</w:t>
      </w:r>
      <w:r>
        <w:rPr>
          <w:rFonts w:hint="eastAsia"/>
          <w:color w:val="000000" w:themeColor="text1"/>
          <w:szCs w:val="21"/>
        </w:rPr>
        <w:t>。</w:t>
      </w:r>
    </w:p>
  </w:footnote>
  <w:footnote w:id="88">
    <w:p w14:paraId="502BFBED" w14:textId="6542D0B3" w:rsidR="00657F8D" w:rsidRDefault="00657F8D" w:rsidP="00BD3D82">
      <w:pPr>
        <w:pStyle w:val="a3"/>
      </w:pPr>
      <w:r>
        <w:rPr>
          <w:rStyle w:val="a5"/>
        </w:rPr>
        <w:footnoteRef/>
      </w:r>
      <w:r>
        <w:t xml:space="preserve"> </w:t>
      </w:r>
      <w:r>
        <w:rPr>
          <w:rFonts w:hint="eastAsia"/>
        </w:rPr>
        <w:t>例えば、「トランプ氏ツイッター凍結、欧州で批判『制限、法律で』」『日本経済新聞』（</w:t>
      </w:r>
      <w:r>
        <w:t>2021</w:t>
      </w:r>
      <w:r>
        <w:rPr>
          <w:rFonts w:hint="eastAsia"/>
        </w:rPr>
        <w:t>年</w:t>
      </w:r>
      <w:r>
        <w:t>1</w:t>
      </w:r>
      <w:r>
        <w:rPr>
          <w:rFonts w:hint="eastAsia"/>
        </w:rPr>
        <w:t>月</w:t>
      </w:r>
      <w:r>
        <w:t>13</w:t>
      </w:r>
      <w:r>
        <w:rPr>
          <w:rFonts w:hint="eastAsia"/>
        </w:rPr>
        <w:t>日）。</w:t>
      </w:r>
    </w:p>
  </w:footnote>
  <w:footnote w:id="89">
    <w:p w14:paraId="5A5ED9BC" w14:textId="77777777" w:rsidR="00657F8D" w:rsidRDefault="00657F8D" w:rsidP="00BD3D82">
      <w:pPr>
        <w:pStyle w:val="a3"/>
      </w:pPr>
      <w:r>
        <w:rPr>
          <w:rStyle w:val="a5"/>
        </w:rPr>
        <w:footnoteRef/>
      </w:r>
      <w:r>
        <w:t xml:space="preserve"> </w:t>
      </w:r>
      <w:r>
        <w:rPr>
          <w:rFonts w:hint="eastAsia"/>
        </w:rPr>
        <w:t>この仕様は、実際に</w:t>
      </w:r>
      <w:r>
        <w:t>2020</w:t>
      </w:r>
      <w:r>
        <w:rPr>
          <w:rFonts w:hint="eastAsia"/>
        </w:rPr>
        <w:t>年のアメリカ大統領選挙期間に</w:t>
      </w:r>
      <w:r>
        <w:t>Twitter</w:t>
      </w:r>
      <w:r>
        <w:rPr>
          <w:rFonts w:hint="eastAsia"/>
        </w:rPr>
        <w:t>社によって行われた。</w:t>
      </w:r>
    </w:p>
  </w:footnote>
  <w:footnote w:id="90">
    <w:p w14:paraId="76431EDC" w14:textId="25F0743C" w:rsidR="00657F8D" w:rsidRPr="0046471A" w:rsidRDefault="00657F8D">
      <w:pPr>
        <w:pStyle w:val="a3"/>
        <w:rPr>
          <w:rFonts w:hint="eastAsia"/>
        </w:rPr>
      </w:pPr>
      <w:r>
        <w:rPr>
          <w:rStyle w:val="a5"/>
        </w:rPr>
        <w:footnoteRef/>
      </w:r>
      <w:r>
        <w:t xml:space="preserve"> </w:t>
      </w:r>
      <w:r w:rsidRPr="0046471A">
        <w:rPr>
          <w:rFonts w:hint="eastAsia"/>
        </w:rPr>
        <w:t>水谷</w:t>
      </w:r>
      <w:r>
        <w:rPr>
          <w:rFonts w:hint="eastAsia"/>
        </w:rPr>
        <w:t>、前掲注(19)、54頁。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3B2176"/>
    <w:multiLevelType w:val="hybridMultilevel"/>
    <w:tmpl w:val="DDE6581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82"/>
    <w:rsid w:val="00063590"/>
    <w:rsid w:val="000D180E"/>
    <w:rsid w:val="001F0838"/>
    <w:rsid w:val="00275C5F"/>
    <w:rsid w:val="002E666B"/>
    <w:rsid w:val="003126CB"/>
    <w:rsid w:val="003B2608"/>
    <w:rsid w:val="00455DD7"/>
    <w:rsid w:val="0046471A"/>
    <w:rsid w:val="004E776F"/>
    <w:rsid w:val="0055334D"/>
    <w:rsid w:val="00570619"/>
    <w:rsid w:val="005D4C13"/>
    <w:rsid w:val="006301D6"/>
    <w:rsid w:val="00657F8D"/>
    <w:rsid w:val="007E2246"/>
    <w:rsid w:val="007E7EAA"/>
    <w:rsid w:val="00AC7E48"/>
    <w:rsid w:val="00B9175F"/>
    <w:rsid w:val="00BD3D82"/>
    <w:rsid w:val="00CF509D"/>
    <w:rsid w:val="00CF70FA"/>
    <w:rsid w:val="00D65026"/>
    <w:rsid w:val="00D84609"/>
    <w:rsid w:val="00DB7A3B"/>
    <w:rsid w:val="00DE2965"/>
    <w:rsid w:val="00E342DC"/>
    <w:rsid w:val="00F02E0D"/>
    <w:rsid w:val="00F24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2A44E287"/>
  <w15:chartTrackingRefBased/>
  <w15:docId w15:val="{385AEF25-9E9A-4801-B075-8BEF6E4A5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D82"/>
    <w:pPr>
      <w:widowControl w:val="0"/>
      <w:jc w:val="both"/>
    </w:pPr>
  </w:style>
  <w:style w:type="paragraph" w:styleId="1">
    <w:name w:val="heading 1"/>
    <w:basedOn w:val="a"/>
    <w:next w:val="a"/>
    <w:link w:val="10"/>
    <w:uiPriority w:val="9"/>
    <w:qFormat/>
    <w:rsid w:val="00BD3D82"/>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D3D82"/>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BD3D82"/>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3D82"/>
    <w:rPr>
      <w:rFonts w:asciiTheme="majorHAnsi" w:eastAsiaTheme="majorEastAsia" w:hAnsiTheme="majorHAnsi" w:cstheme="majorBidi"/>
      <w:sz w:val="24"/>
      <w:szCs w:val="24"/>
    </w:rPr>
  </w:style>
  <w:style w:type="paragraph" w:styleId="a3">
    <w:name w:val="footnote text"/>
    <w:basedOn w:val="a"/>
    <w:link w:val="a4"/>
    <w:uiPriority w:val="99"/>
    <w:semiHidden/>
    <w:unhideWhenUsed/>
    <w:rsid w:val="00BD3D82"/>
    <w:pPr>
      <w:snapToGrid w:val="0"/>
      <w:jc w:val="left"/>
    </w:pPr>
  </w:style>
  <w:style w:type="character" w:customStyle="1" w:styleId="a4">
    <w:name w:val="脚注文字列 (文字)"/>
    <w:basedOn w:val="a0"/>
    <w:link w:val="a3"/>
    <w:uiPriority w:val="99"/>
    <w:semiHidden/>
    <w:rsid w:val="00BD3D82"/>
  </w:style>
  <w:style w:type="character" w:styleId="a5">
    <w:name w:val="footnote reference"/>
    <w:basedOn w:val="a0"/>
    <w:uiPriority w:val="99"/>
    <w:semiHidden/>
    <w:unhideWhenUsed/>
    <w:rsid w:val="00BD3D82"/>
    <w:rPr>
      <w:vertAlign w:val="superscript"/>
    </w:rPr>
  </w:style>
  <w:style w:type="character" w:customStyle="1" w:styleId="20">
    <w:name w:val="見出し 2 (文字)"/>
    <w:basedOn w:val="a0"/>
    <w:link w:val="2"/>
    <w:uiPriority w:val="9"/>
    <w:rsid w:val="00BD3D82"/>
    <w:rPr>
      <w:rFonts w:asciiTheme="majorHAnsi" w:eastAsiaTheme="majorEastAsia" w:hAnsiTheme="majorHAnsi" w:cstheme="majorBidi"/>
    </w:rPr>
  </w:style>
  <w:style w:type="character" w:customStyle="1" w:styleId="30">
    <w:name w:val="見出し 3 (文字)"/>
    <w:basedOn w:val="a0"/>
    <w:link w:val="3"/>
    <w:uiPriority w:val="9"/>
    <w:rsid w:val="00BD3D82"/>
    <w:rPr>
      <w:rFonts w:asciiTheme="majorHAnsi" w:eastAsiaTheme="majorEastAsia" w:hAnsiTheme="majorHAnsi" w:cstheme="majorBidi"/>
    </w:rPr>
  </w:style>
  <w:style w:type="character" w:styleId="a6">
    <w:name w:val="annotation reference"/>
    <w:basedOn w:val="a0"/>
    <w:uiPriority w:val="99"/>
    <w:semiHidden/>
    <w:unhideWhenUsed/>
    <w:rsid w:val="00BD3D82"/>
    <w:rPr>
      <w:sz w:val="18"/>
      <w:szCs w:val="18"/>
    </w:rPr>
  </w:style>
  <w:style w:type="character" w:customStyle="1" w:styleId="normaltextrun">
    <w:name w:val="normaltextrun"/>
    <w:basedOn w:val="a0"/>
    <w:rsid w:val="003B2608"/>
  </w:style>
  <w:style w:type="character" w:styleId="a7">
    <w:name w:val="Hyperlink"/>
    <w:basedOn w:val="a0"/>
    <w:uiPriority w:val="99"/>
    <w:unhideWhenUsed/>
    <w:rsid w:val="00063590"/>
    <w:rPr>
      <w:color w:val="0563C1" w:themeColor="hyperlink"/>
      <w:u w:val="single"/>
    </w:rPr>
  </w:style>
  <w:style w:type="character" w:styleId="a8">
    <w:name w:val="Unresolved Mention"/>
    <w:basedOn w:val="a0"/>
    <w:uiPriority w:val="99"/>
    <w:semiHidden/>
    <w:unhideWhenUsed/>
    <w:rsid w:val="00063590"/>
    <w:rPr>
      <w:color w:val="605E5C"/>
      <w:shd w:val="clear" w:color="auto" w:fill="E1DFDD"/>
    </w:rPr>
  </w:style>
  <w:style w:type="paragraph" w:styleId="a9">
    <w:name w:val="header"/>
    <w:basedOn w:val="a"/>
    <w:link w:val="aa"/>
    <w:uiPriority w:val="99"/>
    <w:unhideWhenUsed/>
    <w:rsid w:val="0055334D"/>
    <w:pPr>
      <w:tabs>
        <w:tab w:val="center" w:pos="4252"/>
        <w:tab w:val="right" w:pos="8504"/>
      </w:tabs>
      <w:snapToGrid w:val="0"/>
    </w:pPr>
  </w:style>
  <w:style w:type="character" w:customStyle="1" w:styleId="aa">
    <w:name w:val="ヘッダー (文字)"/>
    <w:basedOn w:val="a0"/>
    <w:link w:val="a9"/>
    <w:uiPriority w:val="99"/>
    <w:rsid w:val="0055334D"/>
  </w:style>
  <w:style w:type="paragraph" w:styleId="ab">
    <w:name w:val="footer"/>
    <w:basedOn w:val="a"/>
    <w:link w:val="ac"/>
    <w:uiPriority w:val="99"/>
    <w:unhideWhenUsed/>
    <w:rsid w:val="0055334D"/>
    <w:pPr>
      <w:tabs>
        <w:tab w:val="center" w:pos="4252"/>
        <w:tab w:val="right" w:pos="8504"/>
      </w:tabs>
      <w:snapToGrid w:val="0"/>
    </w:pPr>
  </w:style>
  <w:style w:type="character" w:customStyle="1" w:styleId="ac">
    <w:name w:val="フッター (文字)"/>
    <w:basedOn w:val="a0"/>
    <w:link w:val="ab"/>
    <w:uiPriority w:val="99"/>
    <w:rsid w:val="0055334D"/>
  </w:style>
  <w:style w:type="paragraph" w:styleId="ad">
    <w:name w:val="Title"/>
    <w:basedOn w:val="a"/>
    <w:next w:val="a"/>
    <w:link w:val="ae"/>
    <w:uiPriority w:val="10"/>
    <w:qFormat/>
    <w:rsid w:val="00B9175F"/>
    <w:pPr>
      <w:spacing w:before="240" w:after="120"/>
      <w:jc w:val="center"/>
      <w:outlineLvl w:val="0"/>
    </w:pPr>
    <w:rPr>
      <w:rFonts w:asciiTheme="majorHAnsi" w:eastAsiaTheme="majorEastAsia" w:hAnsiTheme="majorHAnsi" w:cstheme="majorBidi"/>
      <w:sz w:val="32"/>
      <w:szCs w:val="32"/>
    </w:rPr>
  </w:style>
  <w:style w:type="character" w:customStyle="1" w:styleId="ae">
    <w:name w:val="表題 (文字)"/>
    <w:basedOn w:val="a0"/>
    <w:link w:val="ad"/>
    <w:uiPriority w:val="10"/>
    <w:rsid w:val="00B9175F"/>
    <w:rPr>
      <w:rFonts w:asciiTheme="majorHAnsi" w:eastAsiaTheme="majorEastAsia" w:hAnsiTheme="majorHAnsi" w:cstheme="majorBidi"/>
      <w:sz w:val="32"/>
      <w:szCs w:val="32"/>
    </w:rPr>
  </w:style>
  <w:style w:type="paragraph" w:styleId="af">
    <w:name w:val="List Paragraph"/>
    <w:basedOn w:val="a"/>
    <w:uiPriority w:val="34"/>
    <w:qFormat/>
    <w:rsid w:val="00CF70F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348918">
      <w:bodyDiv w:val="1"/>
      <w:marLeft w:val="0"/>
      <w:marRight w:val="0"/>
      <w:marTop w:val="0"/>
      <w:marBottom w:val="0"/>
      <w:divBdr>
        <w:top w:val="none" w:sz="0" w:space="0" w:color="auto"/>
        <w:left w:val="none" w:sz="0" w:space="0" w:color="auto"/>
        <w:bottom w:val="none" w:sz="0" w:space="0" w:color="auto"/>
        <w:right w:val="none" w:sz="0" w:space="0" w:color="auto"/>
      </w:divBdr>
    </w:div>
    <w:div w:id="339161985">
      <w:bodyDiv w:val="1"/>
      <w:marLeft w:val="0"/>
      <w:marRight w:val="0"/>
      <w:marTop w:val="0"/>
      <w:marBottom w:val="0"/>
      <w:divBdr>
        <w:top w:val="none" w:sz="0" w:space="0" w:color="auto"/>
        <w:left w:val="none" w:sz="0" w:space="0" w:color="auto"/>
        <w:bottom w:val="none" w:sz="0" w:space="0" w:color="auto"/>
        <w:right w:val="none" w:sz="0" w:space="0" w:color="auto"/>
      </w:divBdr>
    </w:div>
    <w:div w:id="796029502">
      <w:bodyDiv w:val="1"/>
      <w:marLeft w:val="0"/>
      <w:marRight w:val="0"/>
      <w:marTop w:val="0"/>
      <w:marBottom w:val="0"/>
      <w:divBdr>
        <w:top w:val="none" w:sz="0" w:space="0" w:color="auto"/>
        <w:left w:val="none" w:sz="0" w:space="0" w:color="auto"/>
        <w:bottom w:val="none" w:sz="0" w:space="0" w:color="auto"/>
        <w:right w:val="none" w:sz="0" w:space="0" w:color="auto"/>
      </w:divBdr>
    </w:div>
    <w:div w:id="976493984">
      <w:bodyDiv w:val="1"/>
      <w:marLeft w:val="0"/>
      <w:marRight w:val="0"/>
      <w:marTop w:val="0"/>
      <w:marBottom w:val="0"/>
      <w:divBdr>
        <w:top w:val="none" w:sz="0" w:space="0" w:color="auto"/>
        <w:left w:val="none" w:sz="0" w:space="0" w:color="auto"/>
        <w:bottom w:val="none" w:sz="0" w:space="0" w:color="auto"/>
        <w:right w:val="none" w:sz="0" w:space="0" w:color="auto"/>
      </w:divBdr>
    </w:div>
    <w:div w:id="1411654511">
      <w:bodyDiv w:val="1"/>
      <w:marLeft w:val="0"/>
      <w:marRight w:val="0"/>
      <w:marTop w:val="0"/>
      <w:marBottom w:val="0"/>
      <w:divBdr>
        <w:top w:val="none" w:sz="0" w:space="0" w:color="auto"/>
        <w:left w:val="none" w:sz="0" w:space="0" w:color="auto"/>
        <w:bottom w:val="none" w:sz="0" w:space="0" w:color="auto"/>
        <w:right w:val="none" w:sz="0" w:space="0" w:color="auto"/>
      </w:divBdr>
    </w:div>
    <w:div w:id="1662150510">
      <w:bodyDiv w:val="1"/>
      <w:marLeft w:val="0"/>
      <w:marRight w:val="0"/>
      <w:marTop w:val="0"/>
      <w:marBottom w:val="0"/>
      <w:divBdr>
        <w:top w:val="none" w:sz="0" w:space="0" w:color="auto"/>
        <w:left w:val="none" w:sz="0" w:space="0" w:color="auto"/>
        <w:bottom w:val="none" w:sz="0" w:space="0" w:color="auto"/>
        <w:right w:val="none" w:sz="0" w:space="0" w:color="auto"/>
      </w:divBdr>
    </w:div>
    <w:div w:id="1699238191">
      <w:bodyDiv w:val="1"/>
      <w:marLeft w:val="0"/>
      <w:marRight w:val="0"/>
      <w:marTop w:val="0"/>
      <w:marBottom w:val="0"/>
      <w:divBdr>
        <w:top w:val="none" w:sz="0" w:space="0" w:color="auto"/>
        <w:left w:val="none" w:sz="0" w:space="0" w:color="auto"/>
        <w:bottom w:val="none" w:sz="0" w:space="0" w:color="auto"/>
        <w:right w:val="none" w:sz="0" w:space="0" w:color="auto"/>
      </w:divBdr>
    </w:div>
    <w:div w:id="1921524809">
      <w:bodyDiv w:val="1"/>
      <w:marLeft w:val="0"/>
      <w:marRight w:val="0"/>
      <w:marTop w:val="0"/>
      <w:marBottom w:val="0"/>
      <w:divBdr>
        <w:top w:val="none" w:sz="0" w:space="0" w:color="auto"/>
        <w:left w:val="none" w:sz="0" w:space="0" w:color="auto"/>
        <w:bottom w:val="none" w:sz="0" w:space="0" w:color="auto"/>
        <w:right w:val="none" w:sz="0" w:space="0" w:color="auto"/>
      </w:divBdr>
    </w:div>
    <w:div w:id="195462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A6D13-2DFC-4F0C-990E-A1F2FD8B3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11765</Words>
  <Characters>12236</Characters>
  <Application>Microsoft Office Word</Application>
  <DocSecurity>0</DocSecurity>
  <Lines>322</Lines>
  <Paragraphs>77</Paragraphs>
  <ScaleCrop>false</ScaleCrop>
  <HeadingPairs>
    <vt:vector size="4" baseType="variant">
      <vt:variant>
        <vt:lpstr>タイトル</vt:lpstr>
      </vt:variant>
      <vt:variant>
        <vt:i4>1</vt:i4>
      </vt:variant>
      <vt:variant>
        <vt:lpstr>見出し</vt:lpstr>
      </vt:variant>
      <vt:variant>
        <vt:i4>29</vt:i4>
      </vt:variant>
    </vt:vector>
  </HeadingPairs>
  <TitlesOfParts>
    <vt:vector size="30" baseType="lpstr">
      <vt:lpstr/>
      <vt:lpstr>フェイクニュース規制</vt:lpstr>
      <vt:lpstr>はじめに</vt:lpstr>
      <vt:lpstr>1. フェイクニュースの定義と発生・拡散のメカニズム</vt:lpstr>
      <vt:lpstr>    1-1. フェイクニュースの定義</vt:lpstr>
      <vt:lpstr>    1-2. フェイクニュースの拡散</vt:lpstr>
      <vt:lpstr>2. フェイクニュースと表現の自由</vt:lpstr>
      <vt:lpstr>    2-1. 表現の自由</vt:lpstr>
      <vt:lpstr>    2-2. フェイクニュースとの関係における思想の自由市場と表現の自由</vt:lpstr>
      <vt:lpstr>    3-1. 諸外国における民間事業者のフェイクニュース対策</vt:lpstr>
      <vt:lpstr>        Facebook</vt:lpstr>
      <vt:lpstr>        Twitter</vt:lpstr>
      <vt:lpstr>        Google</vt:lpstr>
      <vt:lpstr>    3-2．海外におけるフェイクニュース対策</vt:lpstr>
      <vt:lpstr>4.日本における動き</vt:lpstr>
      <vt:lpstr>    フェイクニュースや偽情報への対応の在り方</vt:lpstr>
      <vt:lpstr>５．今後のフェイクニュース規制について</vt:lpstr>
      <vt:lpstr>    5-1. 共同規制という概念</vt:lpstr>
      <vt:lpstr>    5-2. 政府規制の限界</vt:lpstr>
      <vt:lpstr>    5-3. 自主規制の限界</vt:lpstr>
      <vt:lpstr>        5-3-1. 形成の失敗</vt:lpstr>
      <vt:lpstr>        5-3-2. 内容の非公正性</vt:lpstr>
      <vt:lpstr>        5-3-3. 実行性の欠如</vt:lpstr>
      <vt:lpstr>        5-3-4. 民主的正統性の欠如</vt:lpstr>
      <vt:lpstr>    5-4. 共同規制の類型</vt:lpstr>
      <vt:lpstr>    5-5. コントロールポイントについて</vt:lpstr>
      <vt:lpstr>    5-6. 自主規制の失敗のリカバリー</vt:lpstr>
      <vt:lpstr>    5-7. 共同規制の枠組</vt:lpstr>
      <vt:lpstr>結びにかえて</vt:lpstr>
      <vt:lpstr>参考文献一覧</vt:lpstr>
    </vt:vector>
  </TitlesOfParts>
  <Company/>
  <LinksUpToDate>false</LinksUpToDate>
  <CharactersWithSpaces>23924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石井 勝哉</dc:creator>
  <cp:keywords/>
  <dc:description/>
  <cp:lastModifiedBy>石井 勝哉</cp:lastModifiedBy>
  <cp:revision>8</cp:revision>
  <dcterms:created xsi:type="dcterms:W3CDTF">2021-02-20T07:30:00Z</dcterms:created>
  <dcterms:modified xsi:type="dcterms:W3CDTF">2021-02-20T12:41:00Z</dcterms:modified>
</cp:coreProperties>
</file>