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00B4D8"/>
          <w:sz w:val="72"/>
          <w:szCs w:val="72"/>
        </w:rPr>
        <w:t xml:space="preserve">QUANTRISK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Monte Carlo Financial Risk Simulation Engine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Technical Documentation &amp; Financial Model Reference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2.0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April 2026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QUANTRISK is a browser-based Monte Carlo risk simulation engine designed for Indian and global financial markets. Built on the mathematical framework of Geometric Brownian Motion (GBM), it provides institutional-grade risk analytics — Value at Risk (VAR), Conditional VAR (CVaR), portfolio diversification analysis, and historical stress testing — accessible from any modern web browser without requiring any software installation.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engine covers 50 instruments across six asset classes: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8 Indian indices (SENSEX, NIFTY 50, NIFTY BANK, BANKEX, Midcap, IT, Pharma, Auto)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14 Indian large-cap stocks (Reliance, TCS, Infosys, HDFC Bank, ICICI, SBI, Bajaj Finance, and more)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8 global indices (NASDAQ 100, S&amp;P 500, FTSE 100, DAX 40, Nikkei 225, Hang Seng, CAC 40, Dow Jones)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7 US mega-cap stocks (Apple, Microsoft, NVIDIA, Alphabet, Amazon, Tesla, Meta)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6 forex pairs (USD/INR, EUR/INR, GBP/INR, JPY/INR, AUD/INR, CAD/INR)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3 commodities (Gold MCX, Silver MCX, Crude Oil MCX)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2. Mathematical Framework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Geometric Brownian Motion (GBM)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Asset prices are modelled as a continuous-time stochastic process following Geometric Brownian Motion, the foundational model underlying the Black-Scholes option pricing framework. The stochastic differential equation (SDE) is: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B4D8"/>
          <w:sz w:val="20"/>
          <w:szCs w:val="20"/>
        </w:rPr>
        <w:t xml:space="preserve">dS = μS dt + σS dW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where: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 = current asset price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μ = expected annual drift (return), calibrated to 5-year historical mean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σ = annual volatility, calibrated to 5-year close-to-close historical volatility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dW = Wiener process increment: dW = ε√dt, where ε ~ N(0,1)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dt = time step (1/252 for daily simulation)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exact discrete solution used in simulation is: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B4D8"/>
          <w:sz w:val="20"/>
          <w:szCs w:val="20"/>
        </w:rPr>
        <w:t xml:space="preserve">S(t + Δt) = S(t) · exp[(μ − σ²/2)Δt + σε√Δt]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term (μ − σ²/2) is the Itô-corrected drift, which accounts for the Jensen's inequality adjustment from log-normal price dynamics. This ensures the expected value of S(t) equals S₀·exp(μt).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Parameter Calibration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200"/>
        <w:gridCol w:w="1360"/>
      </w:tblGrid>
      <w:tr>
        <w:tc>
          <w:tcPr>
            <w:tcW w:type="dxa" w:w="220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Symbol</w:t>
            </w:r>
          </w:p>
        </w:tc>
        <w:tc>
          <w:tcPr>
            <w:tcW w:type="dxa" w:w="320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Calibration Method</w:t>
            </w:r>
          </w:p>
        </w:tc>
        <w:tc>
          <w:tcPr>
            <w:tcW w:type="dxa" w:w="136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Data Window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Expected Annual Return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Arithmetic mean of daily log-returns × 252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years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 Volatility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σ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Std dev of daily log-returns × √252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years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ρᵢⱼ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Pearson correlation on daily log-returns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years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Risk-Free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RBI Repo Rate (India) / US Fed Funds (US)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Forex Returns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μfx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RBI reference rate daily log-returns × 252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years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2.3 Simulation Architecture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For each simulation run, the engine executes the following steps: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1. Generate N independent standard normal random variates ε ~ N(0,1) for each time step t = 1, 2, ..., T where T = H × 252 (H = investment horizon in years)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2. Compute the log-return for each step: r(t) = (μ − σ²/2)/252 + σ/√252 × ε(t)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3. Compute the cumulative product: S(T) = S₀ × exp(Σ r(t))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4. Record terminal portfolio value V(T) = Investment × S(T)/S₀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5. After N replications, sort the distribution of P&amp;L = V(T) − Investment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6. Extract VAR as the α-th percentile loss; compute CVaR as the mean of all losses beyond VAR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3. Risk Metrics Definitions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Value at Risk (VAR)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VAR answers: 'What is the maximum loss I can expect with (1 − α) probability over a given horizon T?'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B4D8"/>
          <w:sz w:val="22"/>
          <w:szCs w:val="22"/>
        </w:rPr>
        <w:t xml:space="preserve">Parametric (Closed-Form) VAR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Under the GBM lognormal assumption, daily parametric VAR is computed as: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B4D8"/>
          <w:sz w:val="20"/>
          <w:szCs w:val="20"/>
        </w:rPr>
        <w:t xml:space="preserve">VAR(α, 1d) = Investment × (z_α × σ_daily − μ_daily)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where z_α = Φ⁻¹(α) is the standard normal quantile (1.645 for 95%, 2.326 for 99%), σ_daily = σ/√252, and μ_daily = μ/252.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B4D8"/>
          <w:sz w:val="22"/>
          <w:szCs w:val="22"/>
        </w:rPr>
        <w:t xml:space="preserve">Horizon Scaling (Square-Root-of-Time Rule)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VAR(T days) = VAR(1 day) × √T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Basel II/III convention holds strictly when returns are i.i.d. and normally distributed. For T &gt; 10 days, full simulation is recommended to capture path dependency.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B4D8"/>
          <w:sz w:val="22"/>
          <w:szCs w:val="22"/>
        </w:rPr>
        <w:t xml:space="preserve">Simulation VAR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From the sorted P&amp;L distribution of N Monte Carlo paths: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B4D8"/>
          <w:sz w:val="20"/>
          <w:szCs w:val="20"/>
        </w:rPr>
        <w:t xml:space="preserve">VAR = −Percentile(P&amp;L, 1 − α)   [negative because P&amp;L loss is positive VAR]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Conditional VAR (CVaR) / Expected Shortfall (ES)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CVaR is the expected loss conditional on exceeding VAR — the average of the worst (1 − α) fraction of outcomes. It is a coherent risk measure (subadditive), preferred by Basel IV FRTB: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B4D8"/>
          <w:sz w:val="20"/>
          <w:szCs w:val="20"/>
        </w:rPr>
        <w:t xml:space="preserve">CVaR = E[Loss | Loss &gt; VAR] = φ(z_α) / (1−α) × σ × √T × Investment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where φ(z) = exp(−z²/2)/√(2π) is the standard normal PDF. In simulation, it is simply the mean of all paths where loss exceeds VAR.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Sharpe Ratio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Sharpe = (μ − Rf) / σ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Risk-adjusted return per unit of total risk. Rf = 6.5% for Indian assets, 4.5% for US assets. A Sharpe &gt; 1.0 is considered excellent; &lt; 0.5 is poor.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4. Portfolio Analytics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Portfolio Variance &amp; Diversification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For a portfolio of n assets with weight vector w and covariance matrix Σ: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B4D8"/>
          <w:sz w:val="20"/>
          <w:szCs w:val="20"/>
        </w:rPr>
        <w:t xml:space="preserve">σ²_p = w' Σ w = Σᵢ Σⱼ wᵢ wⱼ σᵢ σⱼ ρᵢⱼ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diversification benefit is quantified as the reduction in portfolio volatility versus the weighted average of individual volatilities: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B4D8"/>
          <w:sz w:val="20"/>
          <w:szCs w:val="20"/>
        </w:rPr>
        <w:t xml:space="preserve">Diversification Ratio = Σ(wᵢ σᵢ) / σ_p ≥ 1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ratio &gt; 1 indicates risk reduction from correlation effects. The maximum diversification occurs when correlations approach zero or negative.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Correlated Multi-Asset Simulation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 simulate correlated asset paths, the Cholesky decomposition of the correlation matrix is used: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Compute the Cholesky factor L such that Σ = L L'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Generate n independent standard normal vectors Z = [Z₁, Z₂, ..., Zₙ]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Compute correlated shocks: X = L Z, so X ~ N(0, Σ)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Apply correlated shocks to each asset's GBM path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ensures the simulated returns preserve the empirical correlation structure between assets, giving a realistic joint distribution.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5. Instrument Universe &amp; Parameters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Indian Indices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440"/>
        <w:gridCol w:w="2160"/>
        <w:gridCol w:w="1560"/>
      </w:tblGrid>
      <w:tr>
        <w:tc>
          <w:tcPr>
            <w:tcW w:type="dxa" w:w="240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Index</w:t>
            </w:r>
          </w:p>
        </w:tc>
        <w:tc>
          <w:tcPr>
            <w:tcW w:type="dxa" w:w="144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Ann. Return μ</w:t>
            </w:r>
          </w:p>
        </w:tc>
        <w:tc>
          <w:tcPr>
            <w:tcW w:type="dxa" w:w="144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Ann. Vol σ</w:t>
            </w:r>
          </w:p>
        </w:tc>
        <w:tc>
          <w:tcPr>
            <w:tcW w:type="dxa" w:w="216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Sharpe (Rf=6.5%)</w:t>
            </w:r>
          </w:p>
        </w:tc>
        <w:tc>
          <w:tcPr>
            <w:tcW w:type="dxa" w:w="156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BSE SENSEX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12.7%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18.5%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 Cap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NIFTY 50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12.5%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18.3%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 Cap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NIFTY BANK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13.2%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21.8%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BANKEX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13.0%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21.5%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NIFTY Midcap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13.8%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22.2%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 Cap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NIFTY 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14.2%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23.8%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NIFTY Pharma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11.8%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21.0%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Healthcare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NIFTY Auto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12.2%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20.5%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Automobile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Key Indian Stocks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440"/>
        <w:gridCol w:w="1440"/>
        <w:gridCol w:w="2280"/>
      </w:tblGrid>
      <w:tr>
        <w:tc>
          <w:tcPr>
            <w:tcW w:type="dxa" w:w="240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Stock</w:t>
            </w:r>
          </w:p>
        </w:tc>
        <w:tc>
          <w:tcPr>
            <w:tcW w:type="dxa" w:w="144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Ann. Return μ</w:t>
            </w:r>
          </w:p>
        </w:tc>
        <w:tc>
          <w:tcPr>
            <w:tcW w:type="dxa" w:w="144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Ann. Vol σ</w:t>
            </w:r>
          </w:p>
        </w:tc>
        <w:tc>
          <w:tcPr>
            <w:tcW w:type="dxa" w:w="144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Sharpe</w:t>
            </w:r>
          </w:p>
        </w:tc>
        <w:tc>
          <w:tcPr>
            <w:tcW w:type="dxa" w:w="228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Sector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Reliance Industries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14.5%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26.2%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0.31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Conglomerate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13.8%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24.8%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0.29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 Services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HDFC Bank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12.8%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24.0%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0.26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Private Banking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ICICI Bank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13.5%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25.8%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0.27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Private Banking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SBI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14.0%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27.2%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0.28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PSU Banking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Bajaj Finance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15.2%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28.5%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NBFC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11.2%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19.8%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0.23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FMCG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Reliance (cont.)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Global Markets &amp; US Stocks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440"/>
        <w:gridCol w:w="2160"/>
        <w:gridCol w:w="2160"/>
      </w:tblGrid>
      <w:tr>
        <w:tc>
          <w:tcPr>
            <w:tcW w:type="dxa" w:w="240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Instrument</w:t>
            </w:r>
          </w:p>
        </w:tc>
        <w:tc>
          <w:tcPr>
            <w:tcW w:type="dxa" w:w="144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Ann. Return</w:t>
            </w:r>
          </w:p>
        </w:tc>
        <w:tc>
          <w:tcPr>
            <w:tcW w:type="dxa" w:w="144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Ann. Vol</w:t>
            </w:r>
          </w:p>
        </w:tc>
        <w:tc>
          <w:tcPr>
            <w:tcW w:type="dxa" w:w="216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Sharpe (Rf=4.5%)</w:t>
            </w:r>
          </w:p>
        </w:tc>
        <w:tc>
          <w:tcPr>
            <w:tcW w:type="dxa" w:w="216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NASDAQ 100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18.2%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22.8%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 Tech Heavy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S&amp;P 500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14.8%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18.5%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 Broad Market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NVIDIA (NVDA)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32.5%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51.2%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Semiconductor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Tesla (TSLA)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28.5%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62.5%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 / High Vol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Apple (AAPL)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21.2%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29.5%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Mega Cap Tech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Microsoft (MSFT)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19.8%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27.8%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/ AI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6. Historical Stress Test Scenarios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Stress tests apply historically calibrated shocks to the simulation distribution to assess tail behaviour beyond parametric VAR. Nine scenarios are pre-programmed: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"/>
        <w:gridCol w:w="1200"/>
        <w:gridCol w:w="1200"/>
        <w:gridCol w:w="1200"/>
        <w:gridCol w:w="2680"/>
      </w:tblGrid>
      <w:tr>
        <w:tc>
          <w:tcPr>
            <w:tcW w:type="dxa" w:w="200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Scenario</w:t>
            </w:r>
          </w:p>
        </w:tc>
        <w:tc>
          <w:tcPr>
            <w:tcW w:type="dxa" w:w="72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Year</w:t>
            </w:r>
          </w:p>
        </w:tc>
        <w:tc>
          <w:tcPr>
            <w:tcW w:type="dxa" w:w="120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SENSEX Drop</w:t>
            </w:r>
          </w:p>
        </w:tc>
        <w:tc>
          <w:tcPr>
            <w:tcW w:type="dxa" w:w="120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NIFTY Drop</w:t>
            </w:r>
          </w:p>
        </w:tc>
        <w:tc>
          <w:tcPr>
            <w:tcW w:type="dxa" w:w="120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Duration</w:t>
            </w:r>
          </w:p>
        </w:tc>
        <w:tc>
          <w:tcPr>
            <w:tcW w:type="dxa" w:w="268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Method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COVID-19 Crash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-38.0%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-37.2%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 days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historical path replay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Financial Crisis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-55.2%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-54.8%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180 days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Parameterised return shock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IL&amp;FS Liquidity Crisis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-15.2%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-14.8%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 days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Sector-specific shock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Demonetisation Shock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-6.4%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-6.1%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days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Demand-side shock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Dot-com Bust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-28.2%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-27.0%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 days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 sector 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Kargil War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-18.5%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-18.0%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 days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Geopolitical shock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Lehman Monday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-7.9%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-8.2%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day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Intraday extreme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Flash Crash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-5.4%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-5.9%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day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Algorithmic trigger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Russia-Ukraine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-9.8%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-9.5%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 days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Commodity-linked shock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7. Implementation Notes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96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HTML5 + CSS3 + Vanilla JS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Single-file, zero-dependency deployment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Chart.js (CDN)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path visualization, histograms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Math.random() × Box-Muller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Pseudo-random normal variate generation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Simulation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Pure JavaScript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GBM path generation, VAR/CVaR computation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CSS variables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Terminal-aesthetic, responsive layout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Static HTML file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Netlify, GitHub Pages, any static host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7.2 Box-Muller Normal Variate Generation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Standard normal variates are generated using the Box-Muller transform applied to pairs of uniform random numbers U₁, U₂ ~ U(0,1):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B4D8"/>
          <w:sz w:val="20"/>
          <w:szCs w:val="20"/>
        </w:rPr>
        <w:t xml:space="preserve">Z₁ = √(−2 ln U₁) × cos(2π U₂)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B4D8"/>
          <w:sz w:val="20"/>
          <w:szCs w:val="20"/>
        </w:rPr>
        <w:t xml:space="preserve">Z₂ = √(−2 ln U₁) × sin(2π U₂)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Both Z₁ and Z₂ are standard normal. This is exact (not approximate) and computationally efficient, requiring only two uniform samples per pair of normal variates.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7.3 Performance Benchmarks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Simulation Count</w:t>
            </w:r>
          </w:p>
        </w:tc>
        <w:tc>
          <w:tcPr>
            <w:tcW w:type="dxa" w:w="234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Steps (1yr)</w:t>
            </w:r>
          </w:p>
        </w:tc>
        <w:tc>
          <w:tcPr>
            <w:tcW w:type="dxa" w:w="234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Approximate Time</w:t>
            </w:r>
          </w:p>
        </w:tc>
        <w:tc>
          <w:tcPr>
            <w:tcW w:type="dxa" w:w="234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Paths Rendered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0.1s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1,000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0.2–0.5s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sampled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1–2s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sampled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3–5s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sampled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Note: Performance varies by browser and hardware. Chrome/Edge V8 engine is recommended for large simulation counts.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8. Model Assumptions &amp; Limitations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8.1 GBM Assumptions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Constant drift μ and volatility σ over the simulation horizon (no regime switching)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Log-normally distributed returns — fat tails (kurtosis &gt; 3) are not captured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Continuous trading — no gap risk, no illiquidity premium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Independent daily returns — no autocorrelation, no mean reversion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 dividends or corporate actions in base price path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8.2 Data Limitations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Parameters are historical estimates — future regime changes are not predicted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Correlation matrices may be non-stationary; crisis correlations tend toward 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Forex parameters assume spot rates; forward curves and carry are not modelled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Commodity parameters reflect MCX settlement; physical delivery costs excluded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8.3 Regulatory Context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model is intended for educational and analytical purposes. For regulatory capital purposes: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Basel IV FRTB requires Expected Shortfall at 97.5% over a 10-day stressed horizon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SEBI risk-based supervision uses historical simulation VaR over 1-year windows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RBI market risk framework aligns with Basel II standardised approach for banking books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9. References &amp; Further Reading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720"/>
        <w:gridCol w:w="3080"/>
      </w:tblGrid>
      <w:tr>
        <w:tc>
          <w:tcPr>
            <w:tcW w:type="dxa" w:w="240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Reference</w:t>
            </w:r>
          </w:p>
        </w:tc>
        <w:tc>
          <w:tcPr>
            <w:tcW w:type="dxa" w:w="280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Authors / Source</w:t>
            </w:r>
          </w:p>
        </w:tc>
        <w:tc>
          <w:tcPr>
            <w:tcW w:type="dxa" w:w="72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Year</w:t>
            </w:r>
          </w:p>
        </w:tc>
        <w:tc>
          <w:tcPr>
            <w:tcW w:type="dxa" w:w="308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Relevance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Monte Carlo Simulation for Financial Risk Assessment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PDF (project basis)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methodology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Portfolio Selection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H. Markowitz, Journal of Finance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1952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Mean-variance optimization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Pricing of Options and Corporate Liabilities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Black &amp; Scholes, Journal of Political Economy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1973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GBM foundations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Options, Futures &amp; Other Derivatives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John C. Hull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VAR, CVaR, GBM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Management and Financial Institutions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John C. Hull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2023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 framework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 IV FRTB — Fundamental Review of the Trading Book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 for International Settlements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2019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 regulatory standard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SEBI Risk-Based Supervision 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SEBI Circular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Indian regulatory context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NSE India Historical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National Stock Exchange of India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Ongoing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Parameter calibration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Appendix A: Formula Quick-Reference Sheet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400"/>
      </w:tblGrid>
      <w:tr>
        <w:tc>
          <w:tcPr>
            <w:tcW w:type="dxa" w:w="200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Formula</w:t>
            </w:r>
          </w:p>
        </w:tc>
        <w:tc>
          <w:tcPr>
            <w:tcW w:type="dxa" w:w="360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Expression</w:t>
            </w:r>
          </w:p>
        </w:tc>
        <w:tc>
          <w:tcPr>
            <w:tcW w:type="dxa" w:w="340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Variables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GBM Discrete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S(t+Δt) = S(t)·exp[(μ−σ²/2)Δt + σε√Δt]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μ=drift, σ=vol, ε~N(0,1)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Parametric VAR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 = Inv × (z_α·σ_d − μ_d)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z_α = NORMSINV(α), σ_d=σ/√252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CVaR / 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 = φ(z_α)/(1−α) × σ_d × Inv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φ = standard normal PDF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Portfolio Vol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σ_p = √(w'Σw)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Σ = covariance matrix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Horizon Scaling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VAR(T) = VAR(1d) × √T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 = days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Sharpe Ratio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 = (μ−Rf)/σ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 = risk-free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Box-Muller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 = √(−2 ln U₁)·cos(2πU₂)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U₁, U₂ ~ Uniform(0,1)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Diversif. Ratio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 = Σ(wᵢσᵢ)/σ_p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Ratio &gt; 1 = benefit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QUANTRISK Monte Carlo Engine —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B4D8" w:sz="2" w:space="4"/>
      </w:pBdr>
      <w:spacing w:after="200" w:before="400"/>
      <w:outlineLvl w:val="0"/>
    </w:pPr>
    <w:rPr>
      <w:rFonts w:ascii="Arial" w:cs="Arial" w:eastAsia="Arial" w:hAnsi="Arial"/>
      <w:b/>
      <w:bCs/>
      <w:color w:val="0D111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B4D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2026-04-21T16:19:39.175Z</dcterms:created>
  <dcterms:modified xsi:type="dcterms:W3CDTF">2026-04-21T16:19:39.175Z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