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444444"/>
          <w:sz w:val="18"/>
        </w:rPr>
        <w:t>PROCESS ENGINEERING</w:t>
      </w:r>
    </w:p>
    <w:p>
      <w:pPr>
        <w:spacing w:after="40"/>
      </w:pPr>
      <w:r>
        <w:rPr>
          <w:rFonts w:ascii="Calibri" w:hAnsi="Calibri" w:eastAsia="Calibri"/>
          <w:b/>
          <w:i w:val="0"/>
          <w:color w:val="15324B"/>
          <w:sz w:val="34"/>
        </w:rPr>
        <w:t>Metrology Sampling Plan</w:t>
      </w:r>
    </w:p>
    <w:p>
      <w:pPr>
        <w:spacing w:after="40"/>
      </w:pPr>
      <w:r>
        <w:rPr>
          <w:rFonts w:ascii="Calibri" w:hAnsi="Calibri" w:eastAsia="Calibri"/>
          <w:b w:val="0"/>
          <w:i w:val="0"/>
          <w:color w:val="444444"/>
          <w:sz w:val="22"/>
        </w:rPr>
        <w:t>49-Site Sheet Resistance Map  |  150 mm Wafers</w:t>
      </w:r>
    </w:p>
    <w:p>
      <w:pPr>
        <w:spacing w:after="200"/>
      </w:pPr>
      <w:r>
        <w:rPr>
          <w:rFonts w:ascii="Calibri" w:hAnsi="Calibri" w:eastAsia="Calibri"/>
          <w:b w:val="0"/>
          <w:i w:val="0"/>
          <w:color w:val="444444"/>
          <w:sz w:val="19"/>
        </w:rPr>
        <w:t>SP-RS-045  |  Rev B</w:t>
      </w:r>
    </w:p>
    <w:p>
      <w:pPr>
        <w:spacing w:after="120"/>
      </w:pPr>
      <w:r>
        <w:rPr>
          <w:rFonts w:ascii="Calibri" w:hAnsi="Calibri" w:eastAsia="Calibri"/>
          <w:b w:val="0"/>
          <w:i w:val="0"/>
          <w:color w:val="000000"/>
          <w:sz w:val="22"/>
        </w:rPr>
        <w:t>This plan defines the site sampling pattern for the post-anneal Rs map, the edge exclusion rule, and the retest handling rule. Spec limits, the nonuniformity definition, and bin thresholds are in SPEC-RS-118. Site coordinates for each of the 49 sites are provided in the metrology export (Site_Map sheet).</w:t>
      </w:r>
    </w:p>
    <w:p>
      <w:pPr>
        <w:spacing w:after="120"/>
      </w:pPr>
      <w:r>
        <w:rPr>
          <w:rFonts w:ascii="Calibri" w:hAnsi="Calibri" w:eastAsia="Calibri"/>
          <w:b w:val="0"/>
          <w:i/>
          <w:color w:val="444444"/>
          <w:sz w:val="17"/>
        </w:rPr>
        <w:t>CONFIDENTIAL - INTERNAL PROCESS ENGINEERING.</w:t>
      </w:r>
    </w:p>
    <w:p>
      <w:pPr>
        <w:spacing w:before="240" w:after="80"/>
        <w:pBdr>
          <w:bottom w:val="single" w:sz="6" w:space="2" w:color="15324B"/>
        </w:pBdr>
      </w:pPr>
      <w:r>
        <w:rPr>
          <w:rFonts w:ascii="Calibri" w:hAnsi="Calibri" w:eastAsia="Calibri"/>
          <w:b/>
          <w:i w:val="0"/>
          <w:color w:val="15324B"/>
          <w:sz w:val="26"/>
        </w:rPr>
        <w:t>1   Wafer and Pattern</w:t>
      </w:r>
    </w:p>
    <w:p>
      <w:pPr>
        <w:spacing w:after="120"/>
      </w:pPr>
      <w:r>
        <w:rPr>
          <w:rFonts w:ascii="Calibri" w:hAnsi="Calibri" w:eastAsia="Calibri"/>
          <w:b w:val="0"/>
          <w:i w:val="0"/>
          <w:color w:val="000000"/>
          <w:sz w:val="22"/>
        </w:rPr>
        <w:t>Wafers are 150 mm diameter, so the usable radius is 75 mm from center. The Rs pattern is a 49-site polar map: one center site and four concentric rings of increasing radius. Sites are numbered from the center outward, ring by ring. The wafer notch is at the bottom (the negative y direction) and defines the zero reference for site angles.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15324B"/>
          </w:tcPr>
          <w:p>
            <w:r/>
            <w:r>
              <w:rPr>
                <w:rFonts w:ascii="Calibri" w:hAnsi="Calibri" w:eastAsia="Calibri"/>
                <w:b/>
                <w:i w:val="0"/>
                <w:color w:val="FFFFFF"/>
                <w:sz w:val="19"/>
              </w:rPr>
              <w:t>Ring</w:t>
            </w:r>
          </w:p>
        </w:tc>
        <w:tc>
          <w:tcPr>
            <w:tcW w:type="dxa" w:w="2016"/>
            <w:shd w:val="clear" w:color="auto" w:fill="15324B"/>
          </w:tcPr>
          <w:p>
            <w:r/>
            <w:r>
              <w:rPr>
                <w:rFonts w:ascii="Calibri" w:hAnsi="Calibri" w:eastAsia="Calibri"/>
                <w:b/>
                <w:i w:val="0"/>
                <w:color w:val="FFFFFF"/>
                <w:sz w:val="19"/>
              </w:rPr>
              <w:t>Sites</w:t>
            </w:r>
          </w:p>
        </w:tc>
        <w:tc>
          <w:tcPr>
            <w:tcW w:type="dxa" w:w="3456"/>
            <w:shd w:val="clear" w:color="auto" w:fill="15324B"/>
          </w:tcPr>
          <w:p>
            <w:r/>
            <w:r>
              <w:rPr>
                <w:rFonts w:ascii="Calibri" w:hAnsi="Calibri" w:eastAsia="Calibri"/>
                <w:b/>
                <w:i w:val="0"/>
                <w:color w:val="FFFFFF"/>
                <w:sz w:val="19"/>
              </w:rPr>
              <w:t>Nominal radius</w:t>
            </w:r>
          </w:p>
        </w:tc>
      </w:tr>
      <w:tr>
        <w:tc>
          <w:tcPr>
            <w:tcW w:type="dxa" w:w="2592"/>
          </w:tcPr>
          <w:p>
            <w:r/>
            <w:r>
              <w:rPr>
                <w:rFonts w:ascii="Calibri" w:hAnsi="Calibri" w:eastAsia="Calibri"/>
                <w:b w:val="0"/>
                <w:i w:val="0"/>
                <w:color w:val="000000"/>
                <w:sz w:val="19"/>
              </w:rPr>
              <w:t>Center</w:t>
            </w:r>
          </w:p>
        </w:tc>
        <w:tc>
          <w:tcPr>
            <w:tcW w:type="dxa" w:w="2016"/>
          </w:tcPr>
          <w:p>
            <w:r/>
            <w:r>
              <w:rPr>
                <w:rFonts w:ascii="Calibri" w:hAnsi="Calibri" w:eastAsia="Calibri"/>
                <w:b w:val="0"/>
                <w:i w:val="0"/>
                <w:color w:val="000000"/>
                <w:sz w:val="19"/>
              </w:rPr>
              <w:t>1</w:t>
            </w:r>
          </w:p>
        </w:tc>
        <w:tc>
          <w:tcPr>
            <w:tcW w:type="dxa" w:w="3456"/>
          </w:tcPr>
          <w:p>
            <w:r/>
            <w:r>
              <w:rPr>
                <w:rFonts w:ascii="Calibri" w:hAnsi="Calibri" w:eastAsia="Calibri"/>
                <w:b w:val="0"/>
                <w:i w:val="0"/>
                <w:color w:val="000000"/>
                <w:sz w:val="19"/>
              </w:rPr>
              <w:t>0 mm</w:t>
            </w:r>
          </w:p>
        </w:tc>
      </w:tr>
      <w:tr>
        <w:tc>
          <w:tcPr>
            <w:tcW w:type="dxa" w:w="2592"/>
            <w:shd w:val="clear" w:color="auto" w:fill="EAF0F4"/>
          </w:tcPr>
          <w:p>
            <w:r/>
            <w:r>
              <w:rPr>
                <w:rFonts w:ascii="Calibri" w:hAnsi="Calibri" w:eastAsia="Calibri"/>
                <w:b w:val="0"/>
                <w:i w:val="0"/>
                <w:color w:val="000000"/>
                <w:sz w:val="19"/>
              </w:rPr>
              <w:t>Ring 1</w:t>
            </w:r>
          </w:p>
        </w:tc>
        <w:tc>
          <w:tcPr>
            <w:tcW w:type="dxa" w:w="2016"/>
            <w:shd w:val="clear" w:color="auto" w:fill="EAF0F4"/>
          </w:tcPr>
          <w:p>
            <w:r/>
            <w:r>
              <w:rPr>
                <w:rFonts w:ascii="Calibri" w:hAnsi="Calibri" w:eastAsia="Calibri"/>
                <w:b w:val="0"/>
                <w:i w:val="0"/>
                <w:color w:val="000000"/>
                <w:sz w:val="19"/>
              </w:rPr>
              <w:t>8</w:t>
            </w:r>
          </w:p>
        </w:tc>
        <w:tc>
          <w:tcPr>
            <w:tcW w:type="dxa" w:w="3456"/>
            <w:shd w:val="clear" w:color="auto" w:fill="EAF0F4"/>
          </w:tcPr>
          <w:p>
            <w:r/>
            <w:r>
              <w:rPr>
                <w:rFonts w:ascii="Calibri" w:hAnsi="Calibri" w:eastAsia="Calibri"/>
                <w:b w:val="0"/>
                <w:i w:val="0"/>
                <w:color w:val="000000"/>
                <w:sz w:val="19"/>
              </w:rPr>
              <w:t>22 mm</w:t>
            </w:r>
          </w:p>
        </w:tc>
      </w:tr>
      <w:tr>
        <w:tc>
          <w:tcPr>
            <w:tcW w:type="dxa" w:w="2592"/>
          </w:tcPr>
          <w:p>
            <w:r/>
            <w:r>
              <w:rPr>
                <w:rFonts w:ascii="Calibri" w:hAnsi="Calibri" w:eastAsia="Calibri"/>
                <w:b w:val="0"/>
                <w:i w:val="0"/>
                <w:color w:val="000000"/>
                <w:sz w:val="19"/>
              </w:rPr>
              <w:t>Ring 2</w:t>
            </w:r>
          </w:p>
        </w:tc>
        <w:tc>
          <w:tcPr>
            <w:tcW w:type="dxa" w:w="2016"/>
          </w:tcPr>
          <w:p>
            <w:r/>
            <w:r>
              <w:rPr>
                <w:rFonts w:ascii="Calibri" w:hAnsi="Calibri" w:eastAsia="Calibri"/>
                <w:b w:val="0"/>
                <w:i w:val="0"/>
                <w:color w:val="000000"/>
                <w:sz w:val="19"/>
              </w:rPr>
              <w:t>12</w:t>
            </w:r>
          </w:p>
        </w:tc>
        <w:tc>
          <w:tcPr>
            <w:tcW w:type="dxa" w:w="3456"/>
          </w:tcPr>
          <w:p>
            <w:r/>
            <w:r>
              <w:rPr>
                <w:rFonts w:ascii="Calibri" w:hAnsi="Calibri" w:eastAsia="Calibri"/>
                <w:b w:val="0"/>
                <w:i w:val="0"/>
                <w:color w:val="000000"/>
                <w:sz w:val="19"/>
              </w:rPr>
              <w:t>40 mm</w:t>
            </w:r>
          </w:p>
        </w:tc>
      </w:tr>
      <w:tr>
        <w:tc>
          <w:tcPr>
            <w:tcW w:type="dxa" w:w="2592"/>
            <w:shd w:val="clear" w:color="auto" w:fill="EAF0F4"/>
          </w:tcPr>
          <w:p>
            <w:r/>
            <w:r>
              <w:rPr>
                <w:rFonts w:ascii="Calibri" w:hAnsi="Calibri" w:eastAsia="Calibri"/>
                <w:b w:val="0"/>
                <w:i w:val="0"/>
                <w:color w:val="000000"/>
                <w:sz w:val="19"/>
              </w:rPr>
              <w:t>Ring 3</w:t>
            </w:r>
          </w:p>
        </w:tc>
        <w:tc>
          <w:tcPr>
            <w:tcW w:type="dxa" w:w="2016"/>
            <w:shd w:val="clear" w:color="auto" w:fill="EAF0F4"/>
          </w:tcPr>
          <w:p>
            <w:r/>
            <w:r>
              <w:rPr>
                <w:rFonts w:ascii="Calibri" w:hAnsi="Calibri" w:eastAsia="Calibri"/>
                <w:b w:val="0"/>
                <w:i w:val="0"/>
                <w:color w:val="000000"/>
                <w:sz w:val="19"/>
              </w:rPr>
              <w:t>12</w:t>
            </w:r>
          </w:p>
        </w:tc>
        <w:tc>
          <w:tcPr>
            <w:tcW w:type="dxa" w:w="3456"/>
            <w:shd w:val="clear" w:color="auto" w:fill="EAF0F4"/>
          </w:tcPr>
          <w:p>
            <w:r/>
            <w:r>
              <w:rPr>
                <w:rFonts w:ascii="Calibri" w:hAnsi="Calibri" w:eastAsia="Calibri"/>
                <w:b w:val="0"/>
                <w:i w:val="0"/>
                <w:color w:val="000000"/>
                <w:sz w:val="19"/>
              </w:rPr>
              <w:t>58 mm</w:t>
            </w:r>
          </w:p>
        </w:tc>
      </w:tr>
      <w:tr>
        <w:tc>
          <w:tcPr>
            <w:tcW w:type="dxa" w:w="2592"/>
          </w:tcPr>
          <w:p>
            <w:r/>
            <w:r>
              <w:rPr>
                <w:rFonts w:ascii="Calibri" w:hAnsi="Calibri" w:eastAsia="Calibri"/>
                <w:b w:val="0"/>
                <w:i w:val="0"/>
                <w:color w:val="000000"/>
                <w:sz w:val="19"/>
              </w:rPr>
              <w:t>Ring 4 (outer)</w:t>
            </w:r>
          </w:p>
        </w:tc>
        <w:tc>
          <w:tcPr>
            <w:tcW w:type="dxa" w:w="2016"/>
          </w:tcPr>
          <w:p>
            <w:r/>
            <w:r>
              <w:rPr>
                <w:rFonts w:ascii="Calibri" w:hAnsi="Calibri" w:eastAsia="Calibri"/>
                <w:b w:val="0"/>
                <w:i w:val="0"/>
                <w:color w:val="000000"/>
                <w:sz w:val="19"/>
              </w:rPr>
              <w:t>16</w:t>
            </w:r>
          </w:p>
        </w:tc>
        <w:tc>
          <w:tcPr>
            <w:tcW w:type="dxa" w:w="3456"/>
          </w:tcPr>
          <w:p>
            <w:r/>
            <w:r>
              <w:rPr>
                <w:rFonts w:ascii="Calibri" w:hAnsi="Calibri" w:eastAsia="Calibri"/>
                <w:b w:val="0"/>
                <w:i w:val="0"/>
                <w:color w:val="000000"/>
                <w:sz w:val="19"/>
              </w:rPr>
              <w:t>73 mm</w:t>
            </w:r>
          </w:p>
        </w:tc>
      </w:tr>
    </w:tbl>
    <w:p>
      <w:pPr>
        <w:spacing w:after="120"/>
      </w:pPr>
      <w:r>
        <w:rPr>
          <w:rFonts w:ascii="Calibri" w:hAnsi="Calibri" w:eastAsia="Calibri"/>
          <w:b w:val="0"/>
          <w:i w:val="0"/>
          <w:color w:val="444444"/>
          <w:sz w:val="19"/>
        </w:rPr>
        <w:t>The exact x and y coordinate of every site is listed in the Site_Map sheet of the measurement export. Use the listed radius for each site rather than assuming the nominal ring radius.</w:t>
      </w:r>
    </w:p>
    <w:p>
      <w:pPr>
        <w:spacing w:before="240" w:after="80"/>
        <w:pBdr>
          <w:bottom w:val="single" w:sz="6" w:space="2" w:color="15324B"/>
        </w:pBdr>
      </w:pPr>
      <w:r>
        <w:rPr>
          <w:rFonts w:ascii="Calibri" w:hAnsi="Calibri" w:eastAsia="Calibri"/>
          <w:b/>
          <w:i w:val="0"/>
          <w:color w:val="15324B"/>
          <w:sz w:val="26"/>
        </w:rPr>
        <w:t>2   Edge Exclusion</w:t>
      </w:r>
    </w:p>
    <w:p>
      <w:pPr>
        <w:spacing w:after="120"/>
      </w:pPr>
      <w:r>
        <w:rPr>
          <w:rFonts w:ascii="Calibri" w:hAnsi="Calibri" w:eastAsia="Calibri"/>
          <w:b w:val="0"/>
          <w:i w:val="0"/>
          <w:color w:val="000000"/>
          <w:sz w:val="22"/>
        </w:rPr>
        <w:t>An edge exclusion band of 3 mm is applied at the wafer edge. Any site whose radius from wafer center is greater than 72.0 mm falls within the exclusion band and is excluded from all statistics: within-wafer nonuniformity, wafer mean, wafer-to-wafer, bin counts, and yield. Excluded sites are still measured and still appear in the export, but they do not enter any calculation.</w:t>
      </w:r>
    </w:p>
    <w:p>
      <w:pPr>
        <w:spacing w:after="120"/>
      </w:pPr>
      <w:r>
        <w:rPr>
          <w:rFonts w:ascii="Calibri" w:hAnsi="Calibri" w:eastAsia="Calibri"/>
          <w:b w:val="0"/>
          <w:i/>
          <w:color w:val="444444"/>
          <w:sz w:val="19"/>
        </w:rPr>
        <w:t>Edge sites carry process artifacts from wafer handling and edge bead and are not representative. Including them inflates both the mean and the nonuniformity. Confirm each site against its listed radius before including it.</w:t>
      </w:r>
    </w:p>
    <w:p>
      <w:pPr>
        <w:spacing w:before="240" w:after="80"/>
        <w:pBdr>
          <w:bottom w:val="single" w:sz="6" w:space="2" w:color="15324B"/>
        </w:pBdr>
      </w:pPr>
      <w:r>
        <w:rPr>
          <w:rFonts w:ascii="Calibri" w:hAnsi="Calibri" w:eastAsia="Calibri"/>
          <w:b/>
          <w:i w:val="0"/>
          <w:color w:val="15324B"/>
          <w:sz w:val="26"/>
        </w:rPr>
        <w:t>3   Retest Handling</w:t>
      </w:r>
    </w:p>
    <w:p>
      <w:pPr>
        <w:spacing w:after="120"/>
      </w:pPr>
      <w:r>
        <w:rPr>
          <w:rFonts w:ascii="Calibri" w:hAnsi="Calibri" w:eastAsia="Calibri"/>
          <w:b w:val="0"/>
          <w:i w:val="0"/>
          <w:color w:val="000000"/>
          <w:sz w:val="22"/>
        </w:rPr>
        <w:t>A site may be measured more than once when the probe flags a contact or a suspect reading. When a site has more than one measurement on the same wafer, the measurement with the latest timestamp is the valid one and supersedes all earlier measurements of that site. Earlier measurements of a retested site are not averaged in and are not counted; only the latest reading is used.</w:t>
      </w:r>
    </w:p>
    <w:p>
      <w:pPr>
        <w:spacing w:after="120"/>
      </w:pPr>
      <w:r>
        <w:rPr>
          <w:rFonts w:ascii="Calibri" w:hAnsi="Calibri" w:eastAsia="Calibri"/>
          <w:b w:val="0"/>
          <w:i w:val="0"/>
          <w:color w:val="444444"/>
          <w:sz w:val="19"/>
        </w:rPr>
        <w:t>The export does not flag which rows are retests. Identify them by finding sites that appear more than once for a wafer, and keep the row with the greatest timestamp.</w:t>
      </w:r>
    </w:p>
    <w:p>
      <w:pPr>
        <w:spacing w:before="240" w:after="80"/>
        <w:pBdr>
          <w:bottom w:val="single" w:sz="6" w:space="2" w:color="15324B"/>
        </w:pBdr>
      </w:pPr>
      <w:r>
        <w:rPr>
          <w:rFonts w:ascii="Calibri" w:hAnsi="Calibri" w:eastAsia="Calibri"/>
          <w:b/>
          <w:i w:val="0"/>
          <w:color w:val="15324B"/>
          <w:sz w:val="26"/>
        </w:rPr>
        <w:t>4   Order of Operations</w:t>
      </w:r>
    </w:p>
    <w:p>
      <w:pPr>
        <w:spacing w:after="120"/>
      </w:pPr>
      <w:r>
        <w:rPr>
          <w:rFonts w:ascii="Calibri" w:hAnsi="Calibri" w:eastAsia="Calibri"/>
          <w:b w:val="0"/>
          <w:i w:val="0"/>
          <w:color w:val="000000"/>
          <w:sz w:val="22"/>
        </w:rPr>
        <w:t>Apply the rules in this order before computing any statistic:</w:t>
      </w:r>
    </w:p>
    <w:p>
      <w:pPr>
        <w:pStyle w:val="ListBullet"/>
        <w:spacing w:after="60"/>
      </w:pPr>
      <w:r>
        <w:rPr>
          <w:rFonts w:ascii="Calibri" w:hAnsi="Calibri" w:eastAsia="Calibri"/>
          <w:b w:val="0"/>
          <w:i w:val="0"/>
          <w:color w:val="000000"/>
          <w:sz w:val="22"/>
        </w:rPr>
        <w:t>Resolve retests first: for each wafer and site, keep only the latest-timestamp measurement.</w:t>
      </w:r>
    </w:p>
    <w:p>
      <w:pPr>
        <w:pStyle w:val="ListBullet"/>
        <w:spacing w:after="60"/>
      </w:pPr>
      <w:r>
        <w:rPr>
          <w:rFonts w:ascii="Calibri" w:hAnsi="Calibri" w:eastAsia="Calibri"/>
          <w:b w:val="0"/>
          <w:i w:val="0"/>
          <w:color w:val="000000"/>
          <w:sz w:val="22"/>
        </w:rPr>
        <w:t>Apply edge exclusion: drop any site whose radius exceeds the exclusion threshold.</w:t>
      </w:r>
    </w:p>
    <w:p>
      <w:pPr>
        <w:pStyle w:val="ListBullet"/>
        <w:spacing w:after="60"/>
      </w:pPr>
      <w:r>
        <w:rPr>
          <w:rFonts w:ascii="Calibri" w:hAnsi="Calibri" w:eastAsia="Calibri"/>
          <w:b w:val="0"/>
          <w:i w:val="0"/>
          <w:color w:val="000000"/>
          <w:sz w:val="22"/>
        </w:rPr>
        <w:t>Then compute per-wafer statistics, bins, wafer-to-wafer, and lot yield on what remains.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44444"/>
        <w:sz w:val="16"/>
      </w:rPr>
      <w:t xml:space="preserve">SP-RS-045 Rev B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Metrology Sampling Plan SP-RS-045</dc:title>
  <dc:subject/>
  <dc:creator>Process Engineering</dc:creator>
  <cp:keywords/>
  <dc:description/>
  <cp:lastModifiedBy/>
  <cp:revision>1</cp:revision>
  <dcterms:created xsi:type="dcterms:W3CDTF">2013-12-23T23:15:00Z</dcterms:created>
  <dcterms:modified xsi:type="dcterms:W3CDTF">2013-12-23T23:15:00Z</dcterms:modified>
  <cp:category/>
</cp:coreProperties>
</file>