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444444"/>
          <w:sz w:val="18"/>
        </w:rPr>
        <w:t>PROCESS ENGINEERING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15324B"/>
          <w:sz w:val="34"/>
        </w:rPr>
        <w:t>Sheet Resistance Specification and Lot Acceptance</w:t>
      </w:r>
    </w:p>
    <w:p>
      <w:pPr>
        <w:spacing w:after="40"/>
      </w:pPr>
      <w:r>
        <w:rPr>
          <w:rFonts w:ascii="Calibri" w:hAnsi="Calibri" w:eastAsia="Calibri"/>
          <w:b w:val="0"/>
          <w:i w:val="0"/>
          <w:color w:val="444444"/>
          <w:sz w:val="22"/>
        </w:rPr>
        <w:t>RTA Anneal, Product Family BX-Logic  |  Post-implant activation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444444"/>
          <w:sz w:val="19"/>
        </w:rPr>
        <w:t>SPEC-RS-118  |  Rev D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This specification sets the sheet resistance (Rs) target and limits after the RTA activation anneal, the within-wafer nonuniformity definition, the site bin thresholds, and the lot acceptance criteria. The site measurement pattern and the site exclusion and retest rules are defined in the Sampling Plan (SP-RS-045); this specification does not restate them. Rs values are in ohms per square.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17"/>
        </w:rPr>
        <w:t>CONFIDENTIAL - INTERNAL PROCESS ENGINEERING.</w:t>
      </w:r>
    </w:p>
    <w:p>
      <w:pPr>
        <w:spacing w:before="240" w:after="80"/>
        <w:pBdr>
          <w:bottom w:val="single" w:sz="6" w:space="2" w:color="15324B"/>
        </w:pBdr>
      </w:pPr>
      <w:r>
        <w:rPr>
          <w:rFonts w:ascii="Calibri" w:hAnsi="Calibri" w:eastAsia="Calibri"/>
          <w:b/>
          <w:i w:val="0"/>
          <w:color w:val="15324B"/>
          <w:sz w:val="26"/>
        </w:rPr>
        <w:t>1   Sheet Resistance Limits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The Rs target is 85 ohm/sq. The specification limits are plus or minus 5 percent of target. A site is within specification when its Rs is greater than or equal to the lower limit and less than or equal to the upper limit; a site outside either limit is a failing site.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15324B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4320"/>
            <w:shd w:val="clear" w:color="auto" w:fill="15324B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Target Rs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85.00 ohm/sq</w:t>
            </w:r>
          </w:p>
        </w:tc>
      </w:tr>
      <w:tr>
        <w:tc>
          <w:tcPr>
            <w:tcW w:type="dxa" w:w="4320"/>
            <w:shd w:val="clear" w:color="auto" w:fill="EAF0F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Tolerance</w:t>
            </w:r>
          </w:p>
        </w:tc>
        <w:tc>
          <w:tcPr>
            <w:tcW w:type="dxa" w:w="4320"/>
            <w:shd w:val="clear" w:color="auto" w:fill="EAF0F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+/- 5 % of target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Lower spec limit (LSL)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80.75 ohm/sq</w:t>
            </w:r>
          </w:p>
        </w:tc>
      </w:tr>
      <w:tr>
        <w:tc>
          <w:tcPr>
            <w:tcW w:type="dxa" w:w="4320"/>
            <w:shd w:val="clear" w:color="auto" w:fill="EAF0F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Upper spec limit (USL)</w:t>
            </w:r>
          </w:p>
        </w:tc>
        <w:tc>
          <w:tcPr>
            <w:tcW w:type="dxa" w:w="4320"/>
            <w:shd w:val="clear" w:color="auto" w:fill="EAF0F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89.25 ohm/sq</w:t>
            </w:r>
          </w:p>
        </w:tc>
      </w:tr>
    </w:tbl>
    <w:p>
      <w:pPr>
        <w:spacing w:before="240" w:after="80"/>
        <w:pBdr>
          <w:bottom w:val="single" w:sz="6" w:space="2" w:color="15324B"/>
        </w:pBdr>
      </w:pPr>
      <w:r>
        <w:rPr>
          <w:rFonts w:ascii="Calibri" w:hAnsi="Calibri" w:eastAsia="Calibri"/>
          <w:b/>
          <w:i w:val="0"/>
          <w:color w:val="15324B"/>
          <w:sz w:val="26"/>
        </w:rPr>
        <w:t>2   Within-Wafer Nonuniformity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Within-wafer nonuniformity (WIW NU) is computed over the included sites of a wafer, after the site exclusion rule in the sampling plan has been applied. The definition used for lot acceptance is the half-range definition:</w:t>
      </w:r>
    </w:p>
    <w:p>
      <w:pPr>
        <w:jc w:val="center"/>
      </w:pPr>
      <w:r>
        <w:rPr>
          <w:rFonts w:ascii="Calibri" w:hAnsi="Calibri" w:eastAsia="Calibri"/>
          <w:b/>
          <w:i w:val="0"/>
          <w:color w:val="000000"/>
          <w:sz w:val="22"/>
        </w:rPr>
        <w:t>WIW NU (%) = (Rs_max - Rs_min) / (2 x Rs_mean) x 100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where Rs_max, Rs_min, and Rs_mean are taken over the included sites of that wafer. Do not use a standard deviation based definition for acceptance; the half-range definition above is the controlling one. A wafer passes the uniformity criterion when its WIW NU is at or below 5.0 percent.</w:t>
      </w:r>
    </w:p>
    <w:p>
      <w:pPr>
        <w:spacing w:before="240" w:after="80"/>
        <w:pBdr>
          <w:bottom w:val="single" w:sz="6" w:space="2" w:color="15324B"/>
        </w:pBdr>
      </w:pPr>
      <w:r>
        <w:rPr>
          <w:rFonts w:ascii="Calibri" w:hAnsi="Calibri" w:eastAsia="Calibri"/>
          <w:b/>
          <w:i w:val="0"/>
          <w:color w:val="15324B"/>
          <w:sz w:val="26"/>
        </w:rPr>
        <w:t>3   Site Bins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Each included site is binned by its Rs relative to target. The warn band flags sites that are within specification but more than 3 percent from target.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15324B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9"/>
              </w:rPr>
              <w:t>Bin</w:t>
            </w:r>
          </w:p>
        </w:tc>
        <w:tc>
          <w:tcPr>
            <w:tcW w:type="dxa" w:w="5760"/>
            <w:shd w:val="clear" w:color="auto" w:fill="15324B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9"/>
              </w:rPr>
              <w:t>Condition</w:t>
            </w:r>
          </w:p>
        </w:tc>
        <w:tc>
          <w:tcPr>
            <w:tcW w:type="dxa" w:w="2736"/>
            <w:shd w:val="clear" w:color="auto" w:fill="15324B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PASS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within 82.45 to 87.55 ohm/sq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within 3 % of target</w:t>
            </w:r>
          </w:p>
        </w:tc>
      </w:tr>
      <w:tr>
        <w:tc>
          <w:tcPr>
            <w:tcW w:type="dxa" w:w="1584"/>
            <w:shd w:val="clear" w:color="auto" w:fill="EAF0F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WARN</w:t>
            </w:r>
          </w:p>
        </w:tc>
        <w:tc>
          <w:tcPr>
            <w:tcW w:type="dxa" w:w="5760"/>
            <w:shd w:val="clear" w:color="auto" w:fill="EAF0F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in spec but outside the PASS band (&gt;= 80.75 and &lt;= 89.25)</w:t>
            </w:r>
          </w:p>
        </w:tc>
        <w:tc>
          <w:tcPr>
            <w:tcW w:type="dxa" w:w="2736"/>
            <w:shd w:val="clear" w:color="auto" w:fill="EAF0F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3 % to 5 % from target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FAIL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below 80.75 or above 89.25 ohm/sq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out of specification</w:t>
            </w:r>
          </w:p>
        </w:tc>
      </w:tr>
    </w:tbl>
    <w:p>
      <w:pPr>
        <w:spacing w:before="240" w:after="80"/>
        <w:pBdr>
          <w:bottom w:val="single" w:sz="6" w:space="2" w:color="15324B"/>
        </w:pBdr>
      </w:pPr>
      <w:r>
        <w:rPr>
          <w:rFonts w:ascii="Calibri" w:hAnsi="Calibri" w:eastAsia="Calibri"/>
          <w:b/>
          <w:i w:val="0"/>
          <w:color w:val="15324B"/>
          <w:sz w:val="26"/>
        </w:rPr>
        <w:t>4   Wafer and Lot Acceptance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Wafer-to-wafer (W2W) variation is computed from the per-wafer mean Rs across the lot, over included sites only. It is reported as a half-range percentage of the lot mean:</w:t>
      </w:r>
    </w:p>
    <w:p>
      <w:pPr>
        <w:jc w:val="center"/>
      </w:pPr>
      <w:r>
        <w:rPr>
          <w:rFonts w:ascii="Calibri" w:hAnsi="Calibri" w:eastAsia="Calibri"/>
          <w:b/>
          <w:i w:val="0"/>
          <w:color w:val="000000"/>
          <w:sz w:val="22"/>
        </w:rPr>
        <w:t>W2W (%) = (mean_max - mean_min) / (2 x lot_mean) x 100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Lot yield is the count of included sites within specification across all wafers, divided by the total count of included sites across all wafers.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000000"/>
          <w:sz w:val="22"/>
        </w:rPr>
        <w:t>Wafer uniformity criterion: WIW NU at or below 5.0 percent.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000000"/>
          <w:sz w:val="22"/>
        </w:rPr>
        <w:t>Wafer-to-wafer criterion: W2W at or below 3.0 percent.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000000"/>
          <w:sz w:val="22"/>
        </w:rPr>
        <w:t>Lot yield criterion: at or above 95.0 percent of included sites within specification.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000000"/>
          <w:sz w:val="22"/>
        </w:rPr>
        <w:t>A lot that meets all three criteria is dispositioned CONTINUE. A lot that misses any criterion is placed on HOLD for engineering review.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44444"/>
        <w:sz w:val="16"/>
      </w:rPr>
      <w:t xml:space="preserve">SPEC-RS-118 Rev D   |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Sheet Resistance Specification SPEC-RS-118</dc:title>
  <dc:subject/>
  <dc:creator>Process Engineering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