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444444"/>
          <w:sz w:val="18"/>
        </w:rPr>
        <w:t>PRODUCT REQUIREMENTS</w:t>
      </w:r>
    </w:p>
    <w:p>
      <w:pPr>
        <w:spacing w:after="40"/>
      </w:pPr>
      <w:r>
        <w:rPr>
          <w:rFonts w:ascii="Calibri" w:hAnsi="Calibri" w:eastAsia="Calibri"/>
          <w:b/>
          <w:i w:val="0"/>
          <w:color w:val="1F385C"/>
          <w:sz w:val="36"/>
        </w:rPr>
        <w:t>LoanPreQual Decision Service</w:t>
      </w:r>
    </w:p>
    <w:p>
      <w:pPr>
        <w:spacing w:after="40"/>
      </w:pPr>
      <w:r>
        <w:rPr>
          <w:rFonts w:ascii="Calibri" w:hAnsi="Calibri" w:eastAsia="Calibri"/>
          <w:b w:val="0"/>
          <w:i w:val="0"/>
          <w:color w:val="444444"/>
          <w:sz w:val="22"/>
        </w:rPr>
        <w:t>Feature Specification  |  Consumer Lending Platform</w:t>
      </w:r>
    </w:p>
    <w:p>
      <w:pPr>
        <w:spacing w:after="200"/>
      </w:pPr>
      <w:r>
        <w:rPr>
          <w:rFonts w:ascii="Calibri" w:hAnsi="Calibri" w:eastAsia="Calibri"/>
          <w:b w:val="0"/>
          <w:i w:val="0"/>
          <w:color w:val="444444"/>
          <w:sz w:val="19"/>
        </w:rPr>
        <w:t>JIRA LPQ-482  |  Release 2.4  |  Status: Approved for build</w:t>
      </w:r>
    </w:p>
    <w:p>
      <w:pPr>
        <w:spacing w:after="120"/>
      </w:pPr>
      <w:r>
        <w:rPr>
          <w:rFonts w:ascii="Calibri" w:hAnsi="Calibri" w:eastAsia="Calibri"/>
          <w:b w:val="0"/>
          <w:i w:val="0"/>
          <w:color w:val="000000"/>
          <w:sz w:val="22"/>
        </w:rPr>
        <w:t>This specification defines the behaviour of the pre-qualification decision service. The service takes a single applicant record and returns one decision. It is a synchronous call from the online application front end and from the branch origination tool. This document is the source of truth for behaviour. Field validation limits are held in the Field Validation Reference (LPQ-482-VAL), and the decision rule set and its evaluation order are held in the Decision Rules workbook (LPQ-482-RULES). Read all three together.</w:t>
      </w:r>
    </w:p>
    <w:p>
      <w:pPr>
        <w:spacing w:after="120"/>
      </w:pPr>
      <w:r>
        <w:rPr>
          <w:rFonts w:ascii="Calibri" w:hAnsi="Calibri" w:eastAsia="Calibri"/>
          <w:b w:val="0"/>
          <w:i/>
          <w:color w:val="444444"/>
          <w:sz w:val="21"/>
        </w:rPr>
        <w:t>This document does not contain test cases. QA will derive the test suite from this specification and the two companion references.</w:t>
      </w:r>
    </w:p>
    <w:p>
      <w:r>
        <w:br w:type="page"/>
      </w:r>
    </w:p>
    <w:p>
      <w:pPr>
        <w:spacing w:before="240" w:after="80"/>
        <w:pBdr>
          <w:bottom w:val="single" w:sz="6" w:space="2" w:color="1F385C"/>
        </w:pBdr>
      </w:pPr>
      <w:r>
        <w:rPr>
          <w:rFonts w:ascii="Calibri" w:hAnsi="Calibri" w:eastAsia="Calibri"/>
          <w:b/>
          <w:i w:val="0"/>
          <w:color w:val="1F385C"/>
          <w:sz w:val="26"/>
        </w:rPr>
        <w:t>1   Purpose and Scope</w:t>
      </w:r>
    </w:p>
    <w:p>
      <w:pPr>
        <w:spacing w:after="120"/>
      </w:pPr>
      <w:r>
        <w:rPr>
          <w:rFonts w:ascii="Calibri" w:hAnsi="Calibri" w:eastAsia="Calibri"/>
          <w:b w:val="0"/>
          <w:i w:val="0"/>
          <w:color w:val="000000"/>
          <w:sz w:val="22"/>
        </w:rPr>
        <w:t>LoanPreQual gives an applicant an immediate, non-binding pre-qualification decision for an unsecured personal loan. It does not pull a hard credit file, disburse funds, or create an account. It reads the applicant record captured on the intake form, validates it, evaluates the lending rules, and returns one of a fixed set of decision outcomes with a short reason.</w:t>
      </w:r>
    </w:p>
    <w:p>
      <w:pPr>
        <w:spacing w:after="120"/>
      </w:pPr>
      <w:r>
        <w:rPr>
          <w:rFonts w:ascii="Calibri" w:hAnsi="Calibri" w:eastAsia="Calibri"/>
          <w:b w:val="0"/>
          <w:i w:val="0"/>
          <w:color w:val="000000"/>
          <w:sz w:val="22"/>
        </w:rPr>
        <w:t>In scope: field validation of the applicant record, evaluation of the decision rule set, and the returned decision. Out of scope: identity verification, fraud scoring, document upload, and downstream funding. Those are separate services and are not exercised here.</w:t>
      </w:r>
    </w:p>
    <w:p>
      <w:pPr>
        <w:spacing w:before="240" w:after="80"/>
        <w:pBdr>
          <w:bottom w:val="single" w:sz="6" w:space="2" w:color="1F385C"/>
        </w:pBdr>
      </w:pPr>
      <w:r>
        <w:rPr>
          <w:rFonts w:ascii="Calibri" w:hAnsi="Calibri" w:eastAsia="Calibri"/>
          <w:b/>
          <w:i w:val="0"/>
          <w:color w:val="1F385C"/>
          <w:sz w:val="26"/>
        </w:rPr>
        <w:t>2   Applicant Record (Request)</w:t>
      </w:r>
    </w:p>
    <w:p>
      <w:pPr>
        <w:spacing w:after="120"/>
      </w:pPr>
      <w:r>
        <w:rPr>
          <w:rFonts w:ascii="Calibri" w:hAnsi="Calibri" w:eastAsia="Calibri"/>
          <w:b w:val="0"/>
          <w:i w:val="0"/>
          <w:color w:val="000000"/>
          <w:sz w:val="22"/>
        </w:rPr>
        <w:t>The service accepts one applicant record per call. Every field is mandatory. The fields, their business meaning, and their permitted values are specified in the Field Validation Reference; the summary below is for context only and is not the authority on limits.</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1F385C"/>
          </w:tcPr>
          <w:p>
            <w:r/>
            <w:r>
              <w:rPr>
                <w:rFonts w:ascii="Calibri" w:hAnsi="Calibri" w:eastAsia="Calibri"/>
                <w:b/>
                <w:i w:val="0"/>
                <w:color w:val="FFFFFF"/>
                <w:sz w:val="19"/>
              </w:rPr>
              <w:t>Field</w:t>
            </w:r>
          </w:p>
        </w:tc>
        <w:tc>
          <w:tcPr>
            <w:tcW w:type="dxa" w:w="6624"/>
            <w:shd w:val="clear" w:color="auto" w:fill="1F385C"/>
          </w:tcPr>
          <w:p>
            <w:r/>
            <w:r>
              <w:rPr>
                <w:rFonts w:ascii="Calibri" w:hAnsi="Calibri" w:eastAsia="Calibri"/>
                <w:b/>
                <w:i w:val="0"/>
                <w:color w:val="FFFFFF"/>
                <w:sz w:val="19"/>
              </w:rPr>
              <w:t>Meaning</w:t>
            </w:r>
          </w:p>
        </w:tc>
      </w:tr>
      <w:tr>
        <w:tc>
          <w:tcPr>
            <w:tcW w:type="dxa" w:w="2736"/>
          </w:tcPr>
          <w:p>
            <w:r/>
            <w:r>
              <w:rPr>
                <w:rFonts w:ascii="Calibri" w:hAnsi="Calibri" w:eastAsia="Calibri"/>
                <w:b w:val="0"/>
                <w:i w:val="0"/>
                <w:color w:val="000000"/>
                <w:sz w:val="19"/>
              </w:rPr>
              <w:t>applicant_age</w:t>
            </w:r>
          </w:p>
        </w:tc>
        <w:tc>
          <w:tcPr>
            <w:tcW w:type="dxa" w:w="6624"/>
          </w:tcPr>
          <w:p>
            <w:r/>
            <w:r>
              <w:rPr>
                <w:rFonts w:ascii="Calibri" w:hAnsi="Calibri" w:eastAsia="Calibri"/>
                <w:b w:val="0"/>
                <w:i w:val="0"/>
                <w:color w:val="000000"/>
                <w:sz w:val="19"/>
              </w:rPr>
              <w:t>Age of the primary applicant in whole years.</w:t>
            </w:r>
          </w:p>
        </w:tc>
      </w:tr>
      <w:tr>
        <w:tc>
          <w:tcPr>
            <w:tcW w:type="dxa" w:w="2736"/>
            <w:shd w:val="clear" w:color="auto" w:fill="EEF2F7"/>
          </w:tcPr>
          <w:p>
            <w:r/>
            <w:r>
              <w:rPr>
                <w:rFonts w:ascii="Calibri" w:hAnsi="Calibri" w:eastAsia="Calibri"/>
                <w:b w:val="0"/>
                <w:i w:val="0"/>
                <w:color w:val="000000"/>
                <w:sz w:val="19"/>
              </w:rPr>
              <w:t>annual_income</w:t>
            </w:r>
          </w:p>
        </w:tc>
        <w:tc>
          <w:tcPr>
            <w:tcW w:type="dxa" w:w="6624"/>
            <w:shd w:val="clear" w:color="auto" w:fill="EEF2F7"/>
          </w:tcPr>
          <w:p>
            <w:r/>
            <w:r>
              <w:rPr>
                <w:rFonts w:ascii="Calibri" w:hAnsi="Calibri" w:eastAsia="Calibri"/>
                <w:b w:val="0"/>
                <w:i w:val="0"/>
                <w:color w:val="000000"/>
                <w:sz w:val="19"/>
              </w:rPr>
              <w:t>Gross annual income in whole US dollars.</w:t>
            </w:r>
          </w:p>
        </w:tc>
      </w:tr>
      <w:tr>
        <w:tc>
          <w:tcPr>
            <w:tcW w:type="dxa" w:w="2736"/>
          </w:tcPr>
          <w:p>
            <w:r/>
            <w:r>
              <w:rPr>
                <w:rFonts w:ascii="Calibri" w:hAnsi="Calibri" w:eastAsia="Calibri"/>
                <w:b w:val="0"/>
                <w:i w:val="0"/>
                <w:color w:val="000000"/>
                <w:sz w:val="19"/>
              </w:rPr>
              <w:t>credit_score</w:t>
            </w:r>
          </w:p>
        </w:tc>
        <w:tc>
          <w:tcPr>
            <w:tcW w:type="dxa" w:w="6624"/>
          </w:tcPr>
          <w:p>
            <w:r/>
            <w:r>
              <w:rPr>
                <w:rFonts w:ascii="Calibri" w:hAnsi="Calibri" w:eastAsia="Calibri"/>
                <w:b w:val="0"/>
                <w:i w:val="0"/>
                <w:color w:val="000000"/>
                <w:sz w:val="19"/>
              </w:rPr>
              <w:t>Soft-pull bureau score.</w:t>
            </w:r>
          </w:p>
        </w:tc>
      </w:tr>
      <w:tr>
        <w:tc>
          <w:tcPr>
            <w:tcW w:type="dxa" w:w="2736"/>
            <w:shd w:val="clear" w:color="auto" w:fill="EEF2F7"/>
          </w:tcPr>
          <w:p>
            <w:r/>
            <w:r>
              <w:rPr>
                <w:rFonts w:ascii="Calibri" w:hAnsi="Calibri" w:eastAsia="Calibri"/>
                <w:b w:val="0"/>
                <w:i w:val="0"/>
                <w:color w:val="000000"/>
                <w:sz w:val="19"/>
              </w:rPr>
              <w:t>loan_amount</w:t>
            </w:r>
          </w:p>
        </w:tc>
        <w:tc>
          <w:tcPr>
            <w:tcW w:type="dxa" w:w="6624"/>
            <w:shd w:val="clear" w:color="auto" w:fill="EEF2F7"/>
          </w:tcPr>
          <w:p>
            <w:r/>
            <w:r>
              <w:rPr>
                <w:rFonts w:ascii="Calibri" w:hAnsi="Calibri" w:eastAsia="Calibri"/>
                <w:b w:val="0"/>
                <w:i w:val="0"/>
                <w:color w:val="000000"/>
                <w:sz w:val="19"/>
              </w:rPr>
              <w:t>Requested principal in whole US dollars.</w:t>
            </w:r>
          </w:p>
        </w:tc>
      </w:tr>
      <w:tr>
        <w:tc>
          <w:tcPr>
            <w:tcW w:type="dxa" w:w="2736"/>
          </w:tcPr>
          <w:p>
            <w:r/>
            <w:r>
              <w:rPr>
                <w:rFonts w:ascii="Calibri" w:hAnsi="Calibri" w:eastAsia="Calibri"/>
                <w:b w:val="0"/>
                <w:i w:val="0"/>
                <w:color w:val="000000"/>
                <w:sz w:val="19"/>
              </w:rPr>
              <w:t>existing_debt_ratio</w:t>
            </w:r>
          </w:p>
        </w:tc>
        <w:tc>
          <w:tcPr>
            <w:tcW w:type="dxa" w:w="6624"/>
          </w:tcPr>
          <w:p>
            <w:r/>
            <w:r>
              <w:rPr>
                <w:rFonts w:ascii="Calibri" w:hAnsi="Calibri" w:eastAsia="Calibri"/>
                <w:b w:val="0"/>
                <w:i w:val="0"/>
                <w:color w:val="000000"/>
                <w:sz w:val="19"/>
              </w:rPr>
              <w:t>Current debt-to-income ratio as a percentage, to one decimal place.</w:t>
            </w:r>
          </w:p>
        </w:tc>
      </w:tr>
      <w:tr>
        <w:tc>
          <w:tcPr>
            <w:tcW w:type="dxa" w:w="2736"/>
            <w:shd w:val="clear" w:color="auto" w:fill="EEF2F7"/>
          </w:tcPr>
          <w:p>
            <w:r/>
            <w:r>
              <w:rPr>
                <w:rFonts w:ascii="Calibri" w:hAnsi="Calibri" w:eastAsia="Calibri"/>
                <w:b w:val="0"/>
                <w:i w:val="0"/>
                <w:color w:val="000000"/>
                <w:sz w:val="19"/>
              </w:rPr>
              <w:t>employment_status</w:t>
            </w:r>
          </w:p>
        </w:tc>
        <w:tc>
          <w:tcPr>
            <w:tcW w:type="dxa" w:w="6624"/>
            <w:shd w:val="clear" w:color="auto" w:fill="EEF2F7"/>
          </w:tcPr>
          <w:p>
            <w:r/>
            <w:r>
              <w:rPr>
                <w:rFonts w:ascii="Calibri" w:hAnsi="Calibri" w:eastAsia="Calibri"/>
                <w:b w:val="0"/>
                <w:i w:val="0"/>
                <w:color w:val="000000"/>
                <w:sz w:val="19"/>
              </w:rPr>
              <w:t>Primary applicant employment category.</w:t>
            </w:r>
          </w:p>
        </w:tc>
      </w:tr>
      <w:tr>
        <w:tc>
          <w:tcPr>
            <w:tcW w:type="dxa" w:w="2736"/>
          </w:tcPr>
          <w:p>
            <w:r/>
            <w:r>
              <w:rPr>
                <w:rFonts w:ascii="Calibri" w:hAnsi="Calibri" w:eastAsia="Calibri"/>
                <w:b w:val="0"/>
                <w:i w:val="0"/>
                <w:color w:val="000000"/>
                <w:sz w:val="19"/>
              </w:rPr>
              <w:t>loan_term_months</w:t>
            </w:r>
          </w:p>
        </w:tc>
        <w:tc>
          <w:tcPr>
            <w:tcW w:type="dxa" w:w="6624"/>
          </w:tcPr>
          <w:p>
            <w:r/>
            <w:r>
              <w:rPr>
                <w:rFonts w:ascii="Calibri" w:hAnsi="Calibri" w:eastAsia="Calibri"/>
                <w:b w:val="0"/>
                <w:i w:val="0"/>
                <w:color w:val="000000"/>
                <w:sz w:val="19"/>
              </w:rPr>
              <w:t>Requested repayment term.</w:t>
            </w:r>
          </w:p>
        </w:tc>
      </w:tr>
    </w:tbl>
    <w:p>
      <w:pPr>
        <w:spacing w:before="240" w:after="80"/>
        <w:pBdr>
          <w:bottom w:val="single" w:sz="6" w:space="2" w:color="1F385C"/>
        </w:pBdr>
      </w:pPr>
      <w:r>
        <w:rPr>
          <w:rFonts w:ascii="Calibri" w:hAnsi="Calibri" w:eastAsia="Calibri"/>
          <w:b/>
          <w:i w:val="0"/>
          <w:color w:val="1F385C"/>
          <w:sz w:val="26"/>
        </w:rPr>
        <w:t>3   Processing Sequence</w:t>
      </w:r>
    </w:p>
    <w:p>
      <w:pPr>
        <w:spacing w:after="120"/>
      </w:pPr>
      <w:r>
        <w:rPr>
          <w:rFonts w:ascii="Calibri" w:hAnsi="Calibri" w:eastAsia="Calibri"/>
          <w:b w:val="0"/>
          <w:i w:val="0"/>
          <w:color w:val="000000"/>
          <w:sz w:val="22"/>
        </w:rPr>
        <w:t>The service processes a request in two stages, in this order:</w:t>
      </w:r>
    </w:p>
    <w:p>
      <w:pPr>
        <w:pStyle w:val="ListNumber"/>
        <w:spacing w:after="60"/>
      </w:pPr>
      <w:r>
        <w:rPr>
          <w:rFonts w:ascii="Calibri" w:hAnsi="Calibri" w:eastAsia="Calibri"/>
          <w:b w:val="0"/>
          <w:i w:val="0"/>
          <w:color w:val="000000"/>
          <w:sz w:val="22"/>
        </w:rPr>
        <w:t>Validation. Every field is checked against the Field Validation Reference. If one or more fields fail validation, the service returns a rejection that names the first failing field and its message, and no decision rules are evaluated. Fields are validated in the order listed in the reference, and the first failure is the one reported.</w:t>
      </w:r>
    </w:p>
    <w:p>
      <w:pPr>
        <w:pStyle w:val="ListNumber"/>
        <w:spacing w:after="60"/>
      </w:pPr>
      <w:r>
        <w:rPr>
          <w:rFonts w:ascii="Calibri" w:hAnsi="Calibri" w:eastAsia="Calibri"/>
          <w:b w:val="0"/>
          <w:i w:val="0"/>
          <w:color w:val="000000"/>
          <w:sz w:val="22"/>
        </w:rPr>
        <w:t>Decision. If and only if every field is valid, the applicant record is passed to the decision rule engine. The engine evaluates the rules in the fixed order given in the Decision Rules workbook and returns the outcome of the first rule that matches. Exactly one decision is returned per valid record.</w:t>
      </w:r>
    </w:p>
    <w:p>
      <w:pPr>
        <w:spacing w:after="120"/>
      </w:pPr>
      <w:r>
        <w:rPr>
          <w:rFonts w:ascii="Calibri" w:hAnsi="Calibri" w:eastAsia="Calibri"/>
          <w:b w:val="0"/>
          <w:i/>
          <w:color w:val="444444"/>
          <w:sz w:val="21"/>
        </w:rPr>
        <w:t>A field that is out of range is a validation rejection, not a decline. A decline is a business decision made on a fully valid record. These are different outcomes and must not be conflated.</w:t>
      </w:r>
    </w:p>
    <w:p>
      <w:pPr>
        <w:spacing w:before="240" w:after="80"/>
        <w:pBdr>
          <w:bottom w:val="single" w:sz="6" w:space="2" w:color="1F385C"/>
        </w:pBdr>
      </w:pPr>
      <w:r>
        <w:rPr>
          <w:rFonts w:ascii="Calibri" w:hAnsi="Calibri" w:eastAsia="Calibri"/>
          <w:b/>
          <w:i w:val="0"/>
          <w:color w:val="1F385C"/>
          <w:sz w:val="26"/>
        </w:rPr>
        <w:t>4   Decision Outcomes</w:t>
      </w:r>
    </w:p>
    <w:p>
      <w:pPr>
        <w:spacing w:after="120"/>
      </w:pPr>
      <w:r>
        <w:rPr>
          <w:rFonts w:ascii="Calibri" w:hAnsi="Calibri" w:eastAsia="Calibri"/>
          <w:b w:val="0"/>
          <w:i w:val="0"/>
          <w:color w:val="000000"/>
          <w:sz w:val="22"/>
        </w:rPr>
        <w:t>Every call returns exactly one of the outcomes below.</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1F385C"/>
          </w:tcPr>
          <w:p>
            <w:r/>
            <w:r>
              <w:rPr>
                <w:rFonts w:ascii="Calibri" w:hAnsi="Calibri" w:eastAsia="Calibri"/>
                <w:b/>
                <w:i w:val="0"/>
                <w:color w:val="FFFFFF"/>
                <w:sz w:val="19"/>
              </w:rPr>
              <w:t>Outcome</w:t>
            </w:r>
          </w:p>
        </w:tc>
        <w:tc>
          <w:tcPr>
            <w:tcW w:type="dxa" w:w="6624"/>
            <w:shd w:val="clear" w:color="auto" w:fill="1F385C"/>
          </w:tcPr>
          <w:p>
            <w:r/>
            <w:r>
              <w:rPr>
                <w:rFonts w:ascii="Calibri" w:hAnsi="Calibri" w:eastAsia="Calibri"/>
                <w:b/>
                <w:i w:val="0"/>
                <w:color w:val="FFFFFF"/>
                <w:sz w:val="19"/>
              </w:rPr>
              <w:t>Meaning</w:t>
            </w:r>
          </w:p>
        </w:tc>
      </w:tr>
      <w:tr>
        <w:tc>
          <w:tcPr>
            <w:tcW w:type="dxa" w:w="2736"/>
          </w:tcPr>
          <w:p>
            <w:r/>
            <w:r>
              <w:rPr>
                <w:rFonts w:ascii="Calibri" w:hAnsi="Calibri" w:eastAsia="Calibri"/>
                <w:b w:val="0"/>
                <w:i w:val="0"/>
                <w:color w:val="000000"/>
                <w:sz w:val="19"/>
              </w:rPr>
              <w:t>REJECT</w:t>
            </w:r>
          </w:p>
        </w:tc>
        <w:tc>
          <w:tcPr>
            <w:tcW w:type="dxa" w:w="6624"/>
          </w:tcPr>
          <w:p>
            <w:r/>
            <w:r>
              <w:rPr>
                <w:rFonts w:ascii="Calibri" w:hAnsi="Calibri" w:eastAsia="Calibri"/>
                <w:b w:val="0"/>
                <w:i w:val="0"/>
                <w:color w:val="000000"/>
                <w:sz w:val="19"/>
              </w:rPr>
              <w:t>One or more fields failed validation. The response names the first failing field.</w:t>
            </w:r>
          </w:p>
        </w:tc>
      </w:tr>
      <w:tr>
        <w:tc>
          <w:tcPr>
            <w:tcW w:type="dxa" w:w="2736"/>
            <w:shd w:val="clear" w:color="auto" w:fill="EEF2F7"/>
          </w:tcPr>
          <w:p>
            <w:r/>
            <w:r>
              <w:rPr>
                <w:rFonts w:ascii="Calibri" w:hAnsi="Calibri" w:eastAsia="Calibri"/>
                <w:b w:val="0"/>
                <w:i w:val="0"/>
                <w:color w:val="000000"/>
                <w:sz w:val="19"/>
              </w:rPr>
              <w:t>DECLINE</w:t>
            </w:r>
          </w:p>
        </w:tc>
        <w:tc>
          <w:tcPr>
            <w:tcW w:type="dxa" w:w="6624"/>
            <w:shd w:val="clear" w:color="auto" w:fill="EEF2F7"/>
          </w:tcPr>
          <w:p>
            <w:r/>
            <w:r>
              <w:rPr>
                <w:rFonts w:ascii="Calibri" w:hAnsi="Calibri" w:eastAsia="Calibri"/>
                <w:b w:val="0"/>
                <w:i w:val="0"/>
                <w:color w:val="000000"/>
                <w:sz w:val="19"/>
              </w:rPr>
              <w:t>The record is valid but a business rule denies pre-qualification.</w:t>
            </w:r>
          </w:p>
        </w:tc>
      </w:tr>
      <w:tr>
        <w:tc>
          <w:tcPr>
            <w:tcW w:type="dxa" w:w="2736"/>
          </w:tcPr>
          <w:p>
            <w:r/>
            <w:r>
              <w:rPr>
                <w:rFonts w:ascii="Calibri" w:hAnsi="Calibri" w:eastAsia="Calibri"/>
                <w:b w:val="0"/>
                <w:i w:val="0"/>
                <w:color w:val="000000"/>
                <w:sz w:val="19"/>
              </w:rPr>
              <w:t>REFER</w:t>
            </w:r>
          </w:p>
        </w:tc>
        <w:tc>
          <w:tcPr>
            <w:tcW w:type="dxa" w:w="6624"/>
          </w:tcPr>
          <w:p>
            <w:r/>
            <w:r>
              <w:rPr>
                <w:rFonts w:ascii="Calibri" w:hAnsi="Calibri" w:eastAsia="Calibri"/>
                <w:b w:val="0"/>
                <w:i w:val="0"/>
                <w:color w:val="000000"/>
                <w:sz w:val="19"/>
              </w:rPr>
              <w:t>The record is valid but falls in the manual underwriting band; no automated approve or decline.</w:t>
            </w:r>
          </w:p>
        </w:tc>
      </w:tr>
      <w:tr>
        <w:tc>
          <w:tcPr>
            <w:tcW w:type="dxa" w:w="2736"/>
            <w:shd w:val="clear" w:color="auto" w:fill="EEF2F7"/>
          </w:tcPr>
          <w:p>
            <w:r/>
            <w:r>
              <w:rPr>
                <w:rFonts w:ascii="Calibri" w:hAnsi="Calibri" w:eastAsia="Calibri"/>
                <w:b w:val="0"/>
                <w:i w:val="0"/>
                <w:color w:val="000000"/>
                <w:sz w:val="19"/>
              </w:rPr>
              <w:t>APPROVE_STANDARD</w:t>
            </w:r>
          </w:p>
        </w:tc>
        <w:tc>
          <w:tcPr>
            <w:tcW w:type="dxa" w:w="6624"/>
            <w:shd w:val="clear" w:color="auto" w:fill="EEF2F7"/>
          </w:tcPr>
          <w:p>
            <w:r/>
            <w:r>
              <w:rPr>
                <w:rFonts w:ascii="Calibri" w:hAnsi="Calibri" w:eastAsia="Calibri"/>
                <w:b w:val="0"/>
                <w:i w:val="0"/>
                <w:color w:val="000000"/>
                <w:sz w:val="19"/>
              </w:rPr>
              <w:t>Pre-qualified at the standard tier.</w:t>
            </w:r>
          </w:p>
        </w:tc>
      </w:tr>
      <w:tr>
        <w:tc>
          <w:tcPr>
            <w:tcW w:type="dxa" w:w="2736"/>
          </w:tcPr>
          <w:p>
            <w:r/>
            <w:r>
              <w:rPr>
                <w:rFonts w:ascii="Calibri" w:hAnsi="Calibri" w:eastAsia="Calibri"/>
                <w:b w:val="0"/>
                <w:i w:val="0"/>
                <w:color w:val="000000"/>
                <w:sz w:val="19"/>
              </w:rPr>
              <w:t>APPROVE_PRIME</w:t>
            </w:r>
          </w:p>
        </w:tc>
        <w:tc>
          <w:tcPr>
            <w:tcW w:type="dxa" w:w="6624"/>
          </w:tcPr>
          <w:p>
            <w:r/>
            <w:r>
              <w:rPr>
                <w:rFonts w:ascii="Calibri" w:hAnsi="Calibri" w:eastAsia="Calibri"/>
                <w:b w:val="0"/>
                <w:i w:val="0"/>
                <w:color w:val="000000"/>
                <w:sz w:val="19"/>
              </w:rPr>
              <w:t>Pre-qualified at the prime tier, which carries the best rate card.</w:t>
            </w:r>
          </w:p>
        </w:tc>
      </w:tr>
    </w:tbl>
    <w:p>
      <w:pPr>
        <w:spacing w:before="240" w:after="80"/>
        <w:pBdr>
          <w:bottom w:val="single" w:sz="6" w:space="2" w:color="1F385C"/>
        </w:pBdr>
      </w:pPr>
      <w:r>
        <w:rPr>
          <w:rFonts w:ascii="Calibri" w:hAnsi="Calibri" w:eastAsia="Calibri"/>
          <w:b/>
          <w:i w:val="0"/>
          <w:color w:val="1F385C"/>
          <w:sz w:val="26"/>
        </w:rPr>
        <w:t>5   Acceptance Criteria</w:t>
      </w:r>
    </w:p>
    <w:p>
      <w:pPr>
        <w:spacing w:after="120"/>
      </w:pPr>
      <w:r>
        <w:rPr>
          <w:rFonts w:ascii="Calibri" w:hAnsi="Calibri" w:eastAsia="Calibri"/>
          <w:b w:val="0"/>
          <w:i w:val="0"/>
          <w:color w:val="000000"/>
          <w:sz w:val="22"/>
        </w:rPr>
        <w:t>The following acceptance criteria are written in business terms. The exact numeric thresholds live in the Decision Rules workbook; do not assume a threshold value from this section.</w:t>
      </w:r>
    </w:p>
    <w:p>
      <w:pPr>
        <w:pStyle w:val="ListBullet"/>
        <w:spacing w:after="60"/>
      </w:pPr>
      <w:r>
        <w:rPr>
          <w:rFonts w:ascii="Calibri" w:hAnsi="Calibri" w:eastAsia="Calibri"/>
          <w:b w:val="0"/>
          <w:i w:val="0"/>
          <w:color w:val="000000"/>
          <w:sz w:val="22"/>
        </w:rPr>
        <w:t>AC-1: A record with any field outside its permitted range returns REJECT and names the first failing field, and no decision rule is evaluated.</w:t>
      </w:r>
    </w:p>
    <w:p>
      <w:pPr>
        <w:pStyle w:val="ListBullet"/>
        <w:spacing w:after="60"/>
      </w:pPr>
      <w:r>
        <w:rPr>
          <w:rFonts w:ascii="Calibri" w:hAnsi="Calibri" w:eastAsia="Calibri"/>
          <w:b w:val="0"/>
          <w:i w:val="0"/>
          <w:color w:val="000000"/>
          <w:sz w:val="22"/>
        </w:rPr>
        <w:t>AC-2: An applicant with no qualifying income source is declined regardless of any other field.</w:t>
      </w:r>
    </w:p>
    <w:p>
      <w:pPr>
        <w:pStyle w:val="ListBullet"/>
        <w:spacing w:after="60"/>
      </w:pPr>
      <w:r>
        <w:rPr>
          <w:rFonts w:ascii="Calibri" w:hAnsi="Calibri" w:eastAsia="Calibri"/>
          <w:b w:val="0"/>
          <w:i w:val="0"/>
          <w:color w:val="000000"/>
          <w:sz w:val="22"/>
        </w:rPr>
        <w:t>AC-3: An applicant whose bureau score is below the lending floor is declined, unless an earlier rule already applies.</w:t>
      </w:r>
    </w:p>
    <w:p>
      <w:pPr>
        <w:pStyle w:val="ListBullet"/>
        <w:spacing w:after="60"/>
      </w:pPr>
      <w:r>
        <w:rPr>
          <w:rFonts w:ascii="Calibri" w:hAnsi="Calibri" w:eastAsia="Calibri"/>
          <w:b w:val="0"/>
          <w:i w:val="0"/>
          <w:color w:val="000000"/>
          <w:sz w:val="22"/>
        </w:rPr>
        <w:t>AC-4: An applicant whose existing debt-to-income exceeds the program maximum is declined, unless an earlier rule already applies.</w:t>
      </w:r>
    </w:p>
    <w:p>
      <w:pPr>
        <w:pStyle w:val="ListBullet"/>
        <w:spacing w:after="60"/>
      </w:pPr>
      <w:r>
        <w:rPr>
          <w:rFonts w:ascii="Calibri" w:hAnsi="Calibri" w:eastAsia="Calibri"/>
          <w:b w:val="0"/>
          <w:i w:val="0"/>
          <w:color w:val="000000"/>
          <w:sz w:val="22"/>
        </w:rPr>
        <w:t>AC-5: A requested principal that is large relative to income is declined, unless an earlier rule already applies. The relationship is a multiple of annual income; the multiple is in the rules workbook.</w:t>
      </w:r>
    </w:p>
    <w:p>
      <w:pPr>
        <w:pStyle w:val="ListBullet"/>
        <w:spacing w:after="60"/>
      </w:pPr>
      <w:r>
        <w:rPr>
          <w:rFonts w:ascii="Calibri" w:hAnsi="Calibri" w:eastAsia="Calibri"/>
          <w:b w:val="0"/>
          <w:i w:val="0"/>
          <w:color w:val="000000"/>
          <w:sz w:val="22"/>
        </w:rPr>
        <w:t>AC-6: A strong-credit, low-debt applicant is approved at the prime tier.</w:t>
      </w:r>
    </w:p>
    <w:p>
      <w:pPr>
        <w:pStyle w:val="ListBullet"/>
        <w:spacing w:after="60"/>
      </w:pPr>
      <w:r>
        <w:rPr>
          <w:rFonts w:ascii="Calibri" w:hAnsi="Calibri" w:eastAsia="Calibri"/>
          <w:b w:val="0"/>
          <w:i w:val="0"/>
          <w:color w:val="000000"/>
          <w:sz w:val="22"/>
        </w:rPr>
        <w:t>AC-7: An applicant who clears the lending floor but is not prime is approved at the standard tier.</w:t>
      </w:r>
    </w:p>
    <w:p>
      <w:pPr>
        <w:pStyle w:val="ListBullet"/>
        <w:spacing w:after="60"/>
      </w:pPr>
      <w:r>
        <w:rPr>
          <w:rFonts w:ascii="Calibri" w:hAnsi="Calibri" w:eastAsia="Calibri"/>
          <w:b w:val="0"/>
          <w:i w:val="0"/>
          <w:color w:val="000000"/>
          <w:sz w:val="22"/>
        </w:rPr>
        <w:t>AC-8: An applicant who sits above the lending floor but below the standard-approval band is referred to manual underwriting rather than auto-declined.</w:t>
      </w:r>
    </w:p>
    <w:p>
      <w:pPr>
        <w:spacing w:after="120"/>
      </w:pPr>
      <w:r>
        <w:rPr>
          <w:rFonts w:ascii="Calibri" w:hAnsi="Calibri" w:eastAsia="Calibri"/>
          <w:b w:val="0"/>
          <w:i/>
          <w:color w:val="444444"/>
          <w:sz w:val="21"/>
        </w:rPr>
        <w:t>Rule precedence matters. Where more than one rule could apply, the earlier rule in the evaluation order wins, and the later condition is never reached. Test design must respect that a record can satisfy several conditions at once and that only the first is returned.</w:t>
      </w:r>
    </w:p>
    <w:p>
      <w:pPr>
        <w:spacing w:before="240" w:after="80"/>
        <w:pBdr>
          <w:bottom w:val="single" w:sz="6" w:space="2" w:color="1F385C"/>
        </w:pBdr>
      </w:pPr>
      <w:r>
        <w:rPr>
          <w:rFonts w:ascii="Calibri" w:hAnsi="Calibri" w:eastAsia="Calibri"/>
          <w:b/>
          <w:i w:val="0"/>
          <w:color w:val="1F385C"/>
          <w:sz w:val="26"/>
        </w:rPr>
        <w:t>6   Notes for Test Design</w:t>
      </w:r>
    </w:p>
    <w:p>
      <w:pPr>
        <w:spacing w:after="120"/>
      </w:pPr>
      <w:r>
        <w:rPr>
          <w:rFonts w:ascii="Calibri" w:hAnsi="Calibri" w:eastAsia="Calibri"/>
          <w:b w:val="0"/>
          <w:i w:val="0"/>
          <w:color w:val="000000"/>
          <w:sz w:val="22"/>
        </w:rPr>
        <w:t>Boundary behaviour is significant for this feature. Where the rules workbook states a threshold, the behaviour at the threshold value, one unit below, and one unit above is defined by whether the comparison is inclusive or strict; the workbook states the operator for each threshold. The validation reference likewise states whether each range limit is inclusive. Test coverage is expected to exercise each validation range limit and each decision threshold, not just nominal values.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44444"/>
        <w:sz w:val="16"/>
      </w:rPr>
      <w:t xml:space="preserve">LPQ-482 Feature Specification, Release 2.4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LoanPreQual Decision Service Feature Specification</dc:title>
  <dc:subject/>
  <dc:creator>Product Management</dc:creator>
  <cp:keywords/>
  <dc:description/>
  <cp:lastModifiedBy/>
  <cp:revision>1</cp:revision>
  <dcterms:created xsi:type="dcterms:W3CDTF">2013-12-23T23:15:00Z</dcterms:created>
  <dcterms:modified xsi:type="dcterms:W3CDTF">2013-12-23T23:15:00Z</dcterms:modified>
  <cp:category/>
</cp:coreProperties>
</file>