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6"/>
        </w:rPr>
        <w:t>GN&amp;C / prop notes before you size the delta-V budget</w:t>
      </w:r>
    </w:p>
    <w:p>
      <w:r>
        <w:rPr>
          <w:i/>
          <w:color w:val="404040"/>
          <w:sz w:val="18"/>
        </w:rPr>
        <w:t>from: Priya N. (GN&amp;C)  to: mission analysis  re: HTS-1 pre-ship prop budget  2026-06-21</w:t>
      </w:r>
    </w:p>
    <w:p>
      <w:pPr>
        <w:spacing w:after="160"/>
      </w:pPr>
      <w:r>
        <w:t>Before you build the prop budget, the working maneuver sheet (HTS-GNC-021) leaves the apogee and disposal burns as DERIVE on purpose, you have to compute those from the orbit parameters tab. Don't go hunting for a delta-V number that isn't there; size it yourself per the ground rules. A few things to get right:</w:t>
      </w:r>
    </w:p>
    <w:p>
      <w:pPr>
        <w:spacing w:after="160"/>
      </w:pPr>
      <w:r>
        <w:t>Do the apogee burn as a SINGLE combined maneuver, circularize and take out all 27 degrees of inclination at once. Don't split it into a separate circularization and a separate plane change and add them, that overstates the delta-V by a couple hundred m/s. Law of cosines on the apogee and GEO velocity vectors.</w:t>
      </w:r>
    </w:p>
    <w:p>
      <w:pPr>
        <w:spacing w:after="160"/>
      </w:pPr>
      <w:r>
        <w:t>Isp: do NOT use the 322 nameplate. The flight engine came back from acceptance hot-fire at 318.5 s delivered. That's the number. The lower Isp is part of why margin is tight, so don't paper over it.</w:t>
      </w:r>
    </w:p>
    <w:p>
      <w:pPr>
        <w:spacing w:after="160"/>
      </w:pPr>
      <w:r>
        <w:t>M1 is dead. We descoped the phasing burn, the customer agreed to drop us closer to the service longitude. Pull M1 out of the budget entirely.</w:t>
      </w:r>
    </w:p>
    <w:p>
      <w:pPr>
        <w:spacing w:after="160"/>
      </w:pPr>
      <w:r>
        <w:t>M3 (the GEO trim) is in feet per second on that sheet, 115 ft/s. Somebody pulled it off the old GN&amp;C memo. Convert it to metric before you use it.</w:t>
      </w:r>
    </w:p>
    <w:p>
      <w:pPr>
        <w:spacing w:after="160"/>
      </w:pPr>
      <w:r>
        <w:t>Sequencing matters for the mass: the payload separates right after the apogee insertion (circularization). So the trim and disposal burns are flown on the light stage, payload gone. Don't carry the 500 kg through them.</w:t>
      </w:r>
    </w:p>
    <w:p>
      <w:pPr>
        <w:spacing w:after="160"/>
      </w:pPr>
      <w:r>
        <w:t>Propellant: the plan said 800 kg main but we did NOT load that. We stopped at the flowmeter target. The actual load is on the tanking record (MMH + NTO). Use the as-loaded number, not 800.</w:t>
      </w:r>
    </w:p>
    <w:p>
      <w:pPr>
        <w:spacing w:after="160"/>
      </w:pPr>
      <w:r>
        <w:t>The GHe pressurant on the tanking record is loaded through the GSE, it's not flight propellant, leave it out of the prop mass.</w:t>
      </w:r>
    </w:p>
    <w:p>
      <w:pPr>
        <w:spacing w:after="160"/>
      </w:pPr>
      <w:r>
        <w:t>Hydrazine came in at 9.2 loaded against a 7.5 budget, so RCS is fine, but show it.</w:t>
      </w:r>
    </w:p>
    <w:p>
      <w:pPr>
        <w:spacing w:after="160"/>
      </w:pPr>
      <w:r>
        <w:t>What I need is the pre-ship delta-V and propellant budget: the derived maneuver delta-V with losses, the rocket-equation prop burn per maneuver accounting for payload sep, usable vs required main prop, and where our margin lands against the 5% gate. If we're short, tell me how much to top off. One workbook is fine, just make it clean enough to drop into the pre-ship review.</w:t>
      </w:r>
    </w:p>
    <w:p>
      <w:r>
        <w:rPr>
          <w:i/>
        </w:rPr>
        <w:t>- Priya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Helios Space</dc:creator>
  <cp:keywords/>
  <dc:description/>
  <cp:lastModifiedBy>Helios Space</cp:lastModifiedBy>
  <cp:revision>1</cp:revision>
  <dcterms:created xsi:type="dcterms:W3CDTF">2013-12-23T23:15:00Z</dcterms:created>
  <dcterms:modified xsi:type="dcterms:W3CDTF">2013-12-23T23:15:00Z</dcterms:modified>
  <cp:category/>
</cp:coreProperties>
</file>