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HTS-1 TRANSFER STAGE</w:t>
        <w:br/>
        <w:t>Propulsion &amp; Delta-V Budget Ground Rules</w:t>
      </w:r>
    </w:p>
    <w:p>
      <w:pPr>
        <w:jc w:val="center"/>
      </w:pPr>
      <w:r>
        <w:rPr>
          <w:i/>
          <w:color w:val="404040"/>
          <w:sz w:val="18"/>
        </w:rPr>
        <w:t>Doc HTS-PROP-007 Rev B  |  Effective 2026-05-20  |  INTERNAL / Helios Space</w:t>
      </w:r>
    </w:p>
    <w:p>
      <w:pPr>
        <w:spacing w:before="200" w:after="80"/>
      </w:pPr>
      <w:r>
        <w:rPr>
          <w:b/>
          <w:color w:val="000000"/>
          <w:sz w:val="28"/>
        </w:rPr>
        <w:t>1.  Vehicle and mission</w:t>
      </w:r>
    </w:p>
    <w:p>
      <w:r>
        <w:t>HTS-1 is a storable bipropellant (MMH/NTO) transfer stage that delivers a customer payload from a GTO drop-off to GEO, separates the payload after circularization, and then disposes itself to a graveyard orbit. Reaction control is monopropellant hydrazine (N2H4).</w:t>
      </w:r>
    </w:p>
    <w:p>
      <w:pPr>
        <w:spacing w:before="200" w:after="80"/>
      </w:pPr>
      <w:r>
        <w:rPr>
          <w:b/>
          <w:color w:val="000000"/>
          <w:sz w:val="28"/>
        </w:rPr>
        <w:t>2.  Delta-V derivation (required)</w:t>
      </w:r>
    </w:p>
    <w:p>
      <w:r>
        <w:t>The apogee insertion and disposal delta-V are NOT pre-tabulated; derive them from the orbit parameters in the maneuver plan workbook using two-body (patched-conic) methods:</w:t>
      </w:r>
    </w:p>
    <w:p>
      <w:pPr>
        <w:pStyle w:val="ListBullet"/>
      </w:pPr>
      <w:r>
        <w:t>a) Combined apogee insertion (M2): at GTO apogee, perform the circularization burn to GEO and remove the full GTO inclination in a single combined maneuver. Use the vis-viva equation for the GTO apogee velocity and the circular GEO velocity, then the law of cosines with the plane-change angle: dV = sqrt(Va^2 + Vc^2 - 2*Va*Vc*cos(i)).</w:t>
      </w:r>
    </w:p>
    <w:p>
      <w:pPr>
        <w:pStyle w:val="ListBullet"/>
      </w:pPr>
      <w:r>
        <w:t>b) Disposal (M4): a two-burn Hohmann transfer from GEO to a circular orbit 300 km above GEO; sum the two impulsive burns.</w:t>
      </w:r>
    </w:p>
    <w:p>
      <w:pPr>
        <w:pStyle w:val="ListBullet"/>
      </w:pPr>
      <w:r>
        <w:t>c) Phasing (M1) and GEO trim (M3) are given directly in the maneuver plan.</w:t>
      </w:r>
    </w:p>
    <w:p>
      <w:pPr>
        <w:spacing w:before="200" w:after="80"/>
      </w:pPr>
      <w:r>
        <w:rPr>
          <w:b/>
          <w:color w:val="000000"/>
          <w:sz w:val="28"/>
        </w:rPr>
        <w:t>3.  Fixed masses (per ICD)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Stage dry mass</w:t>
            </w:r>
          </w:p>
        </w:tc>
        <w:tc>
          <w:tcPr>
            <w:tcW w:type="dxa" w:w="4320"/>
          </w:tcPr>
          <w:p>
            <w:r>
              <w:t>320.0 kg</w:t>
            </w:r>
          </w:p>
        </w:tc>
      </w:tr>
      <w:tr>
        <w:tc>
          <w:tcPr>
            <w:tcW w:type="dxa" w:w="4320"/>
          </w:tcPr>
          <w:p>
            <w:r>
              <w:t>Delivered payload</w:t>
            </w:r>
          </w:p>
        </w:tc>
        <w:tc>
          <w:tcPr>
            <w:tcW w:type="dxa" w:w="4320"/>
          </w:tcPr>
          <w:p>
            <w:r>
              <w:t>500.0 kg</w:t>
            </w:r>
          </w:p>
        </w:tc>
      </w:tr>
      <w:tr>
        <w:tc>
          <w:tcPr>
            <w:tcW w:type="dxa" w:w="4320"/>
          </w:tcPr>
          <w:p>
            <w:r>
              <w:t>Payload separation</w:t>
            </w:r>
          </w:p>
        </w:tc>
        <w:tc>
          <w:tcPr>
            <w:tcW w:type="dxa" w:w="4320"/>
          </w:tcPr>
          <w:p>
            <w:r>
              <w:t>Immediately after circularization (end of the apogee insertion burn)</w:t>
            </w:r>
          </w:p>
        </w:tc>
      </w:tr>
    </w:tbl>
    <w:p>
      <w:pPr>
        <w:spacing w:before="200" w:after="80"/>
      </w:pPr>
      <w:r>
        <w:rPr>
          <w:b/>
          <w:color w:val="000000"/>
          <w:sz w:val="28"/>
        </w:rPr>
        <w:t>4.  Engine performance</w:t>
      </w:r>
    </w:p>
    <w:p>
      <w:r>
        <w:t>Main engine specific impulse (Isp), nameplate/spec value: 322.0 s. Where an engine acceptance (hot-fire) Isp is available for the as-built engine, the delivered acceptance value supersedes the nameplate for budgeting. Use g0 = 9.80665 m/s^2 and the ideal rocket equation (dV = Isp * g0 * ln(m0/mf)). Nominal mixture ratio (ox/fuel) is 1.65.</w:t>
      </w:r>
    </w:p>
    <w:p>
      <w:pPr>
        <w:spacing w:before="200" w:after="80"/>
      </w:pPr>
      <w:r>
        <w:rPr>
          <w:b/>
          <w:color w:val="000000"/>
          <w:sz w:val="28"/>
        </w:rPr>
        <w:t>5.  Losses and residuals</w:t>
      </w:r>
    </w:p>
    <w:p>
      <w:r>
        <w:t>Apogee (main) burns carry a 1.5% finite-burn and steering loss applied to ideal delta-V. On-station and disposal burns are impulsive (no loss factor). Main propellant residual (unusable holdup + trapped) is 2.0% of loaded main propellant; only usable propellant counts toward the budget.</w:t>
      </w:r>
    </w:p>
    <w:p>
      <w:pPr>
        <w:spacing w:before="200" w:after="80"/>
      </w:pPr>
      <w:r>
        <w:rPr>
          <w:b/>
          <w:color w:val="000000"/>
          <w:sz w:val="28"/>
        </w:rPr>
        <w:t>6.  Propellant accounting</w:t>
      </w:r>
    </w:p>
    <w:p>
      <w:r>
        <w:t>Main propellant loaded shall be taken from the as-loaded tanking record (MMH + NTO), not the planning target. Pressurant loaded via ground support equipment (GHe) is not flight propellant mass. RCS hydrazine budget over the mission is 7.5 kg.</w:t>
      </w:r>
    </w:p>
    <w:p>
      <w:pPr>
        <w:spacing w:before="200" w:after="80"/>
      </w:pPr>
      <w:r>
        <w:rPr>
          <w:b/>
          <w:color w:val="000000"/>
          <w:sz w:val="28"/>
        </w:rPr>
        <w:t>7.  Margin policy</w:t>
      </w:r>
    </w:p>
    <w:p>
      <w:r>
        <w:t>At the pre-ship review, usable main propellant margin shall be at least 5%, defined as (usable loaded - required) / required. Margin below 5% requires a top-off to tank capacity (main tanks are sized for an 800 kg planning load) or a documented waiver.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Helios Space</dc:creator>
  <cp:keywords/>
  <dc:description/>
  <cp:lastModifiedBy>Helios Space</cp:lastModifiedBy>
  <cp:revision>1</cp:revision>
  <dcterms:created xsi:type="dcterms:W3CDTF">2013-12-23T23:15:00Z</dcterms:created>
  <dcterms:modified xsi:type="dcterms:W3CDTF">2013-12-23T23:15:00Z</dcterms:modified>
  <cp:category/>
</cp:coreProperties>
</file>