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B06CB" w14:textId="5A4F5531" w:rsidR="00B37535" w:rsidRPr="00480BF0" w:rsidRDefault="005C5F51" w:rsidP="009D7A56">
      <w:pPr>
        <w:spacing w:after="0"/>
        <w:jc w:val="center"/>
        <w:rPr>
          <w:rFonts w:ascii="Times New Roman" w:hAnsi="Times New Roman" w:cs="Times New Roman"/>
          <w:b/>
        </w:rPr>
      </w:pPr>
      <w:bookmarkStart w:id="0" w:name="_Hlk171584754"/>
      <w:r w:rsidRPr="00480BF0">
        <w:rPr>
          <w:rFonts w:ascii="Times New Roman" w:hAnsi="Times New Roman" w:cs="Times New Roman"/>
          <w:b/>
        </w:rPr>
        <w:t>Baseline-performance Modulation Analysis</w:t>
      </w:r>
    </w:p>
    <w:p w14:paraId="30841124" w14:textId="6196AF35" w:rsidR="008D72D1" w:rsidRPr="00480BF0" w:rsidRDefault="008D72D1" w:rsidP="009D7A56">
      <w:pPr>
        <w:spacing w:after="0"/>
        <w:jc w:val="center"/>
        <w:rPr>
          <w:rFonts w:ascii="Times New Roman" w:hAnsi="Times New Roman" w:cs="Times New Roman"/>
          <w:b/>
        </w:rPr>
      </w:pPr>
    </w:p>
    <w:p w14:paraId="28CCC458" w14:textId="6EAA70DC" w:rsidR="00FB3170" w:rsidRDefault="006F2912" w:rsidP="00F700C8">
      <w:pPr>
        <w:spacing w:after="0"/>
        <w:jc w:val="both"/>
        <w:rPr>
          <w:rFonts w:ascii="Times New Roman" w:hAnsi="Times New Roman" w:cs="Times New Roman"/>
        </w:rPr>
      </w:pPr>
      <w:r w:rsidRPr="006F2912">
        <w:rPr>
          <w:rFonts w:ascii="Times New Roman" w:hAnsi="Times New Roman" w:cs="Times New Roman"/>
        </w:rPr>
        <w:t xml:space="preserve">In the eventual scenario in which a drug has a performance-enhancing influence for some subjects but a detrimental influence for others, its effects </w:t>
      </w:r>
      <w:r>
        <w:rPr>
          <w:rFonts w:ascii="Times New Roman" w:hAnsi="Times New Roman" w:cs="Times New Roman"/>
        </w:rPr>
        <w:t>may remain undetected</w:t>
      </w:r>
      <w:r w:rsidRPr="006F2912">
        <w:rPr>
          <w:rFonts w:ascii="Times New Roman" w:hAnsi="Times New Roman" w:cs="Times New Roman"/>
        </w:rPr>
        <w:t xml:space="preserve"> by conventional statistical tests, leading to the wrong conclusion that the drug is innocuous.</w:t>
      </w:r>
      <w:r w:rsidR="00DC3617">
        <w:rPr>
          <w:rFonts w:ascii="Times New Roman" w:hAnsi="Times New Roman" w:cs="Times New Roman"/>
        </w:rPr>
        <w:t xml:space="preserve"> </w:t>
      </w:r>
      <w:bookmarkEnd w:id="0"/>
      <w:r w:rsidR="00985847" w:rsidRPr="00985847">
        <w:rPr>
          <w:rFonts w:ascii="Times New Roman" w:hAnsi="Times New Roman" w:cs="Times New Roman"/>
        </w:rPr>
        <w:t xml:space="preserve">Such a scenario is plausible given that previous studies on cognitive-enhancing drugs, which took baseline performance into consideration, showed positive effects on attention or impulsivity in low-performing subjects but no effects or detrimental effects in high performers </w:t>
      </w:r>
      <w:r w:rsidR="00985847">
        <w:rPr>
          <w:rFonts w:ascii="Times New Roman" w:hAnsi="Times New Roman" w:cs="Times New Roman"/>
        </w:rPr>
        <w:t xml:space="preserve">(e.g., </w:t>
      </w:r>
      <w:r w:rsidR="00C47AFD">
        <w:rPr>
          <w:rFonts w:ascii="Times New Roman" w:hAnsi="Times New Roman" w:cs="Times New Roman"/>
        </w:rPr>
        <w:t xml:space="preserve">Caballero-Puntiverio et al., 2019; </w:t>
      </w:r>
      <w:r w:rsidR="00985847">
        <w:rPr>
          <w:rFonts w:ascii="Times New Roman" w:hAnsi="Times New Roman" w:cs="Times New Roman"/>
        </w:rPr>
        <w:t>Finke et al., 2010; Turner &amp; Burne, 2016; Turner et al., 2017</w:t>
      </w:r>
      <w:r w:rsidR="00985847" w:rsidRPr="00985847">
        <w:rPr>
          <w:rFonts w:ascii="Times New Roman" w:hAnsi="Times New Roman" w:cs="Times New Roman"/>
        </w:rPr>
        <w:t>). Therefore, upon the recommendation of an anonymous reviewer, we conducted a formal analysis to test the hypothesis that baseline performance modulates drug effects.</w:t>
      </w:r>
    </w:p>
    <w:p w14:paraId="3EFA5140" w14:textId="77777777" w:rsidR="000F4FB5" w:rsidRDefault="00BE6DBE" w:rsidP="005D7208">
      <w:pPr>
        <w:spacing w:after="0"/>
        <w:jc w:val="both"/>
        <w:rPr>
          <w:rFonts w:ascii="Times New Roman" w:hAnsi="Times New Roman" w:cs="Times New Roman"/>
        </w:rPr>
      </w:pPr>
      <w:r>
        <w:rPr>
          <w:rFonts w:ascii="Times New Roman" w:hAnsi="Times New Roman" w:cs="Times New Roman"/>
        </w:rPr>
        <w:tab/>
      </w:r>
      <w:r w:rsidR="00C06FC6">
        <w:rPr>
          <w:rFonts w:ascii="Times New Roman" w:hAnsi="Times New Roman" w:cs="Times New Roman"/>
        </w:rPr>
        <w:t>If we are interested in</w:t>
      </w:r>
      <w:r w:rsidR="009D7A56" w:rsidRPr="009D7A56">
        <w:rPr>
          <w:rFonts w:ascii="Times New Roman" w:hAnsi="Times New Roman" w:cs="Times New Roman"/>
        </w:rPr>
        <w:t xml:space="preserve"> the modulation of phase effects specifically by drug administration, </w:t>
      </w:r>
      <w:r w:rsidR="00C06FC6">
        <w:rPr>
          <w:rFonts w:ascii="Times New Roman" w:hAnsi="Times New Roman" w:cs="Times New Roman"/>
        </w:rPr>
        <w:t>the analysis</w:t>
      </w:r>
      <w:r w:rsidR="009D7A56" w:rsidRPr="009D7A56">
        <w:rPr>
          <w:rFonts w:ascii="Times New Roman" w:hAnsi="Times New Roman" w:cs="Times New Roman"/>
        </w:rPr>
        <w:t xml:space="preserve"> requires controlling for the regression to the mean that would be observed otherwise (i.e., in the vehicle group).</w:t>
      </w:r>
      <w:r w:rsidR="00DB39AA">
        <w:rPr>
          <w:rFonts w:ascii="Times New Roman" w:hAnsi="Times New Roman" w:cs="Times New Roman"/>
        </w:rPr>
        <w:t xml:space="preserve"> To achieve that, we built a mixed linear model assessing</w:t>
      </w:r>
      <w:r w:rsidR="009D7A56" w:rsidRPr="009D7A56">
        <w:rPr>
          <w:rFonts w:ascii="Times New Roman" w:hAnsi="Times New Roman" w:cs="Times New Roman"/>
        </w:rPr>
        <w:t xml:space="preserve"> </w:t>
      </w:r>
      <w:r w:rsidR="00DB39AA">
        <w:rPr>
          <w:rFonts w:ascii="Times New Roman" w:hAnsi="Times New Roman" w:cs="Times New Roman"/>
        </w:rPr>
        <w:t xml:space="preserve">the triple interaction between phase, group, and baseline performance. In mixed linear model nomenclature, its written as </w:t>
      </w:r>
      <w:r w:rsidR="00DB39AA" w:rsidRPr="00F60F5D">
        <w:rPr>
          <w:rFonts w:ascii="Cambria Math" w:hAnsi="Cambria Math" w:cs="Times New Roman"/>
          <w:color w:val="1F4E79" w:themeColor="accent5" w:themeShade="80"/>
        </w:rPr>
        <w:t>dependent_variable ~ phase * group * avg_bl_dependent_variable + (1 | subject)</w:t>
      </w:r>
      <w:r w:rsidR="00DB39AA">
        <w:rPr>
          <w:rFonts w:ascii="Times New Roman" w:hAnsi="Times New Roman" w:cs="Times New Roman"/>
        </w:rPr>
        <w:t xml:space="preserve">. </w:t>
      </w:r>
    </w:p>
    <w:p w14:paraId="7420835F" w14:textId="77777777" w:rsidR="000F4FB5" w:rsidRDefault="000F4FB5" w:rsidP="005D7208">
      <w:pPr>
        <w:spacing w:after="0"/>
        <w:jc w:val="both"/>
        <w:rPr>
          <w:rFonts w:ascii="Times New Roman" w:hAnsi="Times New Roman" w:cs="Times New Roman"/>
        </w:rPr>
      </w:pPr>
    </w:p>
    <w:p w14:paraId="6A722261" w14:textId="759A4894" w:rsidR="000F4FB5" w:rsidRPr="000F4FB5" w:rsidRDefault="000F4FB5" w:rsidP="005D7208">
      <w:pPr>
        <w:spacing w:after="0"/>
        <w:jc w:val="both"/>
        <w:rPr>
          <w:rFonts w:ascii="Times New Roman" w:hAnsi="Times New Roman" w:cs="Times New Roman"/>
          <w:b/>
        </w:rPr>
      </w:pPr>
      <w:r w:rsidRPr="000F4FB5">
        <w:rPr>
          <w:rFonts w:ascii="Times New Roman" w:hAnsi="Times New Roman" w:cs="Times New Roman"/>
          <w:b/>
        </w:rPr>
        <w:t>Results</w:t>
      </w:r>
    </w:p>
    <w:p w14:paraId="3E0EA487" w14:textId="77777777" w:rsidR="000F4FB5" w:rsidRDefault="000F4FB5" w:rsidP="005D7208">
      <w:pPr>
        <w:spacing w:after="0"/>
        <w:jc w:val="both"/>
        <w:rPr>
          <w:rFonts w:ascii="Times New Roman" w:hAnsi="Times New Roman" w:cs="Times New Roman"/>
        </w:rPr>
      </w:pPr>
    </w:p>
    <w:p w14:paraId="03ABF40A" w14:textId="5CA76EBF" w:rsidR="00550B92" w:rsidRDefault="002F1361" w:rsidP="00F700C8">
      <w:pPr>
        <w:spacing w:after="0"/>
        <w:jc w:val="both"/>
        <w:rPr>
          <w:rFonts w:ascii="Times New Roman" w:hAnsi="Times New Roman" w:cs="Times New Roman"/>
        </w:rPr>
      </w:pPr>
      <w:r w:rsidRPr="002F1361">
        <w:rPr>
          <w:rFonts w:ascii="Times New Roman" w:hAnsi="Times New Roman" w:cs="Times New Roman"/>
        </w:rPr>
        <w:t>We found that baseline performance invariably modulates phase effects negatively, and it did so significantly for all but two metrics when pooling across groups, that is, regardless of drug treatment (i.e., simple baseline × administration phase interaction</w:t>
      </w:r>
      <w:r w:rsidR="009E2D8D">
        <w:rPr>
          <w:rFonts w:ascii="Times New Roman" w:hAnsi="Times New Roman" w:cs="Times New Roman"/>
        </w:rPr>
        <w:t>; see Table S</w:t>
      </w:r>
      <w:r w:rsidR="00EB1874">
        <w:rPr>
          <w:rFonts w:ascii="Times New Roman" w:hAnsi="Times New Roman" w:cs="Times New Roman"/>
        </w:rPr>
        <w:t>5</w:t>
      </w:r>
      <w:r w:rsidR="009E2D8D">
        <w:rPr>
          <w:rFonts w:ascii="Times New Roman" w:hAnsi="Times New Roman" w:cs="Times New Roman"/>
        </w:rPr>
        <w:t>, left column</w:t>
      </w:r>
      <w:r w:rsidRPr="002F1361">
        <w:rPr>
          <w:rFonts w:ascii="Times New Roman" w:hAnsi="Times New Roman" w:cs="Times New Roman"/>
        </w:rPr>
        <w:t>).</w:t>
      </w:r>
      <w:r>
        <w:rPr>
          <w:rFonts w:ascii="Times New Roman" w:hAnsi="Times New Roman" w:cs="Times New Roman"/>
        </w:rPr>
        <w:t xml:space="preserve"> </w:t>
      </w:r>
      <w:r w:rsidRPr="002F1361">
        <w:rPr>
          <w:rFonts w:ascii="Times New Roman" w:hAnsi="Times New Roman" w:cs="Times New Roman"/>
        </w:rPr>
        <w:t>This means that high baseline performers did worse than expected in the drug phase, while low baseline performers did better. However, when including the vehicle control with the drug treatment groups in the analysis, this effect can be explained by regression to the mean.</w:t>
      </w:r>
      <w:r w:rsidR="00550B92">
        <w:rPr>
          <w:rFonts w:ascii="Times New Roman" w:hAnsi="Times New Roman" w:cs="Times New Roman"/>
        </w:rPr>
        <w:t xml:space="preserve"> </w:t>
      </w:r>
    </w:p>
    <w:p w14:paraId="6ADB4B63" w14:textId="77777777" w:rsidR="00550B92" w:rsidRDefault="00550B92" w:rsidP="009D7A56">
      <w:pPr>
        <w:spacing w:after="0"/>
        <w:rPr>
          <w:rFonts w:ascii="Times New Roman" w:hAnsi="Times New Roman" w:cs="Times New Roman"/>
        </w:rPr>
      </w:pPr>
    </w:p>
    <w:p w14:paraId="75197CE4" w14:textId="6FE4DC77" w:rsidR="00550B92" w:rsidRPr="00165004" w:rsidRDefault="00EB1874" w:rsidP="009D7A56">
      <w:pPr>
        <w:spacing w:after="0"/>
        <w:rPr>
          <w:rFonts w:ascii="Times New Roman" w:hAnsi="Times New Roman" w:cs="Times New Roman"/>
          <w:b/>
        </w:rPr>
      </w:pPr>
      <w:r>
        <w:rPr>
          <w:rFonts w:ascii="Times New Roman" w:hAnsi="Times New Roman" w:cs="Times New Roman"/>
          <w:b/>
        </w:rPr>
        <w:t>Table S5</w:t>
      </w:r>
    </w:p>
    <w:p w14:paraId="7890F94C" w14:textId="441A21E4" w:rsidR="00550B92" w:rsidRPr="00BC231D" w:rsidRDefault="00550B92" w:rsidP="009D7A56">
      <w:pPr>
        <w:spacing w:after="0"/>
        <w:rPr>
          <w:rFonts w:ascii="Times New Roman" w:hAnsi="Times New Roman" w:cs="Times New Roman"/>
          <w:i/>
          <w:iCs/>
        </w:rPr>
      </w:pPr>
      <w:r w:rsidRPr="00BC231D">
        <w:rPr>
          <w:rFonts w:ascii="Times New Roman" w:hAnsi="Times New Roman" w:cs="Times New Roman"/>
          <w:i/>
          <w:iCs/>
        </w:rPr>
        <w:t>Baseline-</w:t>
      </w:r>
      <w:r w:rsidR="00BC231D" w:rsidRPr="00BC231D">
        <w:rPr>
          <w:rFonts w:ascii="Times New Roman" w:hAnsi="Times New Roman" w:cs="Times New Roman"/>
          <w:i/>
          <w:iCs/>
        </w:rPr>
        <w:t>P</w:t>
      </w:r>
      <w:r w:rsidRPr="00BC231D">
        <w:rPr>
          <w:rFonts w:ascii="Times New Roman" w:hAnsi="Times New Roman" w:cs="Times New Roman"/>
          <w:i/>
          <w:iCs/>
        </w:rPr>
        <w:t xml:space="preserve">erformance </w:t>
      </w:r>
      <w:r w:rsidR="00BC231D" w:rsidRPr="00BC231D">
        <w:rPr>
          <w:rFonts w:ascii="Times New Roman" w:hAnsi="Times New Roman" w:cs="Times New Roman"/>
          <w:i/>
          <w:iCs/>
        </w:rPr>
        <w:t>M</w:t>
      </w:r>
      <w:r w:rsidRPr="00BC231D">
        <w:rPr>
          <w:rFonts w:ascii="Times New Roman" w:hAnsi="Times New Roman" w:cs="Times New Roman"/>
          <w:i/>
          <w:iCs/>
        </w:rPr>
        <w:t xml:space="preserve">odulation </w:t>
      </w:r>
      <w:r w:rsidR="00BC231D" w:rsidRPr="00BC231D">
        <w:rPr>
          <w:rFonts w:ascii="Times New Roman" w:hAnsi="Times New Roman" w:cs="Times New Roman"/>
          <w:i/>
          <w:iCs/>
        </w:rPr>
        <w:t>A</w:t>
      </w:r>
      <w:r w:rsidRPr="00BC231D">
        <w:rPr>
          <w:rFonts w:ascii="Times New Roman" w:hAnsi="Times New Roman" w:cs="Times New Roman"/>
          <w:i/>
          <w:iCs/>
        </w:rPr>
        <w:t xml:space="preserve">nalysis </w:t>
      </w:r>
      <w:r w:rsidR="00BC231D" w:rsidRPr="00BC231D">
        <w:rPr>
          <w:rFonts w:ascii="Times New Roman" w:hAnsi="Times New Roman" w:cs="Times New Roman"/>
          <w:i/>
          <w:iCs/>
        </w:rPr>
        <w:t>W</w:t>
      </w:r>
      <w:r w:rsidRPr="00BC231D">
        <w:rPr>
          <w:rFonts w:ascii="Times New Roman" w:hAnsi="Times New Roman" w:cs="Times New Roman"/>
          <w:i/>
          <w:iCs/>
        </w:rPr>
        <w:t xml:space="preserve">ith and </w:t>
      </w:r>
      <w:r w:rsidR="00BC231D" w:rsidRPr="00BC231D">
        <w:rPr>
          <w:rFonts w:ascii="Times New Roman" w:hAnsi="Times New Roman" w:cs="Times New Roman"/>
          <w:i/>
          <w:iCs/>
        </w:rPr>
        <w:t>W</w:t>
      </w:r>
      <w:r w:rsidRPr="00BC231D">
        <w:rPr>
          <w:rFonts w:ascii="Times New Roman" w:hAnsi="Times New Roman" w:cs="Times New Roman"/>
          <w:i/>
          <w:iCs/>
        </w:rPr>
        <w:t xml:space="preserve">ithout </w:t>
      </w:r>
      <w:r w:rsidR="00BC231D" w:rsidRPr="00BC231D">
        <w:rPr>
          <w:rFonts w:ascii="Times New Roman" w:hAnsi="Times New Roman" w:cs="Times New Roman"/>
          <w:i/>
          <w:iCs/>
        </w:rPr>
        <w:t>C</w:t>
      </w:r>
      <w:r w:rsidRPr="00BC231D">
        <w:rPr>
          <w:rFonts w:ascii="Times New Roman" w:hAnsi="Times New Roman" w:cs="Times New Roman"/>
          <w:i/>
          <w:iCs/>
        </w:rPr>
        <w:t xml:space="preserve">ontrolling for </w:t>
      </w:r>
      <w:r w:rsidR="00BC231D" w:rsidRPr="00BC231D">
        <w:rPr>
          <w:rFonts w:ascii="Times New Roman" w:hAnsi="Times New Roman" w:cs="Times New Roman"/>
          <w:i/>
          <w:iCs/>
        </w:rPr>
        <w:t>R</w:t>
      </w:r>
      <w:r w:rsidRPr="00BC231D">
        <w:rPr>
          <w:rFonts w:ascii="Times New Roman" w:hAnsi="Times New Roman" w:cs="Times New Roman"/>
          <w:i/>
          <w:iCs/>
        </w:rPr>
        <w:t xml:space="preserve">egression to the </w:t>
      </w:r>
      <w:r w:rsidR="00BC231D" w:rsidRPr="00BC231D">
        <w:rPr>
          <w:rFonts w:ascii="Times New Roman" w:hAnsi="Times New Roman" w:cs="Times New Roman"/>
          <w:i/>
          <w:iCs/>
        </w:rPr>
        <w:t>M</w:t>
      </w:r>
      <w:r w:rsidRPr="00BC231D">
        <w:rPr>
          <w:rFonts w:ascii="Times New Roman" w:hAnsi="Times New Roman" w:cs="Times New Roman"/>
          <w:i/>
          <w:iCs/>
        </w:rPr>
        <w:t>ean</w:t>
      </w:r>
    </w:p>
    <w:tbl>
      <w:tblPr>
        <w:tblStyle w:val="Tablaconcuadrcula"/>
        <w:tblW w:w="0" w:type="auto"/>
        <w:tblLook w:val="04A0" w:firstRow="1" w:lastRow="0" w:firstColumn="1" w:lastColumn="0" w:noHBand="0" w:noVBand="1"/>
      </w:tblPr>
      <w:tblGrid>
        <w:gridCol w:w="1838"/>
        <w:gridCol w:w="2126"/>
        <w:gridCol w:w="2410"/>
        <w:gridCol w:w="2454"/>
      </w:tblGrid>
      <w:tr w:rsidR="00D37B71" w:rsidRPr="00467514" w14:paraId="06CD237F" w14:textId="77777777" w:rsidTr="00043DB4">
        <w:tc>
          <w:tcPr>
            <w:tcW w:w="1838" w:type="dxa"/>
          </w:tcPr>
          <w:p w14:paraId="6ACEBC6B" w14:textId="77777777" w:rsidR="00D37B71" w:rsidRPr="00467514" w:rsidRDefault="00D37B71" w:rsidP="009D7A56">
            <w:pPr>
              <w:rPr>
                <w:rFonts w:ascii="Times New Roman" w:hAnsi="Times New Roman" w:cs="Times New Roman"/>
                <w:sz w:val="20"/>
                <w:szCs w:val="20"/>
              </w:rPr>
            </w:pPr>
          </w:p>
          <w:p w14:paraId="1D16EDC6" w14:textId="54F58A7D" w:rsidR="00B412B4" w:rsidRPr="00467514" w:rsidRDefault="00B412B4" w:rsidP="009D7A56">
            <w:pPr>
              <w:rPr>
                <w:rFonts w:ascii="Times New Roman" w:hAnsi="Times New Roman" w:cs="Times New Roman"/>
                <w:sz w:val="20"/>
                <w:szCs w:val="20"/>
              </w:rPr>
            </w:pPr>
          </w:p>
        </w:tc>
        <w:tc>
          <w:tcPr>
            <w:tcW w:w="2126" w:type="dxa"/>
            <w:vAlign w:val="center"/>
          </w:tcPr>
          <w:p w14:paraId="13AC952E" w14:textId="2F2EA563" w:rsidR="00D37B71" w:rsidRPr="00467514" w:rsidRDefault="00D37B71" w:rsidP="00B43E72">
            <w:pPr>
              <w:jc w:val="center"/>
              <w:rPr>
                <w:rFonts w:ascii="Times New Roman" w:hAnsi="Times New Roman" w:cs="Times New Roman"/>
                <w:sz w:val="20"/>
                <w:szCs w:val="20"/>
              </w:rPr>
            </w:pPr>
            <w:r w:rsidRPr="00467514">
              <w:rPr>
                <w:rFonts w:ascii="Times New Roman" w:hAnsi="Times New Roman" w:cs="Times New Roman"/>
                <w:sz w:val="20"/>
                <w:szCs w:val="20"/>
              </w:rPr>
              <w:t>Phase * Baseline</w:t>
            </w:r>
          </w:p>
        </w:tc>
        <w:tc>
          <w:tcPr>
            <w:tcW w:w="2410" w:type="dxa"/>
            <w:vAlign w:val="center"/>
          </w:tcPr>
          <w:p w14:paraId="5EE3CDCA" w14:textId="77F8D77C" w:rsidR="00D37B71" w:rsidRPr="00467514" w:rsidRDefault="00D37B71" w:rsidP="00B43E72">
            <w:pPr>
              <w:jc w:val="center"/>
              <w:rPr>
                <w:rFonts w:ascii="Times New Roman" w:hAnsi="Times New Roman" w:cs="Times New Roman"/>
                <w:sz w:val="20"/>
                <w:szCs w:val="20"/>
              </w:rPr>
            </w:pPr>
            <w:r w:rsidRPr="00467514">
              <w:rPr>
                <w:rFonts w:ascii="Times New Roman" w:hAnsi="Times New Roman" w:cs="Times New Roman"/>
                <w:sz w:val="20"/>
                <w:szCs w:val="20"/>
              </w:rPr>
              <w:t>Phase * Baseline * MPH</w:t>
            </w:r>
          </w:p>
        </w:tc>
        <w:tc>
          <w:tcPr>
            <w:tcW w:w="2454" w:type="dxa"/>
            <w:vAlign w:val="center"/>
          </w:tcPr>
          <w:p w14:paraId="645AB48B" w14:textId="5E675012" w:rsidR="00D37B71" w:rsidRPr="00467514" w:rsidRDefault="00D37B71" w:rsidP="00B43E72">
            <w:pPr>
              <w:jc w:val="center"/>
              <w:rPr>
                <w:rFonts w:ascii="Times New Roman" w:hAnsi="Times New Roman" w:cs="Times New Roman"/>
                <w:sz w:val="20"/>
                <w:szCs w:val="20"/>
              </w:rPr>
            </w:pPr>
            <w:r w:rsidRPr="00467514">
              <w:rPr>
                <w:rFonts w:ascii="Times New Roman" w:hAnsi="Times New Roman" w:cs="Times New Roman"/>
                <w:sz w:val="20"/>
                <w:szCs w:val="20"/>
              </w:rPr>
              <w:t>Phase * Baseline * MOD</w:t>
            </w:r>
          </w:p>
        </w:tc>
      </w:tr>
      <w:tr w:rsidR="00D37B71" w:rsidRPr="00467514" w14:paraId="529AF032" w14:textId="77777777" w:rsidTr="00043DB4">
        <w:tc>
          <w:tcPr>
            <w:tcW w:w="1838" w:type="dxa"/>
            <w:vAlign w:val="center"/>
          </w:tcPr>
          <w:p w14:paraId="78175BBB" w14:textId="77777777" w:rsidR="00D37B71" w:rsidRPr="00467514" w:rsidRDefault="00D37B71" w:rsidP="00B43E72">
            <w:pPr>
              <w:rPr>
                <w:rFonts w:ascii="Times New Roman" w:hAnsi="Times New Roman" w:cs="Times New Roman"/>
                <w:sz w:val="20"/>
                <w:szCs w:val="20"/>
              </w:rPr>
            </w:pPr>
            <w:r w:rsidRPr="00467514">
              <w:rPr>
                <w:rFonts w:ascii="Times New Roman" w:hAnsi="Times New Roman" w:cs="Times New Roman"/>
                <w:sz w:val="20"/>
                <w:szCs w:val="20"/>
              </w:rPr>
              <w:t>Obtained rewards</w:t>
            </w:r>
          </w:p>
          <w:p w14:paraId="06D7814D" w14:textId="61AAFF77" w:rsidR="00B43E72" w:rsidRPr="00467514" w:rsidRDefault="00B43E72" w:rsidP="00B43E72">
            <w:pPr>
              <w:rPr>
                <w:rFonts w:ascii="Times New Roman" w:hAnsi="Times New Roman" w:cs="Times New Roman"/>
                <w:sz w:val="20"/>
                <w:szCs w:val="20"/>
              </w:rPr>
            </w:pPr>
          </w:p>
        </w:tc>
        <w:tc>
          <w:tcPr>
            <w:tcW w:w="2126" w:type="dxa"/>
          </w:tcPr>
          <w:p w14:paraId="5C17CA21" w14:textId="08AC0C8F" w:rsidR="00043DB4" w:rsidRPr="00467514" w:rsidRDefault="003E1214" w:rsidP="009D7A56">
            <w:pPr>
              <w:rPr>
                <w:rFonts w:ascii="Times New Roman" w:hAnsi="Times New Roman" w:cs="Times New Roman"/>
                <w:b/>
                <w:i/>
                <w:color w:val="00B050"/>
                <w:sz w:val="20"/>
                <w:szCs w:val="20"/>
              </w:rPr>
            </w:pPr>
            <w:r w:rsidRPr="00467514">
              <w:rPr>
                <w:rFonts w:ascii="Times New Roman" w:hAnsi="Times New Roman" w:cs="Times New Roman"/>
                <w:b/>
                <w:i/>
                <w:color w:val="00B050"/>
                <w:sz w:val="20"/>
                <w:szCs w:val="20"/>
              </w:rPr>
              <w:t>β =</w:t>
            </w:r>
            <w:r w:rsidR="00C82F1F" w:rsidRPr="00467514">
              <w:rPr>
                <w:rFonts w:ascii="Times New Roman" w:hAnsi="Times New Roman" w:cs="Times New Roman"/>
                <w:b/>
                <w:i/>
                <w:color w:val="00B050"/>
                <w:sz w:val="20"/>
                <w:szCs w:val="20"/>
              </w:rPr>
              <w:t xml:space="preserve"> -0.52</w:t>
            </w:r>
          </w:p>
          <w:p w14:paraId="1488295D" w14:textId="01E100FE" w:rsidR="00D37B71" w:rsidRPr="00467514" w:rsidRDefault="00C82F1F" w:rsidP="009D7A56">
            <w:pPr>
              <w:rPr>
                <w:rFonts w:ascii="Times New Roman" w:hAnsi="Times New Roman" w:cs="Times New Roman"/>
                <w:b/>
                <w:i/>
                <w:color w:val="00B050"/>
                <w:sz w:val="20"/>
                <w:szCs w:val="20"/>
              </w:rPr>
            </w:pPr>
            <w:r w:rsidRPr="00467514">
              <w:rPr>
                <w:rFonts w:ascii="Times New Roman" w:hAnsi="Times New Roman" w:cs="Times New Roman"/>
                <w:b/>
                <w:i/>
                <w:color w:val="00B050"/>
                <w:sz w:val="20"/>
                <w:szCs w:val="20"/>
              </w:rPr>
              <w:t>CI</w:t>
            </w:r>
            <w:r w:rsidR="003E1214" w:rsidRPr="00467514">
              <w:rPr>
                <w:rFonts w:ascii="Times New Roman" w:hAnsi="Times New Roman" w:cs="Times New Roman"/>
                <w:b/>
                <w:i/>
                <w:color w:val="00B050"/>
                <w:sz w:val="20"/>
                <w:szCs w:val="20"/>
              </w:rPr>
              <w:t xml:space="preserve"> </w:t>
            </w:r>
            <w:r w:rsidRPr="00467514">
              <w:rPr>
                <w:rFonts w:ascii="Times New Roman" w:hAnsi="Times New Roman" w:cs="Times New Roman"/>
                <w:b/>
                <w:i/>
                <w:color w:val="00B050"/>
                <w:sz w:val="20"/>
                <w:szCs w:val="20"/>
              </w:rPr>
              <w:t>= -0.72</w:t>
            </w:r>
            <w:r w:rsidR="003E1214" w:rsidRPr="00467514">
              <w:rPr>
                <w:rFonts w:ascii="Times New Roman" w:hAnsi="Times New Roman" w:cs="Times New Roman"/>
                <w:b/>
                <w:i/>
                <w:color w:val="00B050"/>
                <w:sz w:val="20"/>
                <w:szCs w:val="20"/>
              </w:rPr>
              <w:t>–</w:t>
            </w:r>
            <w:r w:rsidR="00043DB4" w:rsidRPr="00467514">
              <w:rPr>
                <w:rFonts w:ascii="Times New Roman" w:hAnsi="Times New Roman" w:cs="Times New Roman"/>
                <w:b/>
                <w:i/>
                <w:color w:val="00B050"/>
                <w:sz w:val="20"/>
                <w:szCs w:val="20"/>
              </w:rPr>
              <w:t>-</w:t>
            </w:r>
            <w:r w:rsidRPr="00467514">
              <w:rPr>
                <w:rFonts w:ascii="Times New Roman" w:hAnsi="Times New Roman" w:cs="Times New Roman"/>
                <w:b/>
                <w:i/>
                <w:color w:val="00B050"/>
                <w:sz w:val="20"/>
                <w:szCs w:val="20"/>
              </w:rPr>
              <w:t>0.33</w:t>
            </w:r>
            <w:r w:rsidR="00043DB4" w:rsidRPr="00467514">
              <w:rPr>
                <w:rFonts w:ascii="Times New Roman" w:hAnsi="Times New Roman" w:cs="Times New Roman"/>
                <w:b/>
                <w:i/>
                <w:color w:val="00B050"/>
                <w:sz w:val="20"/>
                <w:szCs w:val="20"/>
              </w:rPr>
              <w:t xml:space="preserve"> </w:t>
            </w:r>
            <w:r w:rsidR="00B43E72" w:rsidRPr="00467514">
              <w:rPr>
                <w:rFonts w:ascii="Times New Roman" w:hAnsi="Times New Roman" w:cs="Times New Roman"/>
                <w:b/>
                <w:i/>
                <w:color w:val="00B050"/>
                <w:sz w:val="20"/>
                <w:szCs w:val="20"/>
              </w:rPr>
              <w:t>***</w:t>
            </w:r>
          </w:p>
        </w:tc>
        <w:tc>
          <w:tcPr>
            <w:tcW w:w="2410" w:type="dxa"/>
          </w:tcPr>
          <w:p w14:paraId="184D57E9" w14:textId="77777777" w:rsidR="00043DB4" w:rsidRPr="00467514" w:rsidRDefault="003E1214" w:rsidP="009D7A56">
            <w:pPr>
              <w:rPr>
                <w:rFonts w:ascii="Times New Roman" w:hAnsi="Times New Roman" w:cs="Times New Roman"/>
                <w:color w:val="C00000"/>
                <w:sz w:val="20"/>
                <w:szCs w:val="20"/>
              </w:rPr>
            </w:pPr>
            <w:r w:rsidRPr="00467514">
              <w:rPr>
                <w:rFonts w:ascii="Times New Roman" w:hAnsi="Times New Roman" w:cs="Times New Roman"/>
                <w:i/>
                <w:color w:val="C00000"/>
                <w:sz w:val="20"/>
                <w:szCs w:val="20"/>
              </w:rPr>
              <w:t>β</w:t>
            </w:r>
            <w:r w:rsidRPr="00467514">
              <w:rPr>
                <w:rFonts w:ascii="Times New Roman" w:hAnsi="Times New Roman" w:cs="Times New Roman"/>
                <w:color w:val="C00000"/>
                <w:sz w:val="20"/>
                <w:szCs w:val="20"/>
              </w:rPr>
              <w:t xml:space="preserve"> =</w:t>
            </w:r>
            <w:r w:rsidR="00043DB4" w:rsidRPr="00467514">
              <w:rPr>
                <w:rFonts w:ascii="Times New Roman" w:hAnsi="Times New Roman" w:cs="Times New Roman"/>
                <w:color w:val="C00000"/>
                <w:sz w:val="20"/>
                <w:szCs w:val="20"/>
              </w:rPr>
              <w:t xml:space="preserve"> 0.15</w:t>
            </w:r>
          </w:p>
          <w:p w14:paraId="46A785B7" w14:textId="65C273F6" w:rsidR="00D37B71" w:rsidRPr="00467514" w:rsidRDefault="00043DB4" w:rsidP="009D7A56">
            <w:pPr>
              <w:rPr>
                <w:rFonts w:ascii="Times New Roman" w:hAnsi="Times New Roman" w:cs="Times New Roman"/>
                <w:color w:val="C00000"/>
                <w:sz w:val="20"/>
                <w:szCs w:val="20"/>
              </w:rPr>
            </w:pPr>
            <w:r w:rsidRPr="00467514">
              <w:rPr>
                <w:rFonts w:ascii="Times New Roman" w:hAnsi="Times New Roman" w:cs="Times New Roman"/>
                <w:color w:val="C00000"/>
                <w:sz w:val="20"/>
                <w:szCs w:val="20"/>
              </w:rPr>
              <w:t>CI = -0.15</w:t>
            </w:r>
            <w:r w:rsidR="003E1214" w:rsidRPr="00467514">
              <w:rPr>
                <w:rFonts w:ascii="Times New Roman" w:hAnsi="Times New Roman" w:cs="Times New Roman"/>
                <w:color w:val="C00000"/>
                <w:sz w:val="20"/>
                <w:szCs w:val="20"/>
              </w:rPr>
              <w:t>–</w:t>
            </w:r>
            <w:r w:rsidRPr="00467514">
              <w:rPr>
                <w:color w:val="C00000"/>
                <w:sz w:val="20"/>
                <w:szCs w:val="20"/>
              </w:rPr>
              <w:t xml:space="preserve"> </w:t>
            </w:r>
            <w:r w:rsidRPr="00467514">
              <w:rPr>
                <w:rFonts w:ascii="Times New Roman" w:hAnsi="Times New Roman" w:cs="Times New Roman"/>
                <w:color w:val="C00000"/>
                <w:sz w:val="20"/>
                <w:szCs w:val="20"/>
              </w:rPr>
              <w:t>0.46</w:t>
            </w:r>
          </w:p>
        </w:tc>
        <w:tc>
          <w:tcPr>
            <w:tcW w:w="2454" w:type="dxa"/>
          </w:tcPr>
          <w:p w14:paraId="6FCE4C08" w14:textId="77777777" w:rsidR="00043DB4" w:rsidRPr="00467514" w:rsidRDefault="003E1214" w:rsidP="009D7A56">
            <w:pPr>
              <w:rPr>
                <w:rFonts w:ascii="Times New Roman" w:hAnsi="Times New Roman" w:cs="Times New Roman"/>
                <w:color w:val="C00000"/>
                <w:sz w:val="20"/>
                <w:szCs w:val="20"/>
              </w:rPr>
            </w:pPr>
            <w:r w:rsidRPr="00467514">
              <w:rPr>
                <w:rFonts w:ascii="Times New Roman" w:hAnsi="Times New Roman" w:cs="Times New Roman"/>
                <w:i/>
                <w:color w:val="C00000"/>
                <w:sz w:val="20"/>
                <w:szCs w:val="20"/>
              </w:rPr>
              <w:t>β</w:t>
            </w:r>
            <w:r w:rsidRPr="00467514">
              <w:rPr>
                <w:rFonts w:ascii="Times New Roman" w:hAnsi="Times New Roman" w:cs="Times New Roman"/>
                <w:color w:val="C00000"/>
                <w:sz w:val="20"/>
                <w:szCs w:val="20"/>
              </w:rPr>
              <w:t xml:space="preserve"> = </w:t>
            </w:r>
            <w:r w:rsidR="00043DB4" w:rsidRPr="00467514">
              <w:rPr>
                <w:rFonts w:ascii="Times New Roman" w:hAnsi="Times New Roman" w:cs="Times New Roman"/>
                <w:color w:val="C00000"/>
                <w:sz w:val="20"/>
                <w:szCs w:val="20"/>
              </w:rPr>
              <w:t>0.31</w:t>
            </w:r>
          </w:p>
          <w:p w14:paraId="23C18869" w14:textId="1A998562" w:rsidR="00D37B71" w:rsidRPr="00467514" w:rsidRDefault="00043DB4" w:rsidP="009D7A56">
            <w:pPr>
              <w:rPr>
                <w:rFonts w:ascii="Times New Roman" w:hAnsi="Times New Roman" w:cs="Times New Roman"/>
                <w:color w:val="C00000"/>
                <w:sz w:val="20"/>
                <w:szCs w:val="20"/>
              </w:rPr>
            </w:pPr>
            <w:r w:rsidRPr="00467514">
              <w:rPr>
                <w:rFonts w:ascii="Times New Roman" w:hAnsi="Times New Roman" w:cs="Times New Roman"/>
                <w:color w:val="C00000"/>
                <w:sz w:val="20"/>
                <w:szCs w:val="20"/>
              </w:rPr>
              <w:t>CI = -0.02</w:t>
            </w:r>
            <w:r w:rsidR="003E1214" w:rsidRPr="00467514">
              <w:rPr>
                <w:rFonts w:ascii="Times New Roman" w:hAnsi="Times New Roman" w:cs="Times New Roman"/>
                <w:color w:val="C00000"/>
                <w:sz w:val="20"/>
                <w:szCs w:val="20"/>
              </w:rPr>
              <w:t>–</w:t>
            </w:r>
            <w:r w:rsidRPr="00467514">
              <w:rPr>
                <w:rFonts w:ascii="Times New Roman" w:hAnsi="Times New Roman" w:cs="Times New Roman"/>
                <w:color w:val="C00000"/>
                <w:sz w:val="20"/>
                <w:szCs w:val="20"/>
              </w:rPr>
              <w:t>0.65</w:t>
            </w:r>
          </w:p>
        </w:tc>
      </w:tr>
      <w:tr w:rsidR="00D37B71" w:rsidRPr="00467514" w14:paraId="3D261084" w14:textId="77777777" w:rsidTr="00043DB4">
        <w:tc>
          <w:tcPr>
            <w:tcW w:w="1838" w:type="dxa"/>
            <w:vAlign w:val="center"/>
          </w:tcPr>
          <w:p w14:paraId="7EA4A2F9" w14:textId="77777777" w:rsidR="00D37B71" w:rsidRPr="00467514" w:rsidRDefault="00D37B71" w:rsidP="00B43E72">
            <w:pPr>
              <w:rPr>
                <w:rFonts w:ascii="Times New Roman" w:hAnsi="Times New Roman" w:cs="Times New Roman"/>
                <w:sz w:val="20"/>
                <w:szCs w:val="20"/>
              </w:rPr>
            </w:pPr>
            <w:r w:rsidRPr="00467514">
              <w:rPr>
                <w:rFonts w:ascii="Times New Roman" w:hAnsi="Times New Roman" w:cs="Times New Roman"/>
                <w:sz w:val="20"/>
                <w:szCs w:val="20"/>
              </w:rPr>
              <w:t>Efficiency</w:t>
            </w:r>
          </w:p>
          <w:p w14:paraId="1CFD9604" w14:textId="33271D87" w:rsidR="00B43E72" w:rsidRPr="00467514" w:rsidRDefault="00B43E72" w:rsidP="00B43E72">
            <w:pPr>
              <w:rPr>
                <w:rFonts w:ascii="Times New Roman" w:hAnsi="Times New Roman" w:cs="Times New Roman"/>
                <w:sz w:val="20"/>
                <w:szCs w:val="20"/>
              </w:rPr>
            </w:pPr>
          </w:p>
        </w:tc>
        <w:tc>
          <w:tcPr>
            <w:tcW w:w="2126" w:type="dxa"/>
          </w:tcPr>
          <w:p w14:paraId="15D05CE3" w14:textId="77777777" w:rsidR="007134DE" w:rsidRPr="00467514" w:rsidRDefault="003E1214" w:rsidP="009D7A56">
            <w:pPr>
              <w:rPr>
                <w:rFonts w:ascii="Times New Roman" w:hAnsi="Times New Roman" w:cs="Times New Roman"/>
                <w:b/>
                <w:i/>
                <w:color w:val="00B050"/>
                <w:sz w:val="20"/>
                <w:szCs w:val="20"/>
              </w:rPr>
            </w:pPr>
            <w:r w:rsidRPr="00467514">
              <w:rPr>
                <w:rFonts w:ascii="Times New Roman" w:hAnsi="Times New Roman" w:cs="Times New Roman"/>
                <w:b/>
                <w:i/>
                <w:color w:val="00B050"/>
                <w:sz w:val="20"/>
                <w:szCs w:val="20"/>
              </w:rPr>
              <w:t xml:space="preserve">β = </w:t>
            </w:r>
            <w:r w:rsidR="007134DE" w:rsidRPr="00467514">
              <w:rPr>
                <w:rFonts w:ascii="Times New Roman" w:hAnsi="Times New Roman" w:cs="Times New Roman"/>
                <w:b/>
                <w:i/>
                <w:color w:val="00B050"/>
                <w:sz w:val="20"/>
                <w:szCs w:val="20"/>
              </w:rPr>
              <w:t>-0.39</w:t>
            </w:r>
          </w:p>
          <w:p w14:paraId="4770E7DA" w14:textId="46FBD8DD" w:rsidR="00D37B71" w:rsidRPr="00467514" w:rsidRDefault="007134DE" w:rsidP="009D7A56">
            <w:pPr>
              <w:rPr>
                <w:rFonts w:ascii="Times New Roman" w:hAnsi="Times New Roman" w:cs="Times New Roman"/>
                <w:b/>
                <w:i/>
                <w:color w:val="00B050"/>
                <w:sz w:val="20"/>
                <w:szCs w:val="20"/>
              </w:rPr>
            </w:pPr>
            <w:r w:rsidRPr="00467514">
              <w:rPr>
                <w:rFonts w:ascii="Times New Roman" w:hAnsi="Times New Roman" w:cs="Times New Roman"/>
                <w:b/>
                <w:i/>
                <w:color w:val="00B050"/>
                <w:sz w:val="20"/>
                <w:szCs w:val="20"/>
              </w:rPr>
              <w:t>CI = -0.6</w:t>
            </w:r>
            <w:r w:rsidR="003E1214" w:rsidRPr="00467514">
              <w:rPr>
                <w:rFonts w:ascii="Times New Roman" w:hAnsi="Times New Roman" w:cs="Times New Roman"/>
                <w:b/>
                <w:i/>
                <w:color w:val="00B050"/>
                <w:sz w:val="20"/>
                <w:szCs w:val="20"/>
              </w:rPr>
              <w:t>–</w:t>
            </w:r>
            <w:r w:rsidRPr="00467514">
              <w:rPr>
                <w:rFonts w:ascii="Times New Roman" w:hAnsi="Times New Roman" w:cs="Times New Roman"/>
                <w:b/>
                <w:i/>
                <w:color w:val="00B050"/>
                <w:sz w:val="20"/>
                <w:szCs w:val="20"/>
              </w:rPr>
              <w:t>-0.19 ***</w:t>
            </w:r>
          </w:p>
        </w:tc>
        <w:tc>
          <w:tcPr>
            <w:tcW w:w="2410" w:type="dxa"/>
          </w:tcPr>
          <w:p w14:paraId="02B43EE6" w14:textId="77777777" w:rsidR="007134DE" w:rsidRPr="00467514" w:rsidRDefault="003E1214" w:rsidP="009D7A56">
            <w:pPr>
              <w:rPr>
                <w:rFonts w:ascii="Times New Roman" w:hAnsi="Times New Roman" w:cs="Times New Roman"/>
                <w:color w:val="00B050"/>
                <w:sz w:val="20"/>
                <w:szCs w:val="20"/>
              </w:rPr>
            </w:pPr>
            <w:r w:rsidRPr="00467514">
              <w:rPr>
                <w:rFonts w:ascii="Times New Roman" w:hAnsi="Times New Roman" w:cs="Times New Roman"/>
                <w:i/>
                <w:color w:val="00B050"/>
                <w:sz w:val="20"/>
                <w:szCs w:val="20"/>
              </w:rPr>
              <w:t>β</w:t>
            </w:r>
            <w:r w:rsidRPr="00467514">
              <w:rPr>
                <w:rFonts w:ascii="Times New Roman" w:hAnsi="Times New Roman" w:cs="Times New Roman"/>
                <w:color w:val="00B050"/>
                <w:sz w:val="20"/>
                <w:szCs w:val="20"/>
              </w:rPr>
              <w:t xml:space="preserve"> = </w:t>
            </w:r>
            <w:r w:rsidR="007134DE" w:rsidRPr="00467514">
              <w:rPr>
                <w:rFonts w:ascii="Times New Roman" w:hAnsi="Times New Roman" w:cs="Times New Roman"/>
                <w:color w:val="00B050"/>
                <w:sz w:val="20"/>
                <w:szCs w:val="20"/>
              </w:rPr>
              <w:t>-0.02</w:t>
            </w:r>
          </w:p>
          <w:p w14:paraId="517B6C36" w14:textId="5EFE0A75" w:rsidR="00D37B71" w:rsidRPr="00467514" w:rsidRDefault="007134DE" w:rsidP="009D7A56">
            <w:pPr>
              <w:rPr>
                <w:rFonts w:ascii="Times New Roman" w:hAnsi="Times New Roman" w:cs="Times New Roman"/>
                <w:sz w:val="20"/>
                <w:szCs w:val="20"/>
              </w:rPr>
            </w:pPr>
            <w:r w:rsidRPr="00467514">
              <w:rPr>
                <w:rFonts w:ascii="Times New Roman" w:hAnsi="Times New Roman" w:cs="Times New Roman"/>
                <w:color w:val="00B050"/>
                <w:sz w:val="20"/>
                <w:szCs w:val="20"/>
              </w:rPr>
              <w:t>CI = -0.36</w:t>
            </w:r>
            <w:r w:rsidR="003E1214" w:rsidRPr="00467514">
              <w:rPr>
                <w:rFonts w:ascii="Times New Roman" w:hAnsi="Times New Roman" w:cs="Times New Roman"/>
                <w:color w:val="00B050"/>
                <w:sz w:val="20"/>
                <w:szCs w:val="20"/>
              </w:rPr>
              <w:t>–</w:t>
            </w:r>
            <w:r w:rsidRPr="00467514">
              <w:rPr>
                <w:rFonts w:ascii="Times New Roman" w:hAnsi="Times New Roman" w:cs="Times New Roman"/>
                <w:color w:val="00B050"/>
                <w:sz w:val="20"/>
                <w:szCs w:val="20"/>
              </w:rPr>
              <w:t>0.32</w:t>
            </w:r>
          </w:p>
        </w:tc>
        <w:tc>
          <w:tcPr>
            <w:tcW w:w="2454" w:type="dxa"/>
          </w:tcPr>
          <w:p w14:paraId="76E935A2" w14:textId="77777777" w:rsidR="007134DE" w:rsidRPr="00467514" w:rsidRDefault="003E1214" w:rsidP="009D7A56">
            <w:pPr>
              <w:rPr>
                <w:rFonts w:ascii="Times New Roman" w:hAnsi="Times New Roman" w:cs="Times New Roman"/>
                <w:color w:val="C00000"/>
                <w:sz w:val="20"/>
                <w:szCs w:val="20"/>
              </w:rPr>
            </w:pPr>
            <w:r w:rsidRPr="00467514">
              <w:rPr>
                <w:rFonts w:ascii="Times New Roman" w:hAnsi="Times New Roman" w:cs="Times New Roman"/>
                <w:i/>
                <w:color w:val="C00000"/>
                <w:sz w:val="20"/>
                <w:szCs w:val="20"/>
              </w:rPr>
              <w:t>β</w:t>
            </w:r>
            <w:r w:rsidRPr="00467514">
              <w:rPr>
                <w:rFonts w:ascii="Times New Roman" w:hAnsi="Times New Roman" w:cs="Times New Roman"/>
                <w:color w:val="C00000"/>
                <w:sz w:val="20"/>
                <w:szCs w:val="20"/>
              </w:rPr>
              <w:t xml:space="preserve"> </w:t>
            </w:r>
            <w:r w:rsidR="007134DE" w:rsidRPr="00467514">
              <w:rPr>
                <w:rFonts w:ascii="Times New Roman" w:hAnsi="Times New Roman" w:cs="Times New Roman"/>
                <w:color w:val="C00000"/>
                <w:sz w:val="20"/>
                <w:szCs w:val="20"/>
              </w:rPr>
              <w:t>= 0.20</w:t>
            </w:r>
          </w:p>
          <w:p w14:paraId="06F3418A" w14:textId="560FBA76" w:rsidR="00D37B71" w:rsidRPr="00467514" w:rsidRDefault="007134DE" w:rsidP="009D7A56">
            <w:pPr>
              <w:rPr>
                <w:rFonts w:ascii="Times New Roman" w:hAnsi="Times New Roman" w:cs="Times New Roman"/>
                <w:color w:val="C00000"/>
                <w:sz w:val="20"/>
                <w:szCs w:val="20"/>
              </w:rPr>
            </w:pPr>
            <w:r w:rsidRPr="00467514">
              <w:rPr>
                <w:rFonts w:ascii="Times New Roman" w:hAnsi="Times New Roman" w:cs="Times New Roman"/>
                <w:color w:val="C00000"/>
                <w:sz w:val="20"/>
                <w:szCs w:val="20"/>
              </w:rPr>
              <w:t>CI = -0.08</w:t>
            </w:r>
            <w:r w:rsidR="003E1214" w:rsidRPr="00467514">
              <w:rPr>
                <w:rFonts w:ascii="Times New Roman" w:hAnsi="Times New Roman" w:cs="Times New Roman"/>
                <w:color w:val="C00000"/>
                <w:sz w:val="20"/>
                <w:szCs w:val="20"/>
              </w:rPr>
              <w:t>–</w:t>
            </w:r>
            <w:r w:rsidRPr="00467514">
              <w:rPr>
                <w:rFonts w:ascii="Times New Roman" w:hAnsi="Times New Roman" w:cs="Times New Roman"/>
                <w:color w:val="C00000"/>
                <w:sz w:val="20"/>
                <w:szCs w:val="20"/>
              </w:rPr>
              <w:t>0.48</w:t>
            </w:r>
          </w:p>
        </w:tc>
      </w:tr>
      <w:tr w:rsidR="00D37B71" w:rsidRPr="00467514" w14:paraId="2203B238" w14:textId="77777777" w:rsidTr="00043DB4">
        <w:tc>
          <w:tcPr>
            <w:tcW w:w="1838" w:type="dxa"/>
            <w:vAlign w:val="center"/>
          </w:tcPr>
          <w:p w14:paraId="4DF67E09" w14:textId="77777777" w:rsidR="00D37B71" w:rsidRPr="00467514" w:rsidRDefault="00D37B71" w:rsidP="00B43E72">
            <w:pPr>
              <w:rPr>
                <w:rFonts w:ascii="Times New Roman" w:hAnsi="Times New Roman" w:cs="Times New Roman"/>
                <w:sz w:val="20"/>
                <w:szCs w:val="20"/>
              </w:rPr>
            </w:pPr>
            <w:r w:rsidRPr="00467514">
              <w:rPr>
                <w:rFonts w:ascii="Times New Roman" w:hAnsi="Times New Roman" w:cs="Times New Roman"/>
                <w:sz w:val="20"/>
                <w:szCs w:val="20"/>
              </w:rPr>
              <w:t>Burst responding</w:t>
            </w:r>
          </w:p>
          <w:p w14:paraId="7854796F" w14:textId="0D0D2FFC" w:rsidR="00B43E72" w:rsidRPr="00467514" w:rsidRDefault="00B43E72" w:rsidP="00B43E72">
            <w:pPr>
              <w:rPr>
                <w:rFonts w:ascii="Times New Roman" w:hAnsi="Times New Roman" w:cs="Times New Roman"/>
                <w:sz w:val="20"/>
                <w:szCs w:val="20"/>
              </w:rPr>
            </w:pPr>
          </w:p>
        </w:tc>
        <w:tc>
          <w:tcPr>
            <w:tcW w:w="2126" w:type="dxa"/>
          </w:tcPr>
          <w:p w14:paraId="4E88B9B6" w14:textId="77777777" w:rsidR="00BC6418" w:rsidRPr="00467514" w:rsidRDefault="003E1214" w:rsidP="009D7A56">
            <w:pPr>
              <w:rPr>
                <w:rFonts w:ascii="Times New Roman" w:hAnsi="Times New Roman" w:cs="Times New Roman"/>
                <w:b/>
                <w:i/>
                <w:color w:val="00B050"/>
                <w:sz w:val="20"/>
                <w:szCs w:val="20"/>
              </w:rPr>
            </w:pPr>
            <w:r w:rsidRPr="00467514">
              <w:rPr>
                <w:rFonts w:ascii="Times New Roman" w:hAnsi="Times New Roman" w:cs="Times New Roman"/>
                <w:b/>
                <w:i/>
                <w:color w:val="00B050"/>
                <w:sz w:val="20"/>
                <w:szCs w:val="20"/>
              </w:rPr>
              <w:t xml:space="preserve">β = </w:t>
            </w:r>
            <w:r w:rsidR="00BC6418" w:rsidRPr="00467514">
              <w:rPr>
                <w:rFonts w:ascii="Times New Roman" w:hAnsi="Times New Roman" w:cs="Times New Roman"/>
                <w:b/>
                <w:i/>
                <w:color w:val="00B050"/>
                <w:sz w:val="20"/>
                <w:szCs w:val="20"/>
              </w:rPr>
              <w:t>-0.19</w:t>
            </w:r>
          </w:p>
          <w:p w14:paraId="5BC37D3A" w14:textId="49FE5399" w:rsidR="00D37B71" w:rsidRPr="00467514" w:rsidRDefault="00BC6418" w:rsidP="009D7A56">
            <w:pPr>
              <w:rPr>
                <w:rFonts w:ascii="Times New Roman" w:hAnsi="Times New Roman" w:cs="Times New Roman"/>
                <w:b/>
                <w:i/>
                <w:color w:val="00B050"/>
                <w:sz w:val="20"/>
                <w:szCs w:val="20"/>
              </w:rPr>
            </w:pPr>
            <w:r w:rsidRPr="00467514">
              <w:rPr>
                <w:rFonts w:ascii="Times New Roman" w:hAnsi="Times New Roman" w:cs="Times New Roman"/>
                <w:b/>
                <w:i/>
                <w:color w:val="00B050"/>
                <w:sz w:val="20"/>
                <w:szCs w:val="20"/>
              </w:rPr>
              <w:t>CI = -0.34</w:t>
            </w:r>
            <w:r w:rsidR="003E1214" w:rsidRPr="00467514">
              <w:rPr>
                <w:rFonts w:ascii="Times New Roman" w:hAnsi="Times New Roman" w:cs="Times New Roman"/>
                <w:b/>
                <w:i/>
                <w:color w:val="00B050"/>
                <w:sz w:val="20"/>
                <w:szCs w:val="20"/>
              </w:rPr>
              <w:t>–</w:t>
            </w:r>
            <w:r w:rsidRPr="00467514">
              <w:rPr>
                <w:rFonts w:ascii="Times New Roman" w:hAnsi="Times New Roman" w:cs="Times New Roman"/>
                <w:b/>
                <w:i/>
                <w:color w:val="00B050"/>
                <w:sz w:val="20"/>
                <w:szCs w:val="20"/>
              </w:rPr>
              <w:t>-0.03 *</w:t>
            </w:r>
          </w:p>
        </w:tc>
        <w:tc>
          <w:tcPr>
            <w:tcW w:w="2410" w:type="dxa"/>
          </w:tcPr>
          <w:p w14:paraId="512A263D" w14:textId="77777777" w:rsidR="00BC6418" w:rsidRPr="00467514" w:rsidRDefault="003E1214" w:rsidP="009D7A56">
            <w:pPr>
              <w:rPr>
                <w:rFonts w:ascii="Times New Roman" w:hAnsi="Times New Roman" w:cs="Times New Roman"/>
                <w:color w:val="C00000"/>
                <w:sz w:val="20"/>
                <w:szCs w:val="20"/>
              </w:rPr>
            </w:pPr>
            <w:r w:rsidRPr="00467514">
              <w:rPr>
                <w:rFonts w:ascii="Times New Roman" w:hAnsi="Times New Roman" w:cs="Times New Roman"/>
                <w:i/>
                <w:color w:val="C00000"/>
                <w:sz w:val="20"/>
                <w:szCs w:val="20"/>
              </w:rPr>
              <w:t xml:space="preserve">β </w:t>
            </w:r>
            <w:r w:rsidRPr="00467514">
              <w:rPr>
                <w:rFonts w:ascii="Times New Roman" w:hAnsi="Times New Roman" w:cs="Times New Roman"/>
                <w:color w:val="C00000"/>
                <w:sz w:val="20"/>
                <w:szCs w:val="20"/>
              </w:rPr>
              <w:t xml:space="preserve">= </w:t>
            </w:r>
            <w:r w:rsidR="00BC6418" w:rsidRPr="00467514">
              <w:rPr>
                <w:rFonts w:ascii="Times New Roman" w:hAnsi="Times New Roman" w:cs="Times New Roman"/>
                <w:color w:val="C00000"/>
                <w:sz w:val="20"/>
                <w:szCs w:val="20"/>
              </w:rPr>
              <w:t>0.10</w:t>
            </w:r>
          </w:p>
          <w:p w14:paraId="75A7F51B" w14:textId="54D7B30F" w:rsidR="00D37B71" w:rsidRPr="00467514" w:rsidRDefault="00BC6418" w:rsidP="009D7A56">
            <w:pPr>
              <w:rPr>
                <w:rFonts w:ascii="Times New Roman" w:hAnsi="Times New Roman" w:cs="Times New Roman"/>
                <w:sz w:val="20"/>
                <w:szCs w:val="20"/>
              </w:rPr>
            </w:pPr>
            <w:r w:rsidRPr="00467514">
              <w:rPr>
                <w:rFonts w:ascii="Times New Roman" w:hAnsi="Times New Roman" w:cs="Times New Roman"/>
                <w:color w:val="C00000"/>
                <w:sz w:val="20"/>
                <w:szCs w:val="20"/>
              </w:rPr>
              <w:t>CI = -0.23</w:t>
            </w:r>
            <w:r w:rsidR="003E1214" w:rsidRPr="00467514">
              <w:rPr>
                <w:rFonts w:ascii="Times New Roman" w:hAnsi="Times New Roman" w:cs="Times New Roman"/>
                <w:color w:val="C00000"/>
                <w:sz w:val="20"/>
                <w:szCs w:val="20"/>
              </w:rPr>
              <w:t>–</w:t>
            </w:r>
            <w:r w:rsidRPr="00467514">
              <w:rPr>
                <w:rFonts w:ascii="Times New Roman" w:hAnsi="Times New Roman" w:cs="Times New Roman"/>
                <w:color w:val="C00000"/>
                <w:sz w:val="20"/>
                <w:szCs w:val="20"/>
              </w:rPr>
              <w:t>0.43</w:t>
            </w:r>
          </w:p>
        </w:tc>
        <w:tc>
          <w:tcPr>
            <w:tcW w:w="2454" w:type="dxa"/>
          </w:tcPr>
          <w:p w14:paraId="7B40EDFB" w14:textId="6C9DBDF5" w:rsidR="00BC6418" w:rsidRPr="00467514" w:rsidRDefault="003E1214" w:rsidP="009D7A56">
            <w:pPr>
              <w:rPr>
                <w:rFonts w:ascii="Times New Roman" w:hAnsi="Times New Roman" w:cs="Times New Roman"/>
                <w:color w:val="C00000"/>
                <w:sz w:val="20"/>
                <w:szCs w:val="20"/>
              </w:rPr>
            </w:pPr>
            <w:r w:rsidRPr="00467514">
              <w:rPr>
                <w:rFonts w:ascii="Times New Roman" w:hAnsi="Times New Roman" w:cs="Times New Roman"/>
                <w:i/>
                <w:color w:val="C00000"/>
                <w:sz w:val="20"/>
                <w:szCs w:val="20"/>
              </w:rPr>
              <w:t xml:space="preserve">β </w:t>
            </w:r>
            <w:r w:rsidRPr="00467514">
              <w:rPr>
                <w:rFonts w:ascii="Times New Roman" w:hAnsi="Times New Roman" w:cs="Times New Roman"/>
                <w:color w:val="C00000"/>
                <w:sz w:val="20"/>
                <w:szCs w:val="20"/>
              </w:rPr>
              <w:t>=</w:t>
            </w:r>
            <w:r w:rsidR="00BC6418" w:rsidRPr="00467514">
              <w:rPr>
                <w:rFonts w:ascii="Times New Roman" w:hAnsi="Times New Roman" w:cs="Times New Roman"/>
                <w:color w:val="C00000"/>
                <w:sz w:val="20"/>
                <w:szCs w:val="20"/>
              </w:rPr>
              <w:t xml:space="preserve"> 0.04</w:t>
            </w:r>
          </w:p>
          <w:p w14:paraId="4773013F" w14:textId="106B83BE" w:rsidR="00D37B71" w:rsidRPr="00467514" w:rsidRDefault="00BC6418" w:rsidP="009D7A56">
            <w:pPr>
              <w:rPr>
                <w:rFonts w:ascii="Times New Roman" w:hAnsi="Times New Roman" w:cs="Times New Roman"/>
                <w:color w:val="C00000"/>
                <w:sz w:val="20"/>
                <w:szCs w:val="20"/>
              </w:rPr>
            </w:pPr>
            <w:r w:rsidRPr="00467514">
              <w:rPr>
                <w:rFonts w:ascii="Times New Roman" w:hAnsi="Times New Roman" w:cs="Times New Roman"/>
                <w:color w:val="C00000"/>
                <w:sz w:val="20"/>
                <w:szCs w:val="20"/>
              </w:rPr>
              <w:t>CI = -0.17</w:t>
            </w:r>
            <w:r w:rsidR="003E1214" w:rsidRPr="00467514">
              <w:rPr>
                <w:rFonts w:ascii="Times New Roman" w:hAnsi="Times New Roman" w:cs="Times New Roman"/>
                <w:color w:val="C00000"/>
                <w:sz w:val="20"/>
                <w:szCs w:val="20"/>
              </w:rPr>
              <w:t>–</w:t>
            </w:r>
            <w:r w:rsidRPr="00467514">
              <w:rPr>
                <w:rFonts w:ascii="Times New Roman" w:hAnsi="Times New Roman" w:cs="Times New Roman"/>
                <w:color w:val="C00000"/>
                <w:sz w:val="20"/>
                <w:szCs w:val="20"/>
              </w:rPr>
              <w:t>0.26</w:t>
            </w:r>
          </w:p>
        </w:tc>
      </w:tr>
      <w:tr w:rsidR="00CB7562" w:rsidRPr="00467514" w14:paraId="5FB5E366" w14:textId="77777777" w:rsidTr="000547F0">
        <w:tc>
          <w:tcPr>
            <w:tcW w:w="1838" w:type="dxa"/>
            <w:vAlign w:val="center"/>
          </w:tcPr>
          <w:p w14:paraId="02D8CA24" w14:textId="04D9669A" w:rsidR="00CB7562" w:rsidRPr="00467514" w:rsidRDefault="00CB7562" w:rsidP="00CB7562">
            <w:pPr>
              <w:rPr>
                <w:rFonts w:ascii="Times New Roman" w:hAnsi="Times New Roman" w:cs="Times New Roman"/>
                <w:sz w:val="20"/>
                <w:szCs w:val="20"/>
              </w:rPr>
            </w:pPr>
            <w:r w:rsidRPr="00467514">
              <w:rPr>
                <w:rFonts w:ascii="Times New Roman" w:hAnsi="Times New Roman" w:cs="Times New Roman"/>
                <w:sz w:val="20"/>
                <w:szCs w:val="20"/>
              </w:rPr>
              <w:t>Early inhibitory deficit</w:t>
            </w:r>
          </w:p>
        </w:tc>
        <w:tc>
          <w:tcPr>
            <w:tcW w:w="2126" w:type="dxa"/>
          </w:tcPr>
          <w:p w14:paraId="0BE97483" w14:textId="77777777" w:rsidR="00CB7562" w:rsidRPr="00467514" w:rsidRDefault="00CB7562" w:rsidP="00CB7562">
            <w:pPr>
              <w:rPr>
                <w:rFonts w:ascii="Times New Roman" w:hAnsi="Times New Roman" w:cs="Times New Roman"/>
                <w:b/>
                <w:i/>
                <w:color w:val="00B050"/>
                <w:sz w:val="20"/>
                <w:szCs w:val="20"/>
              </w:rPr>
            </w:pPr>
            <w:r w:rsidRPr="00467514">
              <w:rPr>
                <w:rFonts w:ascii="Times New Roman" w:hAnsi="Times New Roman" w:cs="Times New Roman"/>
                <w:b/>
                <w:i/>
                <w:color w:val="00B050"/>
                <w:sz w:val="20"/>
                <w:szCs w:val="20"/>
              </w:rPr>
              <w:t>β = -0.40</w:t>
            </w:r>
          </w:p>
          <w:p w14:paraId="51CF789B" w14:textId="036355FC" w:rsidR="00CB7562" w:rsidRPr="00467514" w:rsidRDefault="00CB7562" w:rsidP="00CB7562">
            <w:pPr>
              <w:rPr>
                <w:rFonts w:ascii="Times New Roman" w:hAnsi="Times New Roman" w:cs="Times New Roman"/>
                <w:b/>
                <w:i/>
                <w:color w:val="00B050"/>
                <w:sz w:val="20"/>
                <w:szCs w:val="20"/>
              </w:rPr>
            </w:pPr>
            <w:r w:rsidRPr="00467514">
              <w:rPr>
                <w:rFonts w:ascii="Times New Roman" w:hAnsi="Times New Roman" w:cs="Times New Roman"/>
                <w:b/>
                <w:i/>
                <w:color w:val="00B050"/>
                <w:sz w:val="20"/>
                <w:szCs w:val="20"/>
              </w:rPr>
              <w:t>CI = -0.67–-0.14 **</w:t>
            </w:r>
          </w:p>
        </w:tc>
        <w:tc>
          <w:tcPr>
            <w:tcW w:w="2410" w:type="dxa"/>
          </w:tcPr>
          <w:p w14:paraId="34C8004D" w14:textId="77777777" w:rsidR="00CB7562" w:rsidRPr="00467514" w:rsidRDefault="00CB7562" w:rsidP="00CB7562">
            <w:pPr>
              <w:rPr>
                <w:rFonts w:ascii="Times New Roman" w:hAnsi="Times New Roman" w:cs="Times New Roman"/>
                <w:color w:val="00B050"/>
                <w:sz w:val="20"/>
                <w:szCs w:val="20"/>
              </w:rPr>
            </w:pPr>
            <w:r w:rsidRPr="00467514">
              <w:rPr>
                <w:rFonts w:ascii="Times New Roman" w:hAnsi="Times New Roman" w:cs="Times New Roman"/>
                <w:i/>
                <w:color w:val="00B050"/>
                <w:sz w:val="20"/>
                <w:szCs w:val="20"/>
              </w:rPr>
              <w:t>β</w:t>
            </w:r>
            <w:r w:rsidRPr="00467514">
              <w:rPr>
                <w:rFonts w:ascii="Times New Roman" w:hAnsi="Times New Roman" w:cs="Times New Roman"/>
                <w:color w:val="00B050"/>
                <w:sz w:val="20"/>
                <w:szCs w:val="20"/>
              </w:rPr>
              <w:t xml:space="preserve"> = -0.16</w:t>
            </w:r>
          </w:p>
          <w:p w14:paraId="1F52AEA0" w14:textId="32FCE2CB" w:rsidR="00CB7562" w:rsidRPr="00467514" w:rsidRDefault="00CB7562" w:rsidP="00CB7562">
            <w:pPr>
              <w:rPr>
                <w:rFonts w:ascii="Times New Roman" w:hAnsi="Times New Roman" w:cs="Times New Roman"/>
                <w:sz w:val="20"/>
                <w:szCs w:val="20"/>
              </w:rPr>
            </w:pPr>
            <w:r w:rsidRPr="00467514">
              <w:rPr>
                <w:rFonts w:ascii="Times New Roman" w:hAnsi="Times New Roman" w:cs="Times New Roman"/>
                <w:color w:val="00B050"/>
                <w:sz w:val="20"/>
                <w:szCs w:val="20"/>
              </w:rPr>
              <w:t>CI = -0.55–0.23</w:t>
            </w:r>
          </w:p>
        </w:tc>
        <w:tc>
          <w:tcPr>
            <w:tcW w:w="2454" w:type="dxa"/>
          </w:tcPr>
          <w:p w14:paraId="56360696" w14:textId="77777777" w:rsidR="00CB7562" w:rsidRPr="00467514" w:rsidRDefault="00CB7562" w:rsidP="00CB7562">
            <w:pPr>
              <w:rPr>
                <w:rFonts w:ascii="Times New Roman" w:hAnsi="Times New Roman" w:cs="Times New Roman"/>
                <w:b/>
                <w:i/>
                <w:color w:val="C00000"/>
                <w:sz w:val="20"/>
                <w:szCs w:val="20"/>
              </w:rPr>
            </w:pPr>
            <w:r w:rsidRPr="00467514">
              <w:rPr>
                <w:rFonts w:ascii="Times New Roman" w:hAnsi="Times New Roman" w:cs="Times New Roman"/>
                <w:b/>
                <w:i/>
                <w:color w:val="C00000"/>
                <w:sz w:val="20"/>
                <w:szCs w:val="20"/>
              </w:rPr>
              <w:t>β = 0.44</w:t>
            </w:r>
          </w:p>
          <w:p w14:paraId="4201F236" w14:textId="5ABCD0C8" w:rsidR="00CB7562" w:rsidRPr="00467514" w:rsidRDefault="00CB7562" w:rsidP="00CB7562">
            <w:pPr>
              <w:rPr>
                <w:rFonts w:ascii="Times New Roman" w:hAnsi="Times New Roman" w:cs="Times New Roman"/>
                <w:b/>
                <w:i/>
                <w:color w:val="C00000"/>
                <w:sz w:val="20"/>
                <w:szCs w:val="20"/>
              </w:rPr>
            </w:pPr>
            <w:r w:rsidRPr="00467514">
              <w:rPr>
                <w:rFonts w:ascii="Times New Roman" w:hAnsi="Times New Roman" w:cs="Times New Roman"/>
                <w:b/>
                <w:i/>
                <w:color w:val="C00000"/>
                <w:sz w:val="20"/>
                <w:szCs w:val="20"/>
              </w:rPr>
              <w:t>CI = 0.12–0.77 ***</w:t>
            </w:r>
          </w:p>
        </w:tc>
      </w:tr>
      <w:tr w:rsidR="00CB7562" w:rsidRPr="00467514" w14:paraId="5EC58025" w14:textId="77777777" w:rsidTr="00043DB4">
        <w:tc>
          <w:tcPr>
            <w:tcW w:w="1838" w:type="dxa"/>
            <w:vAlign w:val="center"/>
          </w:tcPr>
          <w:p w14:paraId="513BB017" w14:textId="77777777" w:rsidR="00CB7562" w:rsidRPr="00467514" w:rsidRDefault="00CB7562" w:rsidP="00CB7562">
            <w:pPr>
              <w:rPr>
                <w:rFonts w:ascii="Times New Roman" w:hAnsi="Times New Roman" w:cs="Times New Roman"/>
                <w:sz w:val="20"/>
                <w:szCs w:val="20"/>
              </w:rPr>
            </w:pPr>
            <w:r w:rsidRPr="00467514">
              <w:rPr>
                <w:rFonts w:ascii="Times New Roman" w:hAnsi="Times New Roman" w:cs="Times New Roman"/>
                <w:sz w:val="20"/>
                <w:szCs w:val="20"/>
              </w:rPr>
              <w:t>Timing peak</w:t>
            </w:r>
          </w:p>
          <w:p w14:paraId="5FE19B77" w14:textId="293429FE" w:rsidR="00CB7562" w:rsidRPr="00467514" w:rsidRDefault="00CB7562" w:rsidP="00CB7562">
            <w:pPr>
              <w:rPr>
                <w:rFonts w:ascii="Times New Roman" w:hAnsi="Times New Roman" w:cs="Times New Roman"/>
                <w:sz w:val="20"/>
                <w:szCs w:val="20"/>
              </w:rPr>
            </w:pPr>
          </w:p>
        </w:tc>
        <w:tc>
          <w:tcPr>
            <w:tcW w:w="2126" w:type="dxa"/>
          </w:tcPr>
          <w:p w14:paraId="39D7EDAA" w14:textId="77777777" w:rsidR="00CB7562" w:rsidRPr="00467514" w:rsidRDefault="00CB7562" w:rsidP="00CB7562">
            <w:pPr>
              <w:rPr>
                <w:rFonts w:ascii="Times New Roman" w:hAnsi="Times New Roman" w:cs="Times New Roman"/>
                <w:b/>
                <w:i/>
                <w:color w:val="00B050"/>
                <w:sz w:val="20"/>
                <w:szCs w:val="20"/>
              </w:rPr>
            </w:pPr>
            <w:r w:rsidRPr="00467514">
              <w:rPr>
                <w:rFonts w:ascii="Times New Roman" w:hAnsi="Times New Roman" w:cs="Times New Roman"/>
                <w:b/>
                <w:i/>
                <w:color w:val="00B050"/>
                <w:sz w:val="20"/>
                <w:szCs w:val="20"/>
              </w:rPr>
              <w:t>β = -0.74</w:t>
            </w:r>
          </w:p>
          <w:p w14:paraId="6D161525" w14:textId="2BC55AFE" w:rsidR="00CB7562" w:rsidRPr="00467514" w:rsidRDefault="00CB7562" w:rsidP="00CB7562">
            <w:pPr>
              <w:rPr>
                <w:rFonts w:ascii="Times New Roman" w:hAnsi="Times New Roman" w:cs="Times New Roman"/>
                <w:b/>
                <w:i/>
                <w:color w:val="00B050"/>
                <w:sz w:val="20"/>
                <w:szCs w:val="20"/>
              </w:rPr>
            </w:pPr>
            <w:r w:rsidRPr="00467514">
              <w:rPr>
                <w:rFonts w:ascii="Times New Roman" w:hAnsi="Times New Roman" w:cs="Times New Roman"/>
                <w:b/>
                <w:i/>
                <w:color w:val="00B050"/>
                <w:sz w:val="20"/>
                <w:szCs w:val="20"/>
              </w:rPr>
              <w:t>CI = -1.01–-0.48 ***</w:t>
            </w:r>
          </w:p>
        </w:tc>
        <w:tc>
          <w:tcPr>
            <w:tcW w:w="2410" w:type="dxa"/>
          </w:tcPr>
          <w:p w14:paraId="3D8791B3" w14:textId="77777777" w:rsidR="00CB7562" w:rsidRPr="00467514" w:rsidRDefault="00CB7562" w:rsidP="00CB7562">
            <w:pPr>
              <w:rPr>
                <w:rFonts w:ascii="Times New Roman" w:hAnsi="Times New Roman" w:cs="Times New Roman"/>
                <w:color w:val="C00000"/>
                <w:sz w:val="20"/>
                <w:szCs w:val="20"/>
              </w:rPr>
            </w:pPr>
            <w:r w:rsidRPr="00467514">
              <w:rPr>
                <w:rFonts w:ascii="Times New Roman" w:hAnsi="Times New Roman" w:cs="Times New Roman"/>
                <w:i/>
                <w:color w:val="C00000"/>
                <w:sz w:val="20"/>
                <w:szCs w:val="20"/>
              </w:rPr>
              <w:t xml:space="preserve">β </w:t>
            </w:r>
            <w:r w:rsidRPr="00467514">
              <w:rPr>
                <w:rFonts w:ascii="Times New Roman" w:hAnsi="Times New Roman" w:cs="Times New Roman"/>
                <w:color w:val="C00000"/>
                <w:sz w:val="20"/>
                <w:szCs w:val="20"/>
              </w:rPr>
              <w:t>= 0.20</w:t>
            </w:r>
          </w:p>
          <w:p w14:paraId="03362262" w14:textId="14ED42F1" w:rsidR="00CB7562" w:rsidRPr="00467514" w:rsidRDefault="00CB7562" w:rsidP="00CB7562">
            <w:pPr>
              <w:rPr>
                <w:rFonts w:ascii="Times New Roman" w:hAnsi="Times New Roman" w:cs="Times New Roman"/>
                <w:color w:val="C00000"/>
                <w:sz w:val="20"/>
                <w:szCs w:val="20"/>
              </w:rPr>
            </w:pPr>
            <w:r w:rsidRPr="00467514">
              <w:rPr>
                <w:rFonts w:ascii="Times New Roman" w:hAnsi="Times New Roman" w:cs="Times New Roman"/>
                <w:color w:val="C00000"/>
                <w:sz w:val="20"/>
                <w:szCs w:val="20"/>
              </w:rPr>
              <w:t>CI = -0.25–0-65</w:t>
            </w:r>
          </w:p>
        </w:tc>
        <w:tc>
          <w:tcPr>
            <w:tcW w:w="2454" w:type="dxa"/>
          </w:tcPr>
          <w:p w14:paraId="12006FA4" w14:textId="77777777" w:rsidR="00CB7562" w:rsidRPr="00467514" w:rsidRDefault="00CB7562" w:rsidP="00CB7562">
            <w:pPr>
              <w:rPr>
                <w:rFonts w:ascii="Times New Roman" w:hAnsi="Times New Roman" w:cs="Times New Roman"/>
                <w:b/>
                <w:i/>
                <w:color w:val="C00000"/>
                <w:sz w:val="20"/>
                <w:szCs w:val="20"/>
              </w:rPr>
            </w:pPr>
            <w:r w:rsidRPr="00467514">
              <w:rPr>
                <w:rFonts w:ascii="Times New Roman" w:hAnsi="Times New Roman" w:cs="Times New Roman"/>
                <w:b/>
                <w:i/>
                <w:color w:val="C00000"/>
                <w:sz w:val="20"/>
                <w:szCs w:val="20"/>
              </w:rPr>
              <w:t>β = 0.56</w:t>
            </w:r>
          </w:p>
          <w:p w14:paraId="4ED1B97B" w14:textId="35C78EF7" w:rsidR="00CB7562" w:rsidRPr="00467514" w:rsidRDefault="00CB7562" w:rsidP="00CB7562">
            <w:pPr>
              <w:rPr>
                <w:rFonts w:ascii="Times New Roman" w:hAnsi="Times New Roman" w:cs="Times New Roman"/>
                <w:b/>
                <w:i/>
                <w:color w:val="C00000"/>
                <w:sz w:val="20"/>
                <w:szCs w:val="20"/>
              </w:rPr>
            </w:pPr>
            <w:r w:rsidRPr="00467514">
              <w:rPr>
                <w:rFonts w:ascii="Times New Roman" w:hAnsi="Times New Roman" w:cs="Times New Roman"/>
                <w:b/>
                <w:i/>
                <w:color w:val="C00000"/>
                <w:sz w:val="20"/>
                <w:szCs w:val="20"/>
              </w:rPr>
              <w:t>CI = 0.10–1.01 *</w:t>
            </w:r>
          </w:p>
        </w:tc>
      </w:tr>
      <w:tr w:rsidR="00CB7562" w:rsidRPr="00467514" w14:paraId="5250FE11" w14:textId="77777777" w:rsidTr="00043DB4">
        <w:tc>
          <w:tcPr>
            <w:tcW w:w="1838" w:type="dxa"/>
            <w:vAlign w:val="center"/>
          </w:tcPr>
          <w:p w14:paraId="077654EA" w14:textId="77777777" w:rsidR="00CB7562" w:rsidRPr="00467514" w:rsidRDefault="00CB7562" w:rsidP="00CB7562">
            <w:pPr>
              <w:rPr>
                <w:rFonts w:ascii="Times New Roman" w:hAnsi="Times New Roman" w:cs="Times New Roman"/>
                <w:sz w:val="20"/>
                <w:szCs w:val="20"/>
              </w:rPr>
            </w:pPr>
            <w:r w:rsidRPr="00467514">
              <w:rPr>
                <w:rFonts w:ascii="Times New Roman" w:hAnsi="Times New Roman" w:cs="Times New Roman"/>
                <w:sz w:val="20"/>
                <w:szCs w:val="20"/>
              </w:rPr>
              <w:t>Timing spread</w:t>
            </w:r>
          </w:p>
          <w:p w14:paraId="59D201D4" w14:textId="79DF52BF" w:rsidR="00CB7562" w:rsidRPr="00467514" w:rsidRDefault="00CB7562" w:rsidP="00CB7562">
            <w:pPr>
              <w:rPr>
                <w:rFonts w:ascii="Times New Roman" w:hAnsi="Times New Roman" w:cs="Times New Roman"/>
                <w:sz w:val="20"/>
                <w:szCs w:val="20"/>
              </w:rPr>
            </w:pPr>
          </w:p>
        </w:tc>
        <w:tc>
          <w:tcPr>
            <w:tcW w:w="2126" w:type="dxa"/>
          </w:tcPr>
          <w:p w14:paraId="049FBC2A" w14:textId="77777777" w:rsidR="00CB7562" w:rsidRPr="00467514" w:rsidRDefault="00CB7562" w:rsidP="00CB7562">
            <w:pPr>
              <w:rPr>
                <w:rFonts w:ascii="Times New Roman" w:hAnsi="Times New Roman" w:cs="Times New Roman"/>
                <w:color w:val="00B050"/>
                <w:sz w:val="20"/>
                <w:szCs w:val="20"/>
              </w:rPr>
            </w:pPr>
            <w:r w:rsidRPr="00467514">
              <w:rPr>
                <w:rFonts w:ascii="Times New Roman" w:hAnsi="Times New Roman" w:cs="Times New Roman"/>
                <w:i/>
                <w:color w:val="00B050"/>
                <w:sz w:val="20"/>
                <w:szCs w:val="20"/>
              </w:rPr>
              <w:t>β</w:t>
            </w:r>
            <w:r w:rsidRPr="00467514">
              <w:rPr>
                <w:rFonts w:ascii="Times New Roman" w:hAnsi="Times New Roman" w:cs="Times New Roman"/>
                <w:color w:val="00B050"/>
                <w:sz w:val="20"/>
                <w:szCs w:val="20"/>
              </w:rPr>
              <w:t xml:space="preserve"> = -0.28</w:t>
            </w:r>
          </w:p>
          <w:p w14:paraId="689CFB8E" w14:textId="7F025A2A" w:rsidR="00CB7562" w:rsidRPr="00467514" w:rsidRDefault="00CB7562" w:rsidP="00CB7562">
            <w:pPr>
              <w:rPr>
                <w:rFonts w:ascii="Times New Roman" w:hAnsi="Times New Roman" w:cs="Times New Roman"/>
                <w:color w:val="00B050"/>
                <w:sz w:val="20"/>
                <w:szCs w:val="20"/>
              </w:rPr>
            </w:pPr>
            <w:r w:rsidRPr="00467514">
              <w:rPr>
                <w:rFonts w:ascii="Times New Roman" w:hAnsi="Times New Roman" w:cs="Times New Roman"/>
                <w:color w:val="00B050"/>
                <w:sz w:val="20"/>
                <w:szCs w:val="20"/>
              </w:rPr>
              <w:t>CI = -0.62–0.06</w:t>
            </w:r>
          </w:p>
        </w:tc>
        <w:tc>
          <w:tcPr>
            <w:tcW w:w="2410" w:type="dxa"/>
          </w:tcPr>
          <w:p w14:paraId="6ABB3BF5" w14:textId="77777777" w:rsidR="00CB7562" w:rsidRPr="00467514" w:rsidRDefault="00CB7562" w:rsidP="00CB7562">
            <w:pPr>
              <w:rPr>
                <w:rFonts w:ascii="Times New Roman" w:hAnsi="Times New Roman" w:cs="Times New Roman"/>
                <w:color w:val="C00000"/>
                <w:sz w:val="20"/>
                <w:szCs w:val="20"/>
              </w:rPr>
            </w:pPr>
            <w:r w:rsidRPr="00467514">
              <w:rPr>
                <w:rFonts w:ascii="Times New Roman" w:hAnsi="Times New Roman" w:cs="Times New Roman"/>
                <w:i/>
                <w:color w:val="C00000"/>
                <w:sz w:val="20"/>
                <w:szCs w:val="20"/>
              </w:rPr>
              <w:t>β</w:t>
            </w:r>
            <w:r w:rsidRPr="00467514">
              <w:rPr>
                <w:rFonts w:ascii="Times New Roman" w:hAnsi="Times New Roman" w:cs="Times New Roman"/>
                <w:color w:val="C00000"/>
                <w:sz w:val="20"/>
                <w:szCs w:val="20"/>
              </w:rPr>
              <w:t xml:space="preserve"> = 0.06</w:t>
            </w:r>
          </w:p>
          <w:p w14:paraId="696B52BF" w14:textId="2BF81B0B" w:rsidR="00CB7562" w:rsidRPr="00467514" w:rsidRDefault="00CB7562" w:rsidP="00CB7562">
            <w:pPr>
              <w:rPr>
                <w:rFonts w:ascii="Times New Roman" w:hAnsi="Times New Roman" w:cs="Times New Roman"/>
                <w:color w:val="C00000"/>
                <w:sz w:val="20"/>
                <w:szCs w:val="20"/>
              </w:rPr>
            </w:pPr>
            <w:r w:rsidRPr="00467514">
              <w:rPr>
                <w:rFonts w:ascii="Times New Roman" w:hAnsi="Times New Roman" w:cs="Times New Roman"/>
                <w:color w:val="C00000"/>
                <w:sz w:val="20"/>
                <w:szCs w:val="20"/>
              </w:rPr>
              <w:t>-0.36–0.48</w:t>
            </w:r>
          </w:p>
        </w:tc>
        <w:tc>
          <w:tcPr>
            <w:tcW w:w="2454" w:type="dxa"/>
          </w:tcPr>
          <w:p w14:paraId="6B6F0BC7" w14:textId="77777777" w:rsidR="00CB7562" w:rsidRPr="00467514" w:rsidRDefault="00CB7562" w:rsidP="00CB7562">
            <w:pPr>
              <w:rPr>
                <w:rFonts w:ascii="Times New Roman" w:hAnsi="Times New Roman" w:cs="Times New Roman"/>
                <w:color w:val="00B050"/>
                <w:sz w:val="20"/>
                <w:szCs w:val="20"/>
              </w:rPr>
            </w:pPr>
            <w:r w:rsidRPr="00467514">
              <w:rPr>
                <w:rFonts w:ascii="Times New Roman" w:hAnsi="Times New Roman" w:cs="Times New Roman"/>
                <w:i/>
                <w:color w:val="00B050"/>
                <w:sz w:val="20"/>
                <w:szCs w:val="20"/>
              </w:rPr>
              <w:t>β</w:t>
            </w:r>
            <w:r w:rsidRPr="00467514">
              <w:rPr>
                <w:rFonts w:ascii="Times New Roman" w:hAnsi="Times New Roman" w:cs="Times New Roman"/>
                <w:color w:val="00B050"/>
                <w:sz w:val="20"/>
                <w:szCs w:val="20"/>
              </w:rPr>
              <w:t xml:space="preserve"> = -0.39</w:t>
            </w:r>
          </w:p>
          <w:p w14:paraId="55525342" w14:textId="1E23B46D" w:rsidR="00CB7562" w:rsidRPr="00467514" w:rsidRDefault="00CB7562" w:rsidP="00CB7562">
            <w:pPr>
              <w:rPr>
                <w:rFonts w:ascii="Times New Roman" w:hAnsi="Times New Roman" w:cs="Times New Roman"/>
                <w:sz w:val="20"/>
                <w:szCs w:val="20"/>
              </w:rPr>
            </w:pPr>
            <w:r w:rsidRPr="00467514">
              <w:rPr>
                <w:rFonts w:ascii="Times New Roman" w:hAnsi="Times New Roman" w:cs="Times New Roman"/>
                <w:color w:val="00B050"/>
                <w:sz w:val="20"/>
                <w:szCs w:val="20"/>
              </w:rPr>
              <w:t>CI = -0.82–0.05</w:t>
            </w:r>
          </w:p>
        </w:tc>
      </w:tr>
      <w:tr w:rsidR="00CB7562" w:rsidRPr="00467514" w14:paraId="3872AB0A" w14:textId="77777777" w:rsidTr="00043DB4">
        <w:tc>
          <w:tcPr>
            <w:tcW w:w="1838" w:type="dxa"/>
            <w:vAlign w:val="center"/>
          </w:tcPr>
          <w:p w14:paraId="7483A57A" w14:textId="77777777" w:rsidR="00CB7562" w:rsidRPr="00467514" w:rsidRDefault="00CB7562" w:rsidP="00CB7562">
            <w:pPr>
              <w:rPr>
                <w:rFonts w:ascii="Times New Roman" w:hAnsi="Times New Roman" w:cs="Times New Roman"/>
                <w:sz w:val="20"/>
                <w:szCs w:val="20"/>
              </w:rPr>
            </w:pPr>
            <w:r w:rsidRPr="00467514">
              <w:rPr>
                <w:rFonts w:ascii="Times New Roman" w:hAnsi="Times New Roman" w:cs="Times New Roman"/>
                <w:sz w:val="20"/>
                <w:szCs w:val="20"/>
              </w:rPr>
              <w:t>Attentional lapses</w:t>
            </w:r>
          </w:p>
          <w:p w14:paraId="61D01358" w14:textId="61A43B4B" w:rsidR="00CB7562" w:rsidRPr="00467514" w:rsidRDefault="00CB7562" w:rsidP="00CB7562">
            <w:pPr>
              <w:rPr>
                <w:rFonts w:ascii="Times New Roman" w:hAnsi="Times New Roman" w:cs="Times New Roman"/>
                <w:sz w:val="20"/>
                <w:szCs w:val="20"/>
              </w:rPr>
            </w:pPr>
          </w:p>
        </w:tc>
        <w:tc>
          <w:tcPr>
            <w:tcW w:w="2126" w:type="dxa"/>
          </w:tcPr>
          <w:p w14:paraId="65313F3E" w14:textId="77777777" w:rsidR="00CB7562" w:rsidRPr="00467514" w:rsidRDefault="00CB7562" w:rsidP="00CB7562">
            <w:pPr>
              <w:rPr>
                <w:rFonts w:ascii="Times New Roman" w:hAnsi="Times New Roman" w:cs="Times New Roman"/>
                <w:color w:val="00B050"/>
                <w:sz w:val="20"/>
                <w:szCs w:val="20"/>
              </w:rPr>
            </w:pPr>
            <w:r w:rsidRPr="00467514">
              <w:rPr>
                <w:rFonts w:ascii="Times New Roman" w:hAnsi="Times New Roman" w:cs="Times New Roman"/>
                <w:i/>
                <w:color w:val="00B050"/>
                <w:sz w:val="20"/>
                <w:szCs w:val="20"/>
              </w:rPr>
              <w:t>β</w:t>
            </w:r>
            <w:r w:rsidRPr="00467514">
              <w:rPr>
                <w:rFonts w:ascii="Times New Roman" w:hAnsi="Times New Roman" w:cs="Times New Roman"/>
                <w:color w:val="00B050"/>
                <w:sz w:val="20"/>
                <w:szCs w:val="20"/>
              </w:rPr>
              <w:t xml:space="preserve"> = -0.32</w:t>
            </w:r>
          </w:p>
          <w:p w14:paraId="068309B0" w14:textId="2D54141A" w:rsidR="00CB7562" w:rsidRPr="00467514" w:rsidRDefault="00CB7562" w:rsidP="00CB7562">
            <w:pPr>
              <w:rPr>
                <w:rFonts w:ascii="Times New Roman" w:hAnsi="Times New Roman" w:cs="Times New Roman"/>
                <w:color w:val="00B050"/>
                <w:sz w:val="20"/>
                <w:szCs w:val="20"/>
              </w:rPr>
            </w:pPr>
            <w:r w:rsidRPr="00467514">
              <w:rPr>
                <w:rFonts w:ascii="Times New Roman" w:hAnsi="Times New Roman" w:cs="Times New Roman"/>
                <w:color w:val="00B050"/>
                <w:sz w:val="20"/>
                <w:szCs w:val="20"/>
              </w:rPr>
              <w:t>CI = -0.66–0.02</w:t>
            </w:r>
          </w:p>
        </w:tc>
        <w:tc>
          <w:tcPr>
            <w:tcW w:w="2410" w:type="dxa"/>
          </w:tcPr>
          <w:p w14:paraId="00634F4F" w14:textId="77777777" w:rsidR="00CB7562" w:rsidRPr="00467514" w:rsidRDefault="00CB7562" w:rsidP="00CB7562">
            <w:pPr>
              <w:rPr>
                <w:rFonts w:ascii="Times New Roman" w:hAnsi="Times New Roman" w:cs="Times New Roman"/>
                <w:color w:val="C00000"/>
                <w:sz w:val="20"/>
                <w:szCs w:val="20"/>
              </w:rPr>
            </w:pPr>
            <w:r w:rsidRPr="00467514">
              <w:rPr>
                <w:rFonts w:ascii="Times New Roman" w:hAnsi="Times New Roman" w:cs="Times New Roman"/>
                <w:i/>
                <w:color w:val="C00000"/>
                <w:sz w:val="20"/>
                <w:szCs w:val="20"/>
              </w:rPr>
              <w:t>β</w:t>
            </w:r>
            <w:r w:rsidRPr="00467514">
              <w:rPr>
                <w:rFonts w:ascii="Times New Roman" w:hAnsi="Times New Roman" w:cs="Times New Roman"/>
                <w:color w:val="C00000"/>
                <w:sz w:val="20"/>
                <w:szCs w:val="20"/>
              </w:rPr>
              <w:t xml:space="preserve"> = 0.24</w:t>
            </w:r>
          </w:p>
          <w:p w14:paraId="6C175BEF" w14:textId="7CE64AE2" w:rsidR="00CB7562" w:rsidRPr="00467514" w:rsidRDefault="00CB7562" w:rsidP="00CB7562">
            <w:pPr>
              <w:rPr>
                <w:rFonts w:ascii="Times New Roman" w:hAnsi="Times New Roman" w:cs="Times New Roman"/>
                <w:color w:val="C00000"/>
                <w:sz w:val="20"/>
                <w:szCs w:val="20"/>
              </w:rPr>
            </w:pPr>
            <w:r w:rsidRPr="00467514">
              <w:rPr>
                <w:rFonts w:ascii="Times New Roman" w:hAnsi="Times New Roman" w:cs="Times New Roman"/>
                <w:color w:val="C00000"/>
                <w:sz w:val="20"/>
                <w:szCs w:val="20"/>
              </w:rPr>
              <w:t>CI = -0.16–0.63</w:t>
            </w:r>
          </w:p>
        </w:tc>
        <w:tc>
          <w:tcPr>
            <w:tcW w:w="2454" w:type="dxa"/>
          </w:tcPr>
          <w:p w14:paraId="21DB3AAC" w14:textId="77777777" w:rsidR="00CB7562" w:rsidRPr="00467514" w:rsidRDefault="00CB7562" w:rsidP="00CB7562">
            <w:pPr>
              <w:rPr>
                <w:rFonts w:ascii="Times New Roman" w:hAnsi="Times New Roman" w:cs="Times New Roman"/>
                <w:color w:val="C00000"/>
                <w:sz w:val="20"/>
                <w:szCs w:val="20"/>
              </w:rPr>
            </w:pPr>
            <w:r w:rsidRPr="00467514">
              <w:rPr>
                <w:rFonts w:ascii="Times New Roman" w:hAnsi="Times New Roman" w:cs="Times New Roman"/>
                <w:i/>
                <w:color w:val="C00000"/>
                <w:sz w:val="20"/>
                <w:szCs w:val="20"/>
              </w:rPr>
              <w:t>β</w:t>
            </w:r>
            <w:r w:rsidRPr="00467514">
              <w:rPr>
                <w:rFonts w:ascii="Times New Roman" w:hAnsi="Times New Roman" w:cs="Times New Roman"/>
                <w:color w:val="C00000"/>
                <w:sz w:val="20"/>
                <w:szCs w:val="20"/>
              </w:rPr>
              <w:t xml:space="preserve"> = 0.16</w:t>
            </w:r>
          </w:p>
          <w:p w14:paraId="572EC61A" w14:textId="1594039A" w:rsidR="00CB7562" w:rsidRPr="00467514" w:rsidRDefault="00CB7562" w:rsidP="00CB7562">
            <w:pPr>
              <w:rPr>
                <w:rFonts w:ascii="Times New Roman" w:hAnsi="Times New Roman" w:cs="Times New Roman"/>
                <w:color w:val="C00000"/>
                <w:sz w:val="20"/>
                <w:szCs w:val="20"/>
              </w:rPr>
            </w:pPr>
            <w:r w:rsidRPr="00467514">
              <w:rPr>
                <w:rFonts w:ascii="Times New Roman" w:hAnsi="Times New Roman" w:cs="Times New Roman"/>
                <w:color w:val="C00000"/>
                <w:sz w:val="20"/>
                <w:szCs w:val="20"/>
              </w:rPr>
              <w:t>CI = -0.47–0.79</w:t>
            </w:r>
          </w:p>
        </w:tc>
      </w:tr>
    </w:tbl>
    <w:p w14:paraId="51E4F11A" w14:textId="01B0F92C" w:rsidR="00DB39AA" w:rsidRPr="009D519D" w:rsidRDefault="009D519D" w:rsidP="009D7A56">
      <w:pPr>
        <w:spacing w:after="0"/>
        <w:rPr>
          <w:rFonts w:ascii="Times New Roman" w:hAnsi="Times New Roman" w:cs="Times New Roman"/>
        </w:rPr>
      </w:pPr>
      <w:r w:rsidRPr="009D519D">
        <w:rPr>
          <w:rFonts w:ascii="Times New Roman" w:hAnsi="Times New Roman" w:cs="Times New Roman"/>
          <w:i/>
        </w:rPr>
        <w:t>Note</w:t>
      </w:r>
      <w:r w:rsidR="00B45FCC">
        <w:rPr>
          <w:rFonts w:ascii="Times New Roman" w:hAnsi="Times New Roman" w:cs="Times New Roman"/>
        </w:rPr>
        <w:t>.</w:t>
      </w:r>
      <w:r w:rsidR="00B36264">
        <w:rPr>
          <w:rFonts w:ascii="Times New Roman" w:hAnsi="Times New Roman" w:cs="Times New Roman"/>
        </w:rPr>
        <w:t xml:space="preserve"> </w:t>
      </w:r>
      <w:r w:rsidR="007F5299" w:rsidRPr="007F5299">
        <w:rPr>
          <w:rFonts w:ascii="Times New Roman" w:hAnsi="Times New Roman" w:cs="Times New Roman"/>
        </w:rPr>
        <w:t xml:space="preserve">Standardized </w:t>
      </w:r>
      <w:r w:rsidR="007F5299" w:rsidRPr="007F5299">
        <w:rPr>
          <w:rFonts w:ascii="Times New Roman" w:hAnsi="Times New Roman" w:cs="Times New Roman"/>
          <w:i/>
        </w:rPr>
        <w:t>β</w:t>
      </w:r>
      <w:r w:rsidR="007F5299" w:rsidRPr="007F5299">
        <w:rPr>
          <w:rFonts w:ascii="Times New Roman" w:hAnsi="Times New Roman" w:cs="Times New Roman"/>
        </w:rPr>
        <w:t>-values are shown. The sign of the interactions is color-coded (green = positive; red = negative). Statistically significant results are highlighted in bold italics</w:t>
      </w:r>
      <w:r w:rsidR="00B36264">
        <w:rPr>
          <w:rFonts w:ascii="Times New Roman" w:hAnsi="Times New Roman" w:cs="Times New Roman"/>
        </w:rPr>
        <w:t xml:space="preserve">. </w:t>
      </w:r>
      <w:r>
        <w:rPr>
          <w:rFonts w:ascii="Times New Roman" w:hAnsi="Times New Roman" w:cs="Times New Roman"/>
        </w:rPr>
        <w:t>Significance robustness code</w:t>
      </w:r>
      <w:r w:rsidR="00C020AB" w:rsidRPr="00C020AB">
        <w:rPr>
          <w:rFonts w:ascii="Times New Roman" w:hAnsi="Times New Roman" w:cs="Times New Roman"/>
        </w:rPr>
        <w:t xml:space="preserve">: </w:t>
      </w:r>
      <w:r>
        <w:rPr>
          <w:rFonts w:ascii="Times New Roman" w:hAnsi="Times New Roman" w:cs="Times New Roman"/>
        </w:rPr>
        <w:t>“</w:t>
      </w:r>
      <w:r w:rsidR="00C020AB" w:rsidRPr="00C020AB">
        <w:rPr>
          <w:rFonts w:ascii="Times New Roman" w:hAnsi="Times New Roman" w:cs="Times New Roman"/>
        </w:rPr>
        <w:t>***</w:t>
      </w:r>
      <w:r>
        <w:rPr>
          <w:rFonts w:ascii="Times New Roman" w:hAnsi="Times New Roman" w:cs="Times New Roman"/>
        </w:rPr>
        <w:t xml:space="preserve">”: </w:t>
      </w:r>
      <w:r w:rsidRPr="009D519D">
        <w:rPr>
          <w:rFonts w:ascii="Times New Roman" w:hAnsi="Times New Roman" w:cs="Times New Roman"/>
          <w:i/>
        </w:rPr>
        <w:t>p</w:t>
      </w:r>
      <w:r>
        <w:rPr>
          <w:rFonts w:ascii="Times New Roman" w:hAnsi="Times New Roman" w:cs="Times New Roman"/>
        </w:rPr>
        <w:t xml:space="preserve"> &lt;</w:t>
      </w:r>
      <w:r w:rsidR="00C020AB" w:rsidRPr="00C020AB">
        <w:rPr>
          <w:rFonts w:ascii="Times New Roman" w:hAnsi="Times New Roman" w:cs="Times New Roman"/>
        </w:rPr>
        <w:t xml:space="preserve"> 0.001</w:t>
      </w:r>
      <w:r>
        <w:rPr>
          <w:rFonts w:ascii="Times New Roman" w:hAnsi="Times New Roman" w:cs="Times New Roman"/>
        </w:rPr>
        <w:t>;</w:t>
      </w:r>
      <w:r w:rsidR="00C020AB" w:rsidRPr="00C020AB">
        <w:rPr>
          <w:rFonts w:ascii="Times New Roman" w:hAnsi="Times New Roman" w:cs="Times New Roman"/>
        </w:rPr>
        <w:t xml:space="preserve"> </w:t>
      </w:r>
      <w:r>
        <w:rPr>
          <w:rFonts w:ascii="Times New Roman" w:hAnsi="Times New Roman" w:cs="Times New Roman"/>
        </w:rPr>
        <w:t>“</w:t>
      </w:r>
      <w:r w:rsidR="00C020AB" w:rsidRPr="00C020AB">
        <w:rPr>
          <w:rFonts w:ascii="Times New Roman" w:hAnsi="Times New Roman" w:cs="Times New Roman"/>
        </w:rPr>
        <w:t>**</w:t>
      </w:r>
      <w:r>
        <w:rPr>
          <w:rFonts w:ascii="Times New Roman" w:hAnsi="Times New Roman" w:cs="Times New Roman"/>
        </w:rPr>
        <w:t xml:space="preserve">”: </w:t>
      </w:r>
      <w:r w:rsidRPr="009D519D">
        <w:rPr>
          <w:rFonts w:ascii="Times New Roman" w:hAnsi="Times New Roman" w:cs="Times New Roman"/>
          <w:i/>
        </w:rPr>
        <w:t>p</w:t>
      </w:r>
      <w:r>
        <w:rPr>
          <w:rFonts w:ascii="Times New Roman" w:hAnsi="Times New Roman" w:cs="Times New Roman"/>
        </w:rPr>
        <w:t xml:space="preserve"> &lt;</w:t>
      </w:r>
      <w:r w:rsidR="00C020AB" w:rsidRPr="00C020AB">
        <w:rPr>
          <w:rFonts w:ascii="Times New Roman" w:hAnsi="Times New Roman" w:cs="Times New Roman"/>
        </w:rPr>
        <w:t xml:space="preserve"> 0.01</w:t>
      </w:r>
      <w:r>
        <w:rPr>
          <w:rFonts w:ascii="Times New Roman" w:hAnsi="Times New Roman" w:cs="Times New Roman"/>
        </w:rPr>
        <w:t>;</w:t>
      </w:r>
      <w:r w:rsidR="00C020AB" w:rsidRPr="00C020AB">
        <w:rPr>
          <w:rFonts w:ascii="Times New Roman" w:hAnsi="Times New Roman" w:cs="Times New Roman"/>
        </w:rPr>
        <w:t xml:space="preserve"> </w:t>
      </w:r>
      <w:r>
        <w:rPr>
          <w:rFonts w:ascii="Times New Roman" w:hAnsi="Times New Roman" w:cs="Times New Roman"/>
        </w:rPr>
        <w:t>“</w:t>
      </w:r>
      <w:r w:rsidR="00C020AB" w:rsidRPr="00C020AB">
        <w:rPr>
          <w:rFonts w:ascii="Times New Roman" w:hAnsi="Times New Roman" w:cs="Times New Roman"/>
        </w:rPr>
        <w:t>*</w:t>
      </w:r>
      <w:r>
        <w:rPr>
          <w:rFonts w:ascii="Times New Roman" w:hAnsi="Times New Roman" w:cs="Times New Roman"/>
        </w:rPr>
        <w:t xml:space="preserve">”: </w:t>
      </w:r>
      <w:r w:rsidRPr="009D519D">
        <w:rPr>
          <w:rFonts w:ascii="Times New Roman" w:hAnsi="Times New Roman" w:cs="Times New Roman"/>
          <w:i/>
        </w:rPr>
        <w:t>p</w:t>
      </w:r>
      <w:r>
        <w:rPr>
          <w:rFonts w:ascii="Times New Roman" w:hAnsi="Times New Roman" w:cs="Times New Roman"/>
        </w:rPr>
        <w:t xml:space="preserve"> &lt;</w:t>
      </w:r>
      <w:r w:rsidR="00C020AB" w:rsidRPr="00C020AB">
        <w:rPr>
          <w:rFonts w:ascii="Times New Roman" w:hAnsi="Times New Roman" w:cs="Times New Roman"/>
        </w:rPr>
        <w:t xml:space="preserve"> 0.05</w:t>
      </w:r>
      <w:r>
        <w:rPr>
          <w:rFonts w:ascii="Times New Roman" w:hAnsi="Times New Roman" w:cs="Times New Roman"/>
        </w:rPr>
        <w:t>.</w:t>
      </w:r>
    </w:p>
    <w:p w14:paraId="5C15483E" w14:textId="5EEA6531" w:rsidR="00C47AFD" w:rsidRDefault="00C47AFD" w:rsidP="009D7A56">
      <w:pPr>
        <w:spacing w:after="0"/>
      </w:pPr>
    </w:p>
    <w:p w14:paraId="7706E9F9" w14:textId="0FADCB66" w:rsidR="00467514" w:rsidRDefault="007F5299" w:rsidP="005D7208">
      <w:pPr>
        <w:spacing w:after="0"/>
        <w:jc w:val="both"/>
        <w:rPr>
          <w:rFonts w:ascii="Times New Roman" w:hAnsi="Times New Roman" w:cs="Times New Roman"/>
        </w:rPr>
      </w:pPr>
      <w:r>
        <w:lastRenderedPageBreak/>
        <w:tab/>
      </w:r>
      <w:r w:rsidR="009E2D8D" w:rsidRPr="009D519D">
        <w:rPr>
          <w:rFonts w:ascii="Times New Roman" w:hAnsi="Times New Roman" w:cs="Times New Roman"/>
        </w:rPr>
        <w:t xml:space="preserve">We found only two significant instances of phase effect modulation by baseline performance when controlling for regression to the mean </w:t>
      </w:r>
      <w:r w:rsidR="009E2D8D">
        <w:rPr>
          <w:rFonts w:ascii="Times New Roman" w:hAnsi="Times New Roman" w:cs="Times New Roman"/>
        </w:rPr>
        <w:t>(</w:t>
      </w:r>
      <w:r w:rsidR="009E2D8D" w:rsidRPr="009D7A56">
        <w:rPr>
          <w:rFonts w:ascii="Times New Roman" w:hAnsi="Times New Roman" w:cs="Times New Roman"/>
        </w:rPr>
        <w:t xml:space="preserve">i.e., </w:t>
      </w:r>
      <w:r w:rsidR="009E2D8D">
        <w:rPr>
          <w:rFonts w:ascii="Times New Roman" w:hAnsi="Times New Roman" w:cs="Times New Roman"/>
        </w:rPr>
        <w:t>baseline performance modulation for</w:t>
      </w:r>
      <w:r w:rsidR="009E2D8D" w:rsidRPr="009D7A56">
        <w:rPr>
          <w:rFonts w:ascii="Times New Roman" w:hAnsi="Times New Roman" w:cs="Times New Roman"/>
        </w:rPr>
        <w:t xml:space="preserve"> the vehicle group</w:t>
      </w:r>
      <w:r w:rsidR="009E2D8D">
        <w:rPr>
          <w:rFonts w:ascii="Times New Roman" w:hAnsi="Times New Roman" w:cs="Times New Roman"/>
        </w:rPr>
        <w:t xml:space="preserve">). </w:t>
      </w:r>
      <w:r w:rsidR="009E2D8D" w:rsidRPr="009D519D">
        <w:rPr>
          <w:rFonts w:ascii="Times New Roman" w:hAnsi="Times New Roman" w:cs="Times New Roman"/>
        </w:rPr>
        <w:t xml:space="preserve">These modulatory interactions were identified in the timing peak and the early inhibitory index for the </w:t>
      </w:r>
      <w:r w:rsidR="00F402A3">
        <w:rPr>
          <w:rFonts w:ascii="Times New Roman" w:hAnsi="Times New Roman" w:cs="Times New Roman"/>
        </w:rPr>
        <w:t>M</w:t>
      </w:r>
      <w:r w:rsidR="009E2D8D" w:rsidRPr="009D519D">
        <w:rPr>
          <w:rFonts w:ascii="Times New Roman" w:hAnsi="Times New Roman" w:cs="Times New Roman"/>
        </w:rPr>
        <w:t>odafinil group</w:t>
      </w:r>
      <w:r w:rsidR="009E2D8D">
        <w:rPr>
          <w:rFonts w:ascii="Times New Roman" w:hAnsi="Times New Roman" w:cs="Times New Roman"/>
        </w:rPr>
        <w:t xml:space="preserve"> (see Table S</w:t>
      </w:r>
      <w:r w:rsidR="00EB1874">
        <w:rPr>
          <w:rFonts w:ascii="Times New Roman" w:hAnsi="Times New Roman" w:cs="Times New Roman"/>
        </w:rPr>
        <w:t>5</w:t>
      </w:r>
      <w:r w:rsidR="009E2D8D">
        <w:rPr>
          <w:rFonts w:ascii="Times New Roman" w:hAnsi="Times New Roman" w:cs="Times New Roman"/>
        </w:rPr>
        <w:t>, right column)</w:t>
      </w:r>
      <w:r w:rsidR="009E2D8D" w:rsidRPr="009D519D">
        <w:rPr>
          <w:rFonts w:ascii="Times New Roman" w:hAnsi="Times New Roman" w:cs="Times New Roman"/>
        </w:rPr>
        <w:t>.</w:t>
      </w:r>
      <w:r w:rsidR="009E2D8D">
        <w:rPr>
          <w:rFonts w:ascii="Times New Roman" w:hAnsi="Times New Roman" w:cs="Times New Roman"/>
        </w:rPr>
        <w:t xml:space="preserve"> </w:t>
      </w:r>
      <w:r w:rsidR="009E2D8D" w:rsidRPr="00550B92">
        <w:rPr>
          <w:rFonts w:ascii="Times New Roman" w:hAnsi="Times New Roman" w:cs="Times New Roman"/>
        </w:rPr>
        <w:t>Interestingly, the effect was positive rather than negative, as expected by the low-performers-do-well-with-smart-pills hypothesis. Such a positive performance-drug interaction could be interpreted as revealing some degree of resilience in high performers and/or vulnerability in low performers.</w:t>
      </w:r>
      <w:r w:rsidR="009E2D8D">
        <w:rPr>
          <w:rFonts w:ascii="Times New Roman" w:hAnsi="Times New Roman" w:cs="Times New Roman"/>
        </w:rPr>
        <w:t xml:space="preserve"> </w:t>
      </w:r>
      <w:r w:rsidR="00CC4EC3" w:rsidRPr="00CC4EC3">
        <w:rPr>
          <w:rFonts w:ascii="Times New Roman" w:hAnsi="Times New Roman" w:cs="Times New Roman"/>
        </w:rPr>
        <w:t>As illustrated in Figure S4, subjects from the Vehicle group with a relatively high inhibitory deficit during the Baseline phase exhibit</w:t>
      </w:r>
      <w:r w:rsidR="00CC4EC3">
        <w:rPr>
          <w:rFonts w:ascii="Times New Roman" w:hAnsi="Times New Roman" w:cs="Times New Roman"/>
        </w:rPr>
        <w:t>ed robust</w:t>
      </w:r>
      <w:r w:rsidR="00CC4EC3" w:rsidRPr="00CC4EC3">
        <w:rPr>
          <w:rFonts w:ascii="Times New Roman" w:hAnsi="Times New Roman" w:cs="Times New Roman"/>
        </w:rPr>
        <w:t xml:space="preserve"> negative changes from the Baseline to the Drug phase. Conversely, subjects from the Vehicle group with low early inhibitory index values in the Baseline phase tended to exhibit positive </w:t>
      </w:r>
      <w:r w:rsidR="00CC4EC3">
        <w:rPr>
          <w:rFonts w:ascii="Times New Roman" w:hAnsi="Times New Roman" w:cs="Times New Roman"/>
        </w:rPr>
        <w:t xml:space="preserve">or slightly negative </w:t>
      </w:r>
      <w:r w:rsidR="00CC4EC3" w:rsidRPr="00CC4EC3">
        <w:rPr>
          <w:rFonts w:ascii="Times New Roman" w:hAnsi="Times New Roman" w:cs="Times New Roman"/>
        </w:rPr>
        <w:t xml:space="preserve">changes in this index from the Baseline to the Drug phase, consistent with the regression-to-the-mean effect. For subjects in the </w:t>
      </w:r>
      <w:r w:rsidR="00F402A3">
        <w:rPr>
          <w:rFonts w:ascii="Times New Roman" w:hAnsi="Times New Roman" w:cs="Times New Roman"/>
        </w:rPr>
        <w:t>Modafinil</w:t>
      </w:r>
      <w:r w:rsidR="00CC4EC3" w:rsidRPr="00CC4EC3">
        <w:rPr>
          <w:rFonts w:ascii="Times New Roman" w:hAnsi="Times New Roman" w:cs="Times New Roman"/>
        </w:rPr>
        <w:t xml:space="preserve"> group, this tendency was not observed. Notably, the second-to-worst subject during the Baseline phase exhibited a strong positive change in early inhibitory deficit, </w:t>
      </w:r>
      <w:r w:rsidR="00CC4EC3">
        <w:rPr>
          <w:rFonts w:ascii="Times New Roman" w:hAnsi="Times New Roman" w:cs="Times New Roman"/>
        </w:rPr>
        <w:t>instantiating</w:t>
      </w:r>
      <w:r w:rsidR="00CC4EC3" w:rsidRPr="00CC4EC3">
        <w:rPr>
          <w:rFonts w:ascii="Times New Roman" w:hAnsi="Times New Roman" w:cs="Times New Roman"/>
        </w:rPr>
        <w:t xml:space="preserve"> a vulnerability in low-performing subjects and resulting in a slightly positive slope for the regression line.</w:t>
      </w:r>
      <w:r w:rsidR="000C0ED2">
        <w:rPr>
          <w:rFonts w:ascii="Times New Roman" w:hAnsi="Times New Roman" w:cs="Times New Roman"/>
        </w:rPr>
        <w:t xml:space="preserve"> </w:t>
      </w:r>
      <w:r w:rsidR="000C0ED2" w:rsidRPr="000C0ED2">
        <w:rPr>
          <w:rFonts w:ascii="Times New Roman" w:hAnsi="Times New Roman" w:cs="Times New Roman"/>
        </w:rPr>
        <w:t>It is also worth noting that the subject with the highest inhibitory deficit during the Baseline phase showed only a meager improvement in this index upon modafinil administration</w:t>
      </w:r>
      <w:r w:rsidR="00795E27">
        <w:rPr>
          <w:rFonts w:ascii="Times New Roman" w:hAnsi="Times New Roman" w:cs="Times New Roman"/>
        </w:rPr>
        <w:t>; h</w:t>
      </w:r>
      <w:r w:rsidR="000C0ED2" w:rsidRPr="000C0ED2">
        <w:rPr>
          <w:rFonts w:ascii="Times New Roman" w:hAnsi="Times New Roman" w:cs="Times New Roman"/>
        </w:rPr>
        <w:t xml:space="preserve">owever, given the regression line in the Vehicle group, the expected improvement </w:t>
      </w:r>
      <w:r w:rsidR="00795E27">
        <w:rPr>
          <w:rFonts w:ascii="Times New Roman" w:hAnsi="Times New Roman" w:cs="Times New Roman"/>
        </w:rPr>
        <w:t xml:space="preserve">for this subject </w:t>
      </w:r>
      <w:r w:rsidR="000C0ED2" w:rsidRPr="000C0ED2">
        <w:rPr>
          <w:rFonts w:ascii="Times New Roman" w:hAnsi="Times New Roman" w:cs="Times New Roman"/>
        </w:rPr>
        <w:t xml:space="preserve">was </w:t>
      </w:r>
      <w:r w:rsidR="000C0ED2">
        <w:rPr>
          <w:rFonts w:ascii="Times New Roman" w:hAnsi="Times New Roman" w:cs="Times New Roman"/>
        </w:rPr>
        <w:t>appreciably</w:t>
      </w:r>
      <w:r w:rsidR="000C0ED2" w:rsidRPr="000C0ED2">
        <w:rPr>
          <w:rFonts w:ascii="Times New Roman" w:hAnsi="Times New Roman" w:cs="Times New Roman"/>
        </w:rPr>
        <w:t xml:space="preserve"> greater.</w:t>
      </w:r>
    </w:p>
    <w:p w14:paraId="23450A7A" w14:textId="77777777" w:rsidR="00CC4EC3" w:rsidRDefault="00CC4EC3" w:rsidP="005D7208">
      <w:pPr>
        <w:spacing w:after="0"/>
        <w:jc w:val="both"/>
        <w:rPr>
          <w:rFonts w:ascii="Times New Roman" w:hAnsi="Times New Roman" w:cs="Times New Roman"/>
        </w:rPr>
      </w:pPr>
    </w:p>
    <w:p w14:paraId="56DC6774" w14:textId="39EABC43" w:rsidR="00467514" w:rsidRPr="009B704B" w:rsidRDefault="00467514" w:rsidP="005D7208">
      <w:pPr>
        <w:spacing w:after="0"/>
        <w:jc w:val="both"/>
        <w:rPr>
          <w:rFonts w:ascii="Times New Roman" w:hAnsi="Times New Roman" w:cs="Times New Roman"/>
          <w:b/>
        </w:rPr>
      </w:pPr>
      <w:r w:rsidRPr="009B704B">
        <w:rPr>
          <w:rFonts w:ascii="Times New Roman" w:hAnsi="Times New Roman" w:cs="Times New Roman"/>
          <w:b/>
        </w:rPr>
        <w:t>Figure S4</w:t>
      </w:r>
    </w:p>
    <w:p w14:paraId="2E14A4CD" w14:textId="5DC75BD0" w:rsidR="00CC4EC3" w:rsidRDefault="009B704B" w:rsidP="00CC4EC3">
      <w:pPr>
        <w:spacing w:after="0"/>
        <w:rPr>
          <w:rFonts w:ascii="Times New Roman" w:hAnsi="Times New Roman" w:cs="Times New Roman"/>
        </w:rPr>
      </w:pPr>
      <w:r w:rsidRPr="00BC231D">
        <w:rPr>
          <w:rFonts w:ascii="Times New Roman" w:hAnsi="Times New Roman" w:cs="Times New Roman"/>
          <w:i/>
          <w:iCs/>
        </w:rPr>
        <w:t xml:space="preserve">Baseline </w:t>
      </w:r>
      <w:r w:rsidR="00BC231D" w:rsidRPr="00BC231D">
        <w:rPr>
          <w:rFonts w:ascii="Times New Roman" w:hAnsi="Times New Roman" w:cs="Times New Roman"/>
          <w:i/>
          <w:iCs/>
        </w:rPr>
        <w:t>P</w:t>
      </w:r>
      <w:r w:rsidRPr="00BC231D">
        <w:rPr>
          <w:rFonts w:ascii="Times New Roman" w:hAnsi="Times New Roman" w:cs="Times New Roman"/>
          <w:i/>
          <w:iCs/>
        </w:rPr>
        <w:t xml:space="preserve">erformance </w:t>
      </w:r>
      <w:r w:rsidR="00BC231D" w:rsidRPr="00BC231D">
        <w:rPr>
          <w:rFonts w:ascii="Times New Roman" w:hAnsi="Times New Roman" w:cs="Times New Roman"/>
          <w:i/>
          <w:iCs/>
        </w:rPr>
        <w:t>M</w:t>
      </w:r>
      <w:r w:rsidRPr="00BC231D">
        <w:rPr>
          <w:rFonts w:ascii="Times New Roman" w:hAnsi="Times New Roman" w:cs="Times New Roman"/>
          <w:i/>
          <w:iCs/>
        </w:rPr>
        <w:t xml:space="preserve">odulation of </w:t>
      </w:r>
      <w:r w:rsidR="00BC231D" w:rsidRPr="00BC231D">
        <w:rPr>
          <w:rFonts w:ascii="Times New Roman" w:hAnsi="Times New Roman" w:cs="Times New Roman"/>
          <w:i/>
          <w:iCs/>
        </w:rPr>
        <w:t>E</w:t>
      </w:r>
      <w:r w:rsidRPr="00BC231D">
        <w:rPr>
          <w:rFonts w:ascii="Times New Roman" w:hAnsi="Times New Roman" w:cs="Times New Roman"/>
          <w:i/>
          <w:iCs/>
        </w:rPr>
        <w:t xml:space="preserve">arly </w:t>
      </w:r>
      <w:r w:rsidR="00BC231D" w:rsidRPr="00BC231D">
        <w:rPr>
          <w:rFonts w:ascii="Times New Roman" w:hAnsi="Times New Roman" w:cs="Times New Roman"/>
          <w:i/>
          <w:iCs/>
        </w:rPr>
        <w:t>I</w:t>
      </w:r>
      <w:r w:rsidRPr="00BC231D">
        <w:rPr>
          <w:rFonts w:ascii="Times New Roman" w:hAnsi="Times New Roman" w:cs="Times New Roman"/>
          <w:i/>
          <w:iCs/>
        </w:rPr>
        <w:t xml:space="preserve">nhibitory </w:t>
      </w:r>
      <w:r w:rsidR="00BC231D" w:rsidRPr="00BC231D">
        <w:rPr>
          <w:rFonts w:ascii="Times New Roman" w:hAnsi="Times New Roman" w:cs="Times New Roman"/>
          <w:i/>
          <w:iCs/>
        </w:rPr>
        <w:t>D</w:t>
      </w:r>
      <w:r w:rsidRPr="00BC231D">
        <w:rPr>
          <w:rFonts w:ascii="Times New Roman" w:hAnsi="Times New Roman" w:cs="Times New Roman"/>
          <w:i/>
          <w:iCs/>
        </w:rPr>
        <w:t xml:space="preserve">eficit by </w:t>
      </w:r>
      <w:r w:rsidR="00BC231D" w:rsidRPr="00BC231D">
        <w:rPr>
          <w:rFonts w:ascii="Times New Roman" w:hAnsi="Times New Roman" w:cs="Times New Roman"/>
          <w:i/>
          <w:iCs/>
        </w:rPr>
        <w:t>M</w:t>
      </w:r>
      <w:r w:rsidRPr="00BC231D">
        <w:rPr>
          <w:rFonts w:ascii="Times New Roman" w:hAnsi="Times New Roman" w:cs="Times New Roman"/>
          <w:i/>
          <w:iCs/>
        </w:rPr>
        <w:t>odafinil</w:t>
      </w:r>
    </w:p>
    <w:p w14:paraId="20243BF7" w14:textId="40739B2B" w:rsidR="004E7E87" w:rsidRDefault="004E7E87" w:rsidP="00CC4EC3">
      <w:pPr>
        <w:spacing w:after="0"/>
        <w:jc w:val="center"/>
      </w:pPr>
      <w:r>
        <w:rPr>
          <w:noProof/>
        </w:rPr>
        <w:drawing>
          <wp:inline distT="0" distB="0" distL="0" distR="0" wp14:anchorId="5FD5978F" wp14:editId="65117193">
            <wp:extent cx="3628339" cy="3628339"/>
            <wp:effectExtent l="0" t="0" r="0" b="0"/>
            <wp:docPr id="1" name="Imagen 1" descr="C:\Users\Usuario\AppData\Local\Packages\Microsoft.Windows.Photos_8wekyb3d8bbwe\TempState\ShareServiceTempFolder\Figur 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Packages\Microsoft.Windows.Photos_8wekyb3d8bbwe\TempState\ShareServiceTempFolder\Figur S.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6705" cy="3666705"/>
                    </a:xfrm>
                    <a:prstGeom prst="rect">
                      <a:avLst/>
                    </a:prstGeom>
                    <a:noFill/>
                    <a:ln>
                      <a:noFill/>
                    </a:ln>
                  </pic:spPr>
                </pic:pic>
              </a:graphicData>
            </a:graphic>
          </wp:inline>
        </w:drawing>
      </w:r>
    </w:p>
    <w:p w14:paraId="59DE72F4" w14:textId="0EBB1B30" w:rsidR="004E7E87" w:rsidRDefault="000C0ED2" w:rsidP="005D7208">
      <w:pPr>
        <w:spacing w:after="0"/>
        <w:jc w:val="both"/>
        <w:rPr>
          <w:rFonts w:ascii="Times New Roman" w:hAnsi="Times New Roman" w:cs="Times New Roman"/>
        </w:rPr>
      </w:pPr>
      <w:r w:rsidRPr="00727FD0">
        <w:rPr>
          <w:rFonts w:ascii="Times New Roman" w:hAnsi="Times New Roman" w:cs="Times New Roman"/>
          <w:i/>
        </w:rPr>
        <w:t>Note</w:t>
      </w:r>
      <w:r w:rsidR="00B45FCC">
        <w:rPr>
          <w:rFonts w:ascii="Times New Roman" w:hAnsi="Times New Roman" w:cs="Times New Roman"/>
        </w:rPr>
        <w:t>.</w:t>
      </w:r>
      <w:r>
        <w:rPr>
          <w:rFonts w:ascii="Times New Roman" w:hAnsi="Times New Roman" w:cs="Times New Roman"/>
        </w:rPr>
        <w:t xml:space="preserve"> </w:t>
      </w:r>
      <w:r w:rsidR="00727FD0" w:rsidRPr="00727FD0">
        <w:rPr>
          <w:rFonts w:ascii="Times New Roman" w:hAnsi="Times New Roman" w:cs="Times New Roman"/>
        </w:rPr>
        <w:t xml:space="preserve">The change score was calculated by subtracting each subject's average score in the Baseline phase from their average score in the Drug phase. </w:t>
      </w:r>
      <w:r w:rsidR="003A1CE1" w:rsidRPr="003A1CE1">
        <w:rPr>
          <w:rFonts w:ascii="Times New Roman" w:hAnsi="Times New Roman" w:cs="Times New Roman"/>
        </w:rPr>
        <w:t>Diamonds represent values for each individual in the Vehicle (green) and Modafinil (blue) groups, showing baseline performance and the direction of change in early inhibitory deficit. The lines represent the corresponding regression trends</w:t>
      </w:r>
      <w:r w:rsidR="003A1CE1">
        <w:rPr>
          <w:rFonts w:ascii="Times New Roman" w:hAnsi="Times New Roman" w:cs="Times New Roman"/>
        </w:rPr>
        <w:t xml:space="preserve">. </w:t>
      </w:r>
      <w:r w:rsidR="00727FD0" w:rsidRPr="00727FD0">
        <w:rPr>
          <w:rFonts w:ascii="Times New Roman" w:hAnsi="Times New Roman" w:cs="Times New Roman"/>
        </w:rPr>
        <w:t>Refer to the Supplementary Materials folder for details on reproducing this analysis.</w:t>
      </w:r>
    </w:p>
    <w:p w14:paraId="2F4EA3AF" w14:textId="77777777" w:rsidR="003A1CE1" w:rsidRDefault="003A1CE1" w:rsidP="005D7208">
      <w:pPr>
        <w:spacing w:after="0"/>
        <w:jc w:val="both"/>
        <w:rPr>
          <w:rFonts w:ascii="Times New Roman" w:hAnsi="Times New Roman" w:cs="Times New Roman"/>
        </w:rPr>
      </w:pPr>
    </w:p>
    <w:p w14:paraId="331CE0AA" w14:textId="314BC7F5" w:rsidR="007F5299" w:rsidRPr="004903A6" w:rsidRDefault="00F402A3" w:rsidP="005D7208">
      <w:pPr>
        <w:spacing w:after="0"/>
        <w:ind w:firstLine="720"/>
        <w:jc w:val="both"/>
        <w:rPr>
          <w:rFonts w:ascii="Times New Roman" w:hAnsi="Times New Roman" w:cs="Times New Roman"/>
        </w:rPr>
      </w:pPr>
      <w:r w:rsidRPr="00F402A3">
        <w:rPr>
          <w:rFonts w:ascii="Times New Roman" w:hAnsi="Times New Roman" w:cs="Times New Roman"/>
        </w:rPr>
        <w:t>The absence of any significant modulation in the Methylphenidate group indicates that the lack of acute effects of this drug on behavioral performance, as per the global statistical tests, was not due to opposing effects canceling out in subsets of subjects grouped by baseline performance.</w:t>
      </w:r>
      <w:r>
        <w:rPr>
          <w:rFonts w:ascii="Times New Roman" w:hAnsi="Times New Roman" w:cs="Times New Roman"/>
        </w:rPr>
        <w:t xml:space="preserve"> </w:t>
      </w:r>
      <w:r w:rsidR="007F5299" w:rsidRPr="004903A6">
        <w:rPr>
          <w:rFonts w:ascii="Times New Roman" w:hAnsi="Times New Roman" w:cs="Times New Roman"/>
        </w:rPr>
        <w:t xml:space="preserve">In other words, there were no systematically differential effects </w:t>
      </w:r>
      <w:r w:rsidR="004903A6" w:rsidRPr="004903A6">
        <w:rPr>
          <w:rFonts w:ascii="Times New Roman" w:hAnsi="Times New Roman" w:cs="Times New Roman"/>
        </w:rPr>
        <w:t>dependent</w:t>
      </w:r>
      <w:r w:rsidR="007F5299" w:rsidRPr="004903A6">
        <w:rPr>
          <w:rFonts w:ascii="Times New Roman" w:hAnsi="Times New Roman" w:cs="Times New Roman"/>
        </w:rPr>
        <w:t xml:space="preserve"> on baseline performance</w:t>
      </w:r>
      <w:r w:rsidR="009E2D8D">
        <w:rPr>
          <w:rFonts w:ascii="Times New Roman" w:hAnsi="Times New Roman" w:cs="Times New Roman"/>
        </w:rPr>
        <w:t xml:space="preserve"> for this drug</w:t>
      </w:r>
      <w:r w:rsidR="00B033E3">
        <w:rPr>
          <w:rFonts w:ascii="Times New Roman" w:hAnsi="Times New Roman" w:cs="Times New Roman"/>
        </w:rPr>
        <w:t xml:space="preserve"> (see Table S</w:t>
      </w:r>
      <w:r w:rsidR="00EB1874">
        <w:rPr>
          <w:rFonts w:ascii="Times New Roman" w:hAnsi="Times New Roman" w:cs="Times New Roman"/>
        </w:rPr>
        <w:t>5</w:t>
      </w:r>
      <w:r w:rsidR="00B033E3">
        <w:rPr>
          <w:rFonts w:ascii="Times New Roman" w:hAnsi="Times New Roman" w:cs="Times New Roman"/>
        </w:rPr>
        <w:t>, middle column)</w:t>
      </w:r>
      <w:r w:rsidR="007F5299" w:rsidRPr="004903A6">
        <w:rPr>
          <w:rFonts w:ascii="Times New Roman" w:hAnsi="Times New Roman" w:cs="Times New Roman"/>
        </w:rPr>
        <w:t>.</w:t>
      </w:r>
      <w:r w:rsidR="004903A6" w:rsidRPr="004903A6">
        <w:rPr>
          <w:rFonts w:ascii="Times New Roman" w:hAnsi="Times New Roman" w:cs="Times New Roman"/>
        </w:rPr>
        <w:t xml:space="preserve"> The apparent resilience/vulnerability phenomenon observed in subjects treated with modafinil </w:t>
      </w:r>
      <w:r w:rsidR="0023690C">
        <w:rPr>
          <w:rFonts w:ascii="Times New Roman" w:hAnsi="Times New Roman" w:cs="Times New Roman"/>
        </w:rPr>
        <w:t xml:space="preserve">is intriguing and </w:t>
      </w:r>
      <w:r w:rsidR="004903A6" w:rsidRPr="004903A6">
        <w:rPr>
          <w:rFonts w:ascii="Times New Roman" w:hAnsi="Times New Roman" w:cs="Times New Roman"/>
        </w:rPr>
        <w:t>merits further investigation.</w:t>
      </w:r>
    </w:p>
    <w:p w14:paraId="6138E0B1" w14:textId="4012FA66" w:rsidR="007F5299" w:rsidRPr="009D519D" w:rsidRDefault="007F5299" w:rsidP="009D7A56">
      <w:pPr>
        <w:spacing w:after="0"/>
      </w:pPr>
      <w:r>
        <w:t xml:space="preserve"> </w:t>
      </w:r>
    </w:p>
    <w:p w14:paraId="3D221388" w14:textId="11344096" w:rsidR="00C47AFD" w:rsidRPr="001B5754" w:rsidRDefault="00C47AFD" w:rsidP="009D7A56">
      <w:pPr>
        <w:spacing w:after="0"/>
        <w:jc w:val="center"/>
        <w:rPr>
          <w:rFonts w:ascii="Times New Roman" w:hAnsi="Times New Roman" w:cs="Times New Roman"/>
          <w:b/>
          <w:lang w:val="es-ES"/>
        </w:rPr>
      </w:pPr>
      <w:r w:rsidRPr="001B5754">
        <w:rPr>
          <w:rFonts w:ascii="Times New Roman" w:hAnsi="Times New Roman" w:cs="Times New Roman"/>
          <w:b/>
          <w:lang w:val="es-ES"/>
        </w:rPr>
        <w:t>References</w:t>
      </w:r>
    </w:p>
    <w:p w14:paraId="2A986E3A" w14:textId="34C970F3" w:rsidR="00C47AFD" w:rsidRPr="001B5754" w:rsidRDefault="00C47AFD" w:rsidP="009D7A56">
      <w:pPr>
        <w:spacing w:after="0"/>
        <w:rPr>
          <w:rFonts w:ascii="Times New Roman" w:hAnsi="Times New Roman" w:cs="Times New Roman"/>
          <w:b/>
          <w:lang w:val="es-ES"/>
        </w:rPr>
      </w:pPr>
    </w:p>
    <w:p w14:paraId="1B52D78D" w14:textId="070A5894" w:rsidR="00C47AFD" w:rsidRPr="00C47AFD" w:rsidRDefault="00C47AFD" w:rsidP="009D7A56">
      <w:pPr>
        <w:spacing w:after="0"/>
        <w:ind w:left="720" w:hanging="720"/>
        <w:rPr>
          <w:rFonts w:ascii="Times New Roman" w:hAnsi="Times New Roman" w:cs="Times New Roman"/>
        </w:rPr>
      </w:pPr>
      <w:r w:rsidRPr="00816DD5">
        <w:rPr>
          <w:rFonts w:ascii="Times New Roman" w:hAnsi="Times New Roman" w:cs="Times New Roman"/>
          <w:lang w:val="es-ES"/>
        </w:rPr>
        <w:t xml:space="preserve">Caballero-Puntiverio, M., Lerdrup, L. S., Grupe, M., Larsen, C. W., Dietz, A. G., &amp; Andreasen, J. T. (2019). </w:t>
      </w:r>
      <w:r w:rsidRPr="00C47AFD">
        <w:rPr>
          <w:rFonts w:ascii="Times New Roman" w:hAnsi="Times New Roman" w:cs="Times New Roman"/>
        </w:rPr>
        <w:t xml:space="preserve">Effect of ADHD medication in male C57BL/6J mice performing the rodent Continuous Performance Test. </w:t>
      </w:r>
      <w:r w:rsidRPr="00C47AFD">
        <w:rPr>
          <w:rFonts w:ascii="Times New Roman" w:hAnsi="Times New Roman" w:cs="Times New Roman"/>
          <w:i/>
        </w:rPr>
        <w:t>Psychopharmacology, 236</w:t>
      </w:r>
      <w:r w:rsidRPr="00C47AFD">
        <w:rPr>
          <w:rFonts w:ascii="Times New Roman" w:hAnsi="Times New Roman" w:cs="Times New Roman"/>
        </w:rPr>
        <w:t xml:space="preserve">, 1839-1851. </w:t>
      </w:r>
      <w:hyperlink r:id="rId8" w:history="1">
        <w:r w:rsidRPr="00AA0ED5">
          <w:rPr>
            <w:rStyle w:val="Hipervnculo"/>
            <w:rFonts w:ascii="Times New Roman" w:hAnsi="Times New Roman" w:cs="Times New Roman"/>
          </w:rPr>
          <w:t>https://doi.org/10.1007/s00213-019-5167-x</w:t>
        </w:r>
      </w:hyperlink>
      <w:r>
        <w:rPr>
          <w:rFonts w:ascii="Times New Roman" w:hAnsi="Times New Roman" w:cs="Times New Roman"/>
        </w:rPr>
        <w:t xml:space="preserve"> </w:t>
      </w:r>
    </w:p>
    <w:p w14:paraId="0655822A" w14:textId="546ADA9A" w:rsidR="00C47AFD" w:rsidRPr="00C47AFD" w:rsidRDefault="00C47AFD" w:rsidP="009D7A56">
      <w:pPr>
        <w:spacing w:after="0"/>
        <w:ind w:left="720" w:hanging="720"/>
        <w:rPr>
          <w:rFonts w:ascii="Times New Roman" w:hAnsi="Times New Roman" w:cs="Times New Roman"/>
        </w:rPr>
      </w:pPr>
      <w:r w:rsidRPr="00C47AFD">
        <w:rPr>
          <w:rFonts w:ascii="Times New Roman" w:hAnsi="Times New Roman" w:cs="Times New Roman"/>
        </w:rPr>
        <w:t xml:space="preserve">Finke, K., Dodds, C. M., Bublak, P., Regenthal, R., Baumann, F., Manly, T., &amp; Müller, U. (2010). Effects of modafinil and methylphenidate on visual attention capacity: a TVA-based study. </w:t>
      </w:r>
      <w:r w:rsidRPr="00C47AFD">
        <w:rPr>
          <w:rFonts w:ascii="Times New Roman" w:hAnsi="Times New Roman" w:cs="Times New Roman"/>
          <w:i/>
        </w:rPr>
        <w:t>Psychopharmacology, 210</w:t>
      </w:r>
      <w:r w:rsidRPr="00C47AFD">
        <w:rPr>
          <w:rFonts w:ascii="Times New Roman" w:hAnsi="Times New Roman" w:cs="Times New Roman"/>
        </w:rPr>
        <w:t xml:space="preserve">, 317-329. </w:t>
      </w:r>
      <w:hyperlink r:id="rId9" w:history="1">
        <w:r w:rsidRPr="00AA0ED5">
          <w:rPr>
            <w:rStyle w:val="Hipervnculo"/>
            <w:rFonts w:ascii="Times New Roman" w:hAnsi="Times New Roman" w:cs="Times New Roman"/>
          </w:rPr>
          <w:t>https://doi.org/10.1007/s00213-010-1823-x</w:t>
        </w:r>
      </w:hyperlink>
      <w:r>
        <w:rPr>
          <w:rFonts w:ascii="Times New Roman" w:hAnsi="Times New Roman" w:cs="Times New Roman"/>
        </w:rPr>
        <w:t xml:space="preserve"> </w:t>
      </w:r>
    </w:p>
    <w:p w14:paraId="196F2627" w14:textId="5B2F0235" w:rsidR="00C47AFD" w:rsidRDefault="00C47AFD" w:rsidP="009D7A56">
      <w:pPr>
        <w:spacing w:after="0"/>
        <w:ind w:left="720" w:hanging="720"/>
        <w:rPr>
          <w:rFonts w:ascii="Times New Roman" w:hAnsi="Times New Roman" w:cs="Times New Roman"/>
        </w:rPr>
      </w:pPr>
      <w:r w:rsidRPr="00C47AFD">
        <w:rPr>
          <w:rFonts w:ascii="Times New Roman" w:hAnsi="Times New Roman" w:cs="Times New Roman"/>
        </w:rPr>
        <w:t xml:space="preserve">Turner, K. M., &amp; Burne, T. H. (2016). Improvement of attention with amphetamine in low-and high-performing rats. </w:t>
      </w:r>
      <w:r w:rsidRPr="00C47AFD">
        <w:rPr>
          <w:rFonts w:ascii="Times New Roman" w:hAnsi="Times New Roman" w:cs="Times New Roman"/>
          <w:i/>
        </w:rPr>
        <w:t>Psychopharmacology, 233</w:t>
      </w:r>
      <w:r w:rsidRPr="00C47AFD">
        <w:rPr>
          <w:rFonts w:ascii="Times New Roman" w:hAnsi="Times New Roman" w:cs="Times New Roman"/>
        </w:rPr>
        <w:t xml:space="preserve">, 3383-3394. </w:t>
      </w:r>
      <w:hyperlink r:id="rId10" w:history="1">
        <w:r w:rsidRPr="00AA0ED5">
          <w:rPr>
            <w:rStyle w:val="Hipervnculo"/>
            <w:rFonts w:ascii="Times New Roman" w:hAnsi="Times New Roman" w:cs="Times New Roman"/>
          </w:rPr>
          <w:t>https://doi.org/10.1007/s00213-016-4376-9</w:t>
        </w:r>
      </w:hyperlink>
      <w:r>
        <w:rPr>
          <w:rFonts w:ascii="Times New Roman" w:hAnsi="Times New Roman" w:cs="Times New Roman"/>
        </w:rPr>
        <w:t xml:space="preserve"> </w:t>
      </w:r>
    </w:p>
    <w:p w14:paraId="2EFEF7DD" w14:textId="5F306821" w:rsidR="00C47AFD" w:rsidRPr="00C47AFD" w:rsidRDefault="00C47AFD" w:rsidP="009D7A56">
      <w:pPr>
        <w:spacing w:after="0"/>
        <w:ind w:left="720" w:hanging="720"/>
        <w:rPr>
          <w:rFonts w:ascii="Times New Roman" w:hAnsi="Times New Roman" w:cs="Times New Roman"/>
          <w:lang w:val="es-ES"/>
        </w:rPr>
      </w:pPr>
      <w:r w:rsidRPr="00C47AFD">
        <w:rPr>
          <w:rFonts w:ascii="Times New Roman" w:hAnsi="Times New Roman" w:cs="Times New Roman"/>
        </w:rPr>
        <w:t xml:space="preserve">Turner, K. M., Peak, J., &amp; Burne, T. H. (2017). Baseline-dependent effects of amphetamine on attention are associated with striatal dopamine metabolism. </w:t>
      </w:r>
      <w:r w:rsidRPr="00C47AFD">
        <w:rPr>
          <w:rFonts w:ascii="Times New Roman" w:hAnsi="Times New Roman" w:cs="Times New Roman"/>
          <w:i/>
          <w:lang w:val="es-ES"/>
        </w:rPr>
        <w:t>Scientific Reports, 7</w:t>
      </w:r>
      <w:r w:rsidRPr="00C47AFD">
        <w:rPr>
          <w:rFonts w:ascii="Times New Roman" w:hAnsi="Times New Roman" w:cs="Times New Roman"/>
          <w:lang w:val="es-ES"/>
        </w:rPr>
        <w:t xml:space="preserve">(1), 297. </w:t>
      </w:r>
      <w:hyperlink r:id="rId11" w:history="1">
        <w:r w:rsidRPr="00AA0ED5">
          <w:rPr>
            <w:rStyle w:val="Hipervnculo"/>
            <w:rFonts w:ascii="Times New Roman" w:hAnsi="Times New Roman" w:cs="Times New Roman"/>
            <w:lang w:val="es-ES"/>
          </w:rPr>
          <w:t>https://doi.org/10.1038/s41598-017-00437-9</w:t>
        </w:r>
      </w:hyperlink>
      <w:r>
        <w:rPr>
          <w:rFonts w:ascii="Times New Roman" w:hAnsi="Times New Roman" w:cs="Times New Roman"/>
          <w:lang w:val="es-ES"/>
        </w:rPr>
        <w:t xml:space="preserve"> </w:t>
      </w:r>
    </w:p>
    <w:p w14:paraId="7A662EE5" w14:textId="77777777" w:rsidR="00C47AFD" w:rsidRPr="005E0978" w:rsidRDefault="00C47AFD" w:rsidP="009D7A56">
      <w:pPr>
        <w:spacing w:after="0"/>
      </w:pPr>
    </w:p>
    <w:p w14:paraId="3ED38084" w14:textId="77777777" w:rsidR="00FB3170" w:rsidRPr="005E0978" w:rsidRDefault="00FB3170" w:rsidP="009D7A56">
      <w:pPr>
        <w:spacing w:after="0"/>
        <w:jc w:val="center"/>
      </w:pPr>
    </w:p>
    <w:p w14:paraId="0C34800A" w14:textId="5520A505" w:rsidR="005C5F51" w:rsidRPr="005E0978" w:rsidRDefault="005C5F51" w:rsidP="009D7A56">
      <w:pPr>
        <w:spacing w:after="0"/>
      </w:pPr>
    </w:p>
    <w:p w14:paraId="6067A328" w14:textId="77777777" w:rsidR="005C5F51" w:rsidRPr="005E0978" w:rsidRDefault="005C5F51" w:rsidP="009D7A56">
      <w:pPr>
        <w:spacing w:after="0"/>
      </w:pPr>
    </w:p>
    <w:sectPr w:rsidR="005C5F51" w:rsidRPr="005E0978" w:rsidSect="00E25B46">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13EA98" w14:textId="77777777" w:rsidR="00A21F8A" w:rsidRDefault="00A21F8A" w:rsidP="003A1CE1">
      <w:pPr>
        <w:spacing w:after="0" w:line="240" w:lineRule="auto"/>
      </w:pPr>
      <w:r>
        <w:separator/>
      </w:r>
    </w:p>
  </w:endnote>
  <w:endnote w:type="continuationSeparator" w:id="0">
    <w:p w14:paraId="22225BE5" w14:textId="77777777" w:rsidR="00A21F8A" w:rsidRDefault="00A21F8A" w:rsidP="003A1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8433511"/>
      <w:docPartObj>
        <w:docPartGallery w:val="Page Numbers (Bottom of Page)"/>
        <w:docPartUnique/>
      </w:docPartObj>
    </w:sdtPr>
    <w:sdtContent>
      <w:p w14:paraId="74412996" w14:textId="308A2FF8" w:rsidR="003A1CE1" w:rsidRDefault="003A1CE1">
        <w:pPr>
          <w:pStyle w:val="Piedepgina"/>
          <w:jc w:val="right"/>
        </w:pPr>
        <w:r>
          <w:fldChar w:fldCharType="begin"/>
        </w:r>
        <w:r>
          <w:instrText>PAGE   \* MERGEFORMAT</w:instrText>
        </w:r>
        <w:r>
          <w:fldChar w:fldCharType="separate"/>
        </w:r>
        <w:r>
          <w:rPr>
            <w:lang w:val="es-ES"/>
          </w:rPr>
          <w:t>2</w:t>
        </w:r>
        <w:r>
          <w:fldChar w:fldCharType="end"/>
        </w:r>
      </w:p>
    </w:sdtContent>
  </w:sdt>
  <w:p w14:paraId="7882BBCC" w14:textId="77777777" w:rsidR="003A1CE1" w:rsidRDefault="003A1C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A35E7" w14:textId="77777777" w:rsidR="00A21F8A" w:rsidRDefault="00A21F8A" w:rsidP="003A1CE1">
      <w:pPr>
        <w:spacing w:after="0" w:line="240" w:lineRule="auto"/>
      </w:pPr>
      <w:r>
        <w:separator/>
      </w:r>
    </w:p>
  </w:footnote>
  <w:footnote w:type="continuationSeparator" w:id="0">
    <w:p w14:paraId="0C4E8E84" w14:textId="77777777" w:rsidR="00A21F8A" w:rsidRDefault="00A21F8A" w:rsidP="003A1C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9A1"/>
    <w:rsid w:val="00043DB4"/>
    <w:rsid w:val="000C0ED2"/>
    <w:rsid w:val="000F4FB5"/>
    <w:rsid w:val="00165004"/>
    <w:rsid w:val="001B5754"/>
    <w:rsid w:val="0023690C"/>
    <w:rsid w:val="002F1361"/>
    <w:rsid w:val="003A1CE1"/>
    <w:rsid w:val="003E1214"/>
    <w:rsid w:val="00467514"/>
    <w:rsid w:val="00480BF0"/>
    <w:rsid w:val="004903A6"/>
    <w:rsid w:val="004E52C5"/>
    <w:rsid w:val="004E7E87"/>
    <w:rsid w:val="005151C9"/>
    <w:rsid w:val="00550B92"/>
    <w:rsid w:val="005A1A0C"/>
    <w:rsid w:val="005C5F51"/>
    <w:rsid w:val="005D329D"/>
    <w:rsid w:val="005D7208"/>
    <w:rsid w:val="005E0978"/>
    <w:rsid w:val="005F3F8F"/>
    <w:rsid w:val="006E6E67"/>
    <w:rsid w:val="006F256E"/>
    <w:rsid w:val="006F2912"/>
    <w:rsid w:val="007134DE"/>
    <w:rsid w:val="00727FD0"/>
    <w:rsid w:val="0073625C"/>
    <w:rsid w:val="00795E27"/>
    <w:rsid w:val="007F5299"/>
    <w:rsid w:val="00816DD5"/>
    <w:rsid w:val="00824898"/>
    <w:rsid w:val="008D53FB"/>
    <w:rsid w:val="008D72D1"/>
    <w:rsid w:val="009560A8"/>
    <w:rsid w:val="00985847"/>
    <w:rsid w:val="009B704B"/>
    <w:rsid w:val="009D519D"/>
    <w:rsid w:val="009D7A56"/>
    <w:rsid w:val="009E2D8D"/>
    <w:rsid w:val="00A21F8A"/>
    <w:rsid w:val="00A623AC"/>
    <w:rsid w:val="00A65308"/>
    <w:rsid w:val="00A854F3"/>
    <w:rsid w:val="00AA42D0"/>
    <w:rsid w:val="00B033E3"/>
    <w:rsid w:val="00B36264"/>
    <w:rsid w:val="00B37535"/>
    <w:rsid w:val="00B412B4"/>
    <w:rsid w:val="00B43E72"/>
    <w:rsid w:val="00B45FCC"/>
    <w:rsid w:val="00B84548"/>
    <w:rsid w:val="00BC231D"/>
    <w:rsid w:val="00BC6418"/>
    <w:rsid w:val="00BE6DBE"/>
    <w:rsid w:val="00C020AB"/>
    <w:rsid w:val="00C06FC6"/>
    <w:rsid w:val="00C47AFD"/>
    <w:rsid w:val="00C75282"/>
    <w:rsid w:val="00C82F1F"/>
    <w:rsid w:val="00CA0368"/>
    <w:rsid w:val="00CB7562"/>
    <w:rsid w:val="00CC4EC3"/>
    <w:rsid w:val="00D37B71"/>
    <w:rsid w:val="00DB39AA"/>
    <w:rsid w:val="00DC3617"/>
    <w:rsid w:val="00E25B46"/>
    <w:rsid w:val="00EB1874"/>
    <w:rsid w:val="00ED33CE"/>
    <w:rsid w:val="00F402A3"/>
    <w:rsid w:val="00F60F5D"/>
    <w:rsid w:val="00F700C8"/>
    <w:rsid w:val="00F7461D"/>
    <w:rsid w:val="00FB3170"/>
    <w:rsid w:val="00FD1479"/>
    <w:rsid w:val="00FF69A1"/>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170B6"/>
  <w15:chartTrackingRefBased/>
  <w15:docId w15:val="{C2129C11-32C6-4C54-A65C-C71F201F3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47AFD"/>
    <w:rPr>
      <w:color w:val="0563C1" w:themeColor="hyperlink"/>
      <w:u w:val="single"/>
    </w:rPr>
  </w:style>
  <w:style w:type="character" w:styleId="Mencinsinresolver">
    <w:name w:val="Unresolved Mention"/>
    <w:basedOn w:val="Fuentedeprrafopredeter"/>
    <w:uiPriority w:val="99"/>
    <w:semiHidden/>
    <w:unhideWhenUsed/>
    <w:rsid w:val="00C47AFD"/>
    <w:rPr>
      <w:color w:val="605E5C"/>
      <w:shd w:val="clear" w:color="auto" w:fill="E1DFDD"/>
    </w:rPr>
  </w:style>
  <w:style w:type="table" w:styleId="Tablaconcuadrcula">
    <w:name w:val="Table Grid"/>
    <w:basedOn w:val="Tablanormal"/>
    <w:uiPriority w:val="39"/>
    <w:rsid w:val="00D37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43E7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43E72"/>
    <w:rPr>
      <w:rFonts w:ascii="Segoe UI" w:hAnsi="Segoe UI" w:cs="Segoe UI"/>
      <w:sz w:val="18"/>
      <w:szCs w:val="18"/>
    </w:rPr>
  </w:style>
  <w:style w:type="paragraph" w:styleId="NormalWeb">
    <w:name w:val="Normal (Web)"/>
    <w:basedOn w:val="Normal"/>
    <w:uiPriority w:val="99"/>
    <w:semiHidden/>
    <w:unhideWhenUsed/>
    <w:rsid w:val="004E7E87"/>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3A1C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1CE1"/>
  </w:style>
  <w:style w:type="paragraph" w:styleId="Piedepgina">
    <w:name w:val="footer"/>
    <w:basedOn w:val="Normal"/>
    <w:link w:val="PiedepginaCar"/>
    <w:uiPriority w:val="99"/>
    <w:unhideWhenUsed/>
    <w:rsid w:val="003A1C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1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09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00213-019-5167-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38/s41598-017-00437-9" TargetMode="External"/><Relationship Id="rId5" Type="http://schemas.openxmlformats.org/officeDocument/2006/relationships/footnotes" Target="footnotes.xml"/><Relationship Id="rId10" Type="http://schemas.openxmlformats.org/officeDocument/2006/relationships/hyperlink" Target="https://doi.org/10.1007/s00213-016-4376-9" TargetMode="External"/><Relationship Id="rId4" Type="http://schemas.openxmlformats.org/officeDocument/2006/relationships/webSettings" Target="webSettings.xml"/><Relationship Id="rId9" Type="http://schemas.openxmlformats.org/officeDocument/2006/relationships/hyperlink" Target="https://doi.org/10.1007/s00213-010-1823-x"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29174-9023-42E6-AB55-7D33BAA70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3</Pages>
  <Words>1095</Words>
  <Characters>6027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RODRIGO SOSA SANCHEZ</cp:lastModifiedBy>
  <cp:revision>43</cp:revision>
  <dcterms:created xsi:type="dcterms:W3CDTF">2024-07-03T20:51:00Z</dcterms:created>
  <dcterms:modified xsi:type="dcterms:W3CDTF">2024-12-02T19:57:00Z</dcterms:modified>
</cp:coreProperties>
</file>