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56E9"/>
          <w:sz w:val="44"/>
        </w:rPr>
        <w:t>cotton.xyz</w:t>
        <w:br/>
      </w:r>
      <w:r>
        <w:rPr>
          <w:b/>
          <w:sz w:val="32"/>
        </w:rPr>
        <w:t>Brazil Basis Model — Backtest Report</w:t>
        <w:br/>
      </w:r>
      <w:r>
        <w:rPr>
          <w:color w:val="666666"/>
          <w:sz w:val="22"/>
        </w:rPr>
        <w:t>BRAZIL/USDC pair · FX-linked ICE anchor model</w:t>
        <w:br/>
        <w:t>Generated 2026-05-27 · TEST / research</w:t>
        <w:br/>
      </w:r>
    </w:p>
    <w:p/>
    <w:p>
      <w:pPr>
        <w:pStyle w:val="Heading1"/>
      </w:pPr>
      <w:r>
        <w:t>1. Executive Summary</w:t>
      </w:r>
    </w:p>
    <w:p>
      <w:r>
        <w:t>This report evaluates the cotton.xyz BRAZIL/USDC mark engine (v3): ICE relayer mark plus governance structural premium β_const.</w:t>
      </w:r>
    </w:p>
    <w:p>
      <w:r>
        <w:rPr>
          <w:b/>
        </w:rPr>
        <w:t xml:space="preserve">Recommended model (holdout): </w:t>
      </w:r>
      <w:r>
        <w:t>ice_plus_constant_504d_median</w:t>
        <w:br/>
      </w:r>
      <w:r>
        <w:rPr>
          <w:b/>
        </w:rPr>
        <w:t xml:space="preserve">Accuracy rating: </w:t>
      </w:r>
      <w:r>
        <w:rPr>
          <w:b/>
          <w:color w:val="CA8A04"/>
        </w:rPr>
        <w:t>C — 26.7/100</w:t>
      </w:r>
    </w:p>
    <w:p>
      <w:r>
        <w:t>Acceptable MAE vs ICE — constant anchor viable for testnet with disclosed basis risk.</w:t>
      </w:r>
    </w:p>
    <w:p>
      <w:r>
        <w:t>Holdout from 2012-11-09: hybrid oracle MAE 0.00¢/lb vs static v1 0.00¢/lb vs ICE-only 7.46¢/lb. Hybrid uses lagged CEPEA when fresh (≤2 calendar-day gap) and 504-day trailing FX model on stale sessions (weekends/holidays).</w:t>
      </w:r>
    </w:p>
    <w:p>
      <w:pPr>
        <w:pStyle w:val="Heading1"/>
      </w:pPr>
      <w:r>
        <w:t>2. Model Specification</w:t>
      </w:r>
    </w:p>
    <w:p>
      <w:r>
        <w:t>Observed basis (ground truth):</w:t>
      </w:r>
    </w:p>
    <w:p>
      <w:pPr>
        <w:pStyle w:val="IntenseQuote"/>
      </w:pPr>
      <w:r>
        <w:t>Basis_obs = CEPEA_USD/lb − ICE_USD/lb</w:t>
      </w:r>
    </w:p>
    <w:p>
      <w:r>
        <w:t>Model (v3 — ICE + constant structural premium):</w:t>
      </w:r>
    </w:p>
    <w:p>
      <w:pPr>
        <w:pStyle w:val="IntenseQuote"/>
      </w:pPr>
      <w:r>
        <w:t>Mark_Brazil = Mark_ICE + β_const</w:t>
        <w:br/>
        <w:t>β_const = median(CEPEA − ICE) over trailing 504 sessions</w:t>
        <w:br/>
        <w:t>Residual basis discovered on-book by traders</w:t>
      </w:r>
    </w:p>
    <w:p>
      <w:r>
        <w:rPr>
          <w:b/>
        </w:rPr>
        <w:t xml:space="preserve">Acceptance vs actual CEPEA: </w:t>
      </w:r>
      <w:r>
        <w:t>PASS — ICE + constant is an acceptable testnet anchor vs actual CEPEA. Traders price residual basis around the structural premium.</w:t>
      </w:r>
    </w:p>
    <w:p>
      <w:r>
        <w:t>CEPEA is the ESALQ/USP cotton lint indicator (8-day payment); ICE is the NYBOT Cotton No. 2 future (CT=F proxy).</w:t>
      </w:r>
    </w:p>
    <w:p>
      <w:pPr>
        <w:pStyle w:val="Heading1"/>
      </w:pPr>
      <w:r>
        <w:t>3.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CEPEA algodão (8 dias)</w:t>
            </w:r>
          </w:p>
        </w:tc>
        <w:tc>
          <w:tcPr>
            <w:tcW w:type="dxa" w:w="2880"/>
          </w:tcPr>
          <w:p>
            <w:r>
              <w:t>CEPEA via royopa/cepea_scraper CSV</w:t>
            </w:r>
          </w:p>
        </w:tc>
        <w:tc>
          <w:tcPr>
            <w:tcW w:type="dxa" w:w="2880"/>
          </w:tcPr>
          <w:p>
            <w:r>
              <w:t>https://raw.githubusercontent.com/royopa/cepea_scraper/master/bases/precos_cepea_base.csv</w:t>
            </w:r>
          </w:p>
        </w:tc>
      </w:tr>
      <w:tr>
        <w:tc>
          <w:tcPr>
            <w:tcW w:type="dxa" w:w="2880"/>
          </w:tcPr>
          <w:p>
            <w:r>
              <w:t>ICE Cotton No. 2</w:t>
            </w:r>
          </w:p>
        </w:tc>
        <w:tc>
          <w:tcPr>
            <w:tcW w:type="dxa" w:w="2880"/>
          </w:tcPr>
          <w:p>
            <w:r>
              <w:t>Yahoo Finance CT=F</w:t>
            </w:r>
          </w:p>
        </w:tc>
        <w:tc>
          <w:tcPr>
            <w:tcW w:type="dxa" w:w="2880"/>
          </w:tcPr>
          <w:p>
            <w:r>
              <w:t>Front-month future; cents/lb → USD/lb</w:t>
            </w:r>
          </w:p>
        </w:tc>
      </w:tr>
    </w:tbl>
    <w:p/>
    <w:p>
      <w:r>
        <w:t>Aligned sample: 4,440 trading days from 2000-01-03 to 2018-05-08.</w:t>
      </w:r>
    </w:p>
    <w:p>
      <w:pPr>
        <w:pStyle w:val="Heading1"/>
      </w:pPr>
      <w:r>
        <w:t>4. Methodology</w:t>
      </w:r>
    </w:p>
    <w:p>
      <w:r>
        <w:t>• Holdout: final 30% of sample (2012–2018).</w:t>
        <w:br/>
        <w:t>• β_const: trailing 504-session median of (CEPEA_USD − ICE_USD).</w:t>
        <w:br/>
        <w:t>• Mark: ICE + β_const; residual basis left to traders on-book.</w:t>
        <w:br/>
        <w:t>• Baseline: ICE-only (basis = 0).</w:t>
        <w:br/>
        <w:t>• Metrics: MAE, RMSE, R²; % within 1%, ±2¢, ±5¢ of actual CEPEA mark.</w:t>
      </w:r>
    </w:p>
    <w:p>
      <w:pPr>
        <w:pStyle w:val="Heading1"/>
      </w:pPr>
      <w:r>
        <w:t>5. Production β_const (504d median)</w:t>
      </w:r>
    </w:p>
    <w:p>
      <w:r>
        <w:t>β_const (structural premium): 9.02¢/lb</w:t>
      </w:r>
    </w:p>
    <w:p>
      <w:r>
        <w:t>Method: median over 504 sessions</w:t>
      </w:r>
    </w:p>
    <w:p>
      <w:pPr>
        <w:pStyle w:val="Heading1"/>
      </w:pPr>
      <w:r>
        <w:t>6. Backtest Results</w:t>
      </w:r>
    </w:p>
    <w:p>
      <w:pPr>
        <w:pStyle w:val="Heading2"/>
      </w:pPr>
      <w:r>
        <w:t>Holdout comparison (recommended 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Within ±5¢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vs ICE-only</w:t>
            </w:r>
          </w:p>
        </w:tc>
      </w:tr>
      <w:tr>
        <w:tc>
          <w:tcPr>
            <w:tcW w:type="dxa" w:w="1440"/>
          </w:tcPr>
          <w:p>
            <w:r>
              <w:t>ICE + rolling 504d median β (recommended)</w:t>
            </w:r>
          </w:p>
        </w:tc>
        <w:tc>
          <w:tcPr>
            <w:tcW w:type="dxa" w:w="1440"/>
          </w:tcPr>
          <w:p>
            <w:r>
              <w:t>5.33¢/lb</w:t>
            </w:r>
          </w:p>
        </w:tc>
        <w:tc>
          <w:tcPr>
            <w:tcW w:type="dxa" w:w="1440"/>
          </w:tcPr>
          <w:p>
            <w:r>
              <w:t>6.89¢/lb</w:t>
            </w:r>
          </w:p>
        </w:tc>
        <w:tc>
          <w:tcPr>
            <w:tcW w:type="dxa" w:w="1440"/>
          </w:tcPr>
          <w:p>
            <w:r>
              <w:t>-0.21</w:t>
            </w:r>
          </w:p>
        </w:tc>
        <w:tc>
          <w:tcPr>
            <w:tcW w:type="dxa" w:w="1440"/>
          </w:tcPr>
          <w:p>
            <w:r>
              <w:t>52.7%</w:t>
            </w:r>
          </w:p>
        </w:tc>
        <w:tc>
          <w:tcPr>
            <w:tcW w:type="dxa" w:w="1440"/>
          </w:tcPr>
          <w:p>
            <w:r>
              <w:t>+28.5%</w:t>
            </w:r>
          </w:p>
        </w:tc>
      </w:tr>
      <w:tr>
        <w:tc>
          <w:tcPr>
            <w:tcW w:type="dxa" w:w="1440"/>
          </w:tcPr>
          <w:p>
            <w:r>
              <w:t>ICE + static β train median</w:t>
            </w:r>
          </w:p>
        </w:tc>
        <w:tc>
          <w:tcPr>
            <w:tcW w:type="dxa" w:w="1440"/>
          </w:tcPr>
          <w:p>
            <w:r>
              <w:t>5.87¢/lb</w:t>
            </w:r>
          </w:p>
        </w:tc>
        <w:tc>
          <w:tcPr>
            <w:tcW w:type="dxa" w:w="1440"/>
          </w:tcPr>
          <w:p>
            <w:r>
              <w:t>7.39¢/lb</w:t>
            </w:r>
          </w:p>
        </w:tc>
        <w:tc>
          <w:tcPr>
            <w:tcW w:type="dxa" w:w="1440"/>
          </w:tcPr>
          <w:p>
            <w:r>
              <w:t>-0.39</w:t>
            </w:r>
          </w:p>
        </w:tc>
        <w:tc>
          <w:tcPr>
            <w:tcW w:type="dxa" w:w="1440"/>
          </w:tcPr>
          <w:p>
            <w:r>
              <w:t>45.4%</w:t>
            </w:r>
          </w:p>
        </w:tc>
        <w:tc>
          <w:tcPr>
            <w:tcW w:type="dxa" w:w="1440"/>
          </w:tcPr>
          <w:p>
            <w:r>
              <w:t>+21.2%</w:t>
            </w:r>
          </w:p>
        </w:tc>
      </w:tr>
      <w:tr>
        <w:tc>
          <w:tcPr>
            <w:tcW w:type="dxa" w:w="1440"/>
          </w:tcPr>
          <w:p>
            <w:r>
              <w:t>ICE + static β train mean</w:t>
            </w:r>
          </w:p>
        </w:tc>
        <w:tc>
          <w:tcPr>
            <w:tcW w:type="dxa" w:w="1440"/>
          </w:tcPr>
          <w:p>
            <w:r>
              <w:t>5.61¢/lb</w:t>
            </w:r>
          </w:p>
        </w:tc>
        <w:tc>
          <w:tcPr>
            <w:tcW w:type="dxa" w:w="1440"/>
          </w:tcPr>
          <w:p>
            <w:r>
              <w:t>7.11¢/lb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48.5%</w:t>
            </w:r>
          </w:p>
        </w:tc>
        <w:tc>
          <w:tcPr>
            <w:tcW w:type="dxa" w:w="1440"/>
          </w:tcPr>
          <w:p>
            <w:r>
              <w:t>+24.8%</w:t>
            </w:r>
          </w:p>
        </w:tc>
      </w:tr>
      <w:tr>
        <w:tc>
          <w:tcPr>
            <w:tcW w:type="dxa" w:w="1440"/>
          </w:tcPr>
          <w:p>
            <w:r>
              <w:t>ICE-only</w:t>
            </w:r>
          </w:p>
        </w:tc>
        <w:tc>
          <w:tcPr>
            <w:tcW w:type="dxa" w:w="1440"/>
          </w:tcPr>
          <w:p>
            <w:r>
              <w:t>7.46¢/lb</w:t>
            </w:r>
          </w:p>
        </w:tc>
        <w:tc>
          <w:tcPr>
            <w:tcW w:type="dxa" w:w="1440"/>
          </w:tcPr>
          <w:p>
            <w:r>
              <w:t>9.03¢/lb</w:t>
            </w:r>
          </w:p>
        </w:tc>
        <w:tc>
          <w:tcPr>
            <w:tcW w:type="dxa" w:w="1440"/>
          </w:tcPr>
          <w:p>
            <w:r>
              <w:t>-1.07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</w:tr>
    </w:tbl>
    <w:p/>
    <w:p>
      <w:pPr>
        <w:pStyle w:val="Heading1"/>
      </w:pPr>
      <w:r>
        <w:t>7. Accuracy Rating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Criteria (holdout test)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MAE ≤ 2.5¢, R² ≥ 0.55, beats ICE-only materially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MAE ≤ 4¢, R² ≥ 0.35, beats ICE-only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Moderate improvement over ICE-only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Weak explanatory power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Does not beat ICE-only anchor</w:t>
            </w:r>
          </w:p>
        </w:tc>
      </w:tr>
    </w:tbl>
    <w:p/>
    <w:p>
      <w:r>
        <w:t>Holdout result: Grade C (26.7/100).</w:t>
      </w:r>
    </w:p>
    <w:p>
      <w:pPr>
        <w:pStyle w:val="Heading1"/>
      </w:pPr>
      <w:r>
        <w:t>8. Interpretation &amp; Recommendations</w:t>
      </w:r>
    </w:p>
    <w:p>
      <w:r>
        <w:t>Regime shift: train-period mean basis (~3.2¢/lb) vs test-period (~6.6¢/lb) indicates static parameters from 2000–2012 do not generalise to 2013–2018.</w:t>
      </w:r>
    </w:p>
    <w:p>
      <w:r>
        <w:t>Recommended path for cotton.xyz BRAZIL/USDC (testnet → live testnet):</w:t>
      </w:r>
    </w:p>
    <w:p>
      <w:pPr>
        <w:pStyle w:val="ListBullet"/>
      </w:pPr>
      <w:r>
        <w:t>Hybrid oracle: blend observed CEPEA when fresh (&lt;24h); FX model as fallback only.</w:t>
      </w:r>
    </w:p>
    <w:p>
      <w:pPr>
        <w:pStyle w:val="ListBullet"/>
      </w:pPr>
      <w:r>
        <w:t>Rolling recalibration: refit β coefficients monthly/quarterly on trailing 2–3 years.</w:t>
      </w:r>
    </w:p>
    <w:p>
      <w:pPr>
        <w:pStyle w:val="ListBullet"/>
      </w:pPr>
      <w:r>
        <w:t>Extend CEPEA history beyond May 2018 for modern out-of-sample validation.</w:t>
      </w:r>
    </w:p>
    <w:p>
      <w:pPr>
        <w:pStyle w:val="ListBullet"/>
      </w:pPr>
      <w:r>
        <w:t>Do not rely on FX + season model alone for production marks without CEPEA override.</w:t>
      </w:r>
    </w:p>
    <w:p>
      <w:pPr>
        <w:pStyle w:val="ListBullet"/>
      </w:pPr>
      <w:r>
        <w:t>Keep US/USDC on pure ICE relayer mark; apply basis layer only on BRAZIL/USDC.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Constant captures structural premium only; residual basis (~10¢ vol) is trader-discovered.</w:t>
      </w:r>
    </w:p>
    <w:p>
      <w:pPr>
        <w:pStyle w:val="ListBullet"/>
      </w:pPr>
      <w:r>
        <w:t>CEPEA CSV ends 2018-05-08.</w:t>
      </w:r>
    </w:p>
    <w:p>
      <w:pPr>
        <w:pStyle w:val="ListBullet"/>
      </w:pPr>
      <w:r>
        <w:t>ICE proxy is CT=F front future.</w:t>
      </w:r>
    </w:p>
    <w:p>
      <w:pPr>
        <w:pStyle w:val="ListBullet"/>
      </w:pPr>
      <w:r>
        <w:t>CEPEA CSV ends 2018-05-08; recent spot checks (May 2026) show model bias when using stale calibration — observed basis ~+7¢ vs model ~−2.5¢ under current ICE/FX levels.</w:t>
      </w:r>
    </w:p>
    <w:p>
      <w:pPr>
        <w:pStyle w:val="Heading1"/>
      </w:pPr>
      <w:r>
        <w:t>10. Reproduction</w:t>
      </w:r>
    </w:p>
    <w:p>
      <w:r>
        <w:t>From the project repository:</w:t>
        <w:br/>
        <w:br/>
        <w:t>cd backend &amp;&amp; source .venv/bin/activate</w:t>
        <w:br/>
        <w:t>python analysis/brazil_basis_backtest.py</w:t>
        <w:br/>
        <w:t>python analysis/generate_backtest_docx.py</w:t>
        <w:br/>
        <w:br/>
        <w:t>JSON results: backend/analysis/data/backtest_results.json</w:t>
        <w:br/>
        <w:t>Report output: docs/brazil-basis-backtest.docx</w:t>
      </w:r>
    </w:p>
    <w:p>
      <w:pPr>
        <w:jc w:val="center"/>
      </w:pPr>
      <w:r>
        <w:rPr>
          <w:color w:val="999999"/>
          <w:sz w:val="18"/>
        </w:rPr>
        <w:t>cotton.xyz · Confidential research ·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