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90" w:line="264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 PROJECT PLAN REPORT </w:t>
      </w:r>
    </w:p>
    <w:p w:rsidR="00000000" w:rsidDel="00000000" w:rsidP="00000000" w:rsidRDefault="00000000" w:rsidRPr="00000000" w14:paraId="00000002">
      <w:pPr>
        <w:widowControl w:val="0"/>
        <w:spacing w:after="90" w:line="264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ON</w:t>
      </w:r>
    </w:p>
    <w:p w:rsidR="00000000" w:rsidDel="00000000" w:rsidP="00000000" w:rsidRDefault="00000000" w:rsidRPr="00000000" w14:paraId="00000003">
      <w:pPr>
        <w:widowControl w:val="0"/>
        <w:spacing w:after="90" w:line="264" w:lineRule="auto"/>
        <w:jc w:val="center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EV BATTERY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90" w:line="264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240" w:line="264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2628900" cy="355282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552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Submitted by:</w:t>
        <w:br w:type="textWrapping"/>
        <w:t xml:space="preserve">Ankit Kumar (20234029)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Devanshi (20234057)</w:t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Satyam Tekriwal (20234153)</w:t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Under the Guidance of:</w:t>
      </w:r>
    </w:p>
    <w:p w:rsidR="00000000" w:rsidDel="00000000" w:rsidP="00000000" w:rsidRDefault="00000000" w:rsidRPr="00000000" w14:paraId="0000000C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Dr. Yogendra Kumar Prajapati</w:t>
      </w:r>
    </w:p>
    <w:p w:rsidR="00000000" w:rsidDel="00000000" w:rsidP="00000000" w:rsidRDefault="00000000" w:rsidRPr="00000000" w14:paraId="0000000D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200" w:lineRule="auto"/>
        <w:ind w:left="-566.9291338582677" w:right="-615" w:firstLine="0"/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Electronics and Communication Engineering Department,</w:t>
        <w:br w:type="textWrapping"/>
        <w:t xml:space="preserve">Motilal Nehru National Institute of Technology Allahabad, Prayagraj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20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Executive Summary &amp; Problem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lineRule="auto"/>
        <w:ind w:left="-566.9291338582677" w:right="-615" w:firstLine="0"/>
        <w:jc w:val="both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Every Electric Vehicle Battery Management System (BMS) must continuously estimate State of Charge (SOC) and derive remaining runtime from it. Standard production systems rely on Coulomb Counting — a decades-old technique that integrates measured current over time — which accumulates drift and degrades sharply under the highly variable current draw of real driving (acceleration, braking, regenerative charging, idling).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lineRule="auto"/>
        <w:ind w:left="-566.9291338582677" w:right="-615" w:firstLine="0"/>
        <w:jc w:val="both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This project re-engineers battery-runtime and multi-parameter estimation into a data-driven, machine-learning-based pipeline by integrating: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283.46456692913375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Simulation — a Random Forest model trained on voltage, current, and temperature history, benchmarked directly against Coulomb Counting on a public NASA battery-cycling dataset.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283.46456692913375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Experimentation — an expanded multi-parameter pipeline, developed using MATLAB Simulink, that maps driving-behaviour and electrical inputs to State of Charge, State of Health, Range, and Battery Life.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-283.46456692913375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Validation — deployment of the trained pipeline onto a real test vehicle, where live driving data both validates and incrementally retrains the model in real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566.9291338582677" w:right="-61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620.0" w:type="dxa"/>
        <w:jc w:val="left"/>
        <w:tblInd w:w="930.0" w:type="dxa"/>
        <w:tblBorders>
          <w:top w:color="aaaaaa" w:space="0" w:sz="4" w:val="single"/>
          <w:left w:color="aaaaaa" w:space="0" w:sz="4" w:val="single"/>
          <w:bottom w:color="aaaaaa" w:space="0" w:sz="4" w:val="single"/>
          <w:right w:color="aaaaaa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7620"/>
        <w:tblGridChange w:id="0">
          <w:tblGrid>
            <w:gridCol w:w="7620"/>
          </w:tblGrid>
        </w:tblGridChange>
      </w:tblGrid>
      <w:tr>
        <w:trPr>
          <w:cantSplit w:val="0"/>
          <w:trHeight w:val="1800" w:hRule="atLeast"/>
          <w:tblHeader w:val="0"/>
        </w:trPr>
        <w:tc>
          <w:tcPr>
            <w:shd w:fill="f2f2f2" w:val="clear"/>
            <w:tcMar>
              <w:top w:w="200.0" w:type="dxa"/>
              <w:left w:w="200.0" w:type="dxa"/>
              <w:bottom w:w="20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ind w:left="-566.9291338582677" w:right="-61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26"/>
                <w:szCs w:val="26"/>
              </w:rPr>
              <w:drawing>
                <wp:inline distB="114300" distT="114300" distL="114300" distR="114300">
                  <wp:extent cx="3562350" cy="2679700"/>
                  <wp:effectExtent b="0" l="0" r="0" t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2350" cy="26797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240" w:before="100" w:lineRule="auto"/>
        <w:ind w:left="-566.9291338582677" w:right="-615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Typical Electric Vehicle Battery Pack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bottom w:color="999999" w:space="8" w:sz="6" w:val="single"/>
        </w:pBdr>
        <w:spacing w:after="24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20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Project Objectives &amp; Scope Boundaries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ind w:left="-566.9291338582677" w:right="-615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Primary Objectives: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Train and benchmark a Random Forest Regressor against Coulomb Counting for remaining-runtime prediction on a public dataset, across multiple ambient-temperature conditions.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Extend the model to multi-parameter estimation — State of Charge, State of Health, Range (km), and Battery Life — using a richer, simulation-generated driving dataset.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Build and deploy a real-time embedded pipeline on a test vehicle, enabling on-the-fly model training and validation as the vehicle is driven.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Validate all outputs against ground truth from vehicle instrumentation and against established literature baselines.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999999" w:space="8" w:sz="6" w:val="single"/>
        </w:pBdr>
        <w:spacing w:after="240" w:lineRule="auto"/>
        <w:ind w:left="-566.9291338582677" w:right="-615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before="20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System Architecture &amp; Technical Specifications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Phase 1 Dataset: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NASA Ames PCoE Randomized Battery Usage dataset (RW series, .mat files) — room, elevated (~40°C), and low-temperature groups.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Phase 2 Simulation: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MATLAB Simulink for parameter identification and synthetic driving-and-battery dataset generation, incorporating acceleration, velocity, and braking inputs.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Modeling: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Python, scikit-learn (Random Forest Regressor), pandas, numpy, matplotlib.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Phase 3 Deployment: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Embedded single-board computer, CAN bus logger, and on-vehicle sensors for real-time inference and incremental model retraining.</w:t>
      </w:r>
      <w:r w:rsidDel="00000000" w:rsidR="00000000" w:rsidRPr="00000000">
        <w:rPr>
          <w:rtl w:val="0"/>
        </w:rPr>
      </w:r>
    </w:p>
    <w:tbl>
      <w:tblPr>
        <w:tblStyle w:val="Table2"/>
        <w:tblW w:w="1995.0" w:type="dxa"/>
        <w:jc w:val="left"/>
        <w:tblInd w:w="3750.0" w:type="dxa"/>
        <w:tblBorders>
          <w:top w:color="aaaaaa" w:space="0" w:sz="4" w:val="single"/>
          <w:left w:color="aaaaaa" w:space="0" w:sz="4" w:val="single"/>
          <w:bottom w:color="aaaaaa" w:space="0" w:sz="4" w:val="single"/>
          <w:right w:color="aaaaaa" w:space="0" w:sz="4" w:val="single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995"/>
        <w:tblGridChange w:id="0">
          <w:tblGrid>
            <w:gridCol w:w="1995"/>
          </w:tblGrid>
        </w:tblGridChange>
      </w:tblGrid>
      <w:tr>
        <w:trPr>
          <w:cantSplit w:val="0"/>
          <w:trHeight w:val="2760" w:hRule="atLeast"/>
          <w:tblHeader w:val="0"/>
        </w:trPr>
        <w:tc>
          <w:tcPr>
            <w:shd w:fill="f2f2f2" w:val="clear"/>
            <w:tcMar>
              <w:top w:w="200.0" w:type="dxa"/>
              <w:left w:w="200.0" w:type="dxa"/>
              <w:bottom w:w="200.0" w:type="dxa"/>
              <w:right w:w="2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ind w:left="-566.9291338582677" w:right="-615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i w:val="1"/>
                <w:iCs w:val="1"/>
                <w:color w:val="888888"/>
                <w:sz w:val="26"/>
                <w:szCs w:val="26"/>
              </w:rPr>
              <w:drawing>
                <wp:inline distB="114300" distT="114300" distL="114300" distR="114300">
                  <wp:extent cx="986041" cy="1527919"/>
                  <wp:effectExtent b="0" l="0" r="0" t="0"/>
                  <wp:docPr id="1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6041" cy="152791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240" w:before="100" w:lineRule="auto"/>
        <w:ind w:left="-566.9291338582677" w:right="-615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18650 Li-ion Cell — Basic Unit of EV Battery Packs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999999" w:space="8" w:sz="6" w:val="single"/>
        </w:pBdr>
        <w:spacing w:after="24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Work Plan</w:t>
      </w:r>
    </w:p>
    <w:p w:rsidR="00000000" w:rsidDel="00000000" w:rsidP="00000000" w:rsidRDefault="00000000" w:rsidRPr="00000000" w14:paraId="0000002E">
      <w:pPr>
        <w:widowControl w:val="0"/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85.0" w:type="dxa"/>
        <w:jc w:val="left"/>
        <w:tblInd w:w="-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7155"/>
        <w:gridCol w:w="1695"/>
        <w:tblGridChange w:id="0">
          <w:tblGrid>
            <w:gridCol w:w="1935"/>
            <w:gridCol w:w="7155"/>
            <w:gridCol w:w="1695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Phase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0d0d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Phase 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Simulation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2 Weeks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1 — Literature review finalized; NASA RW dataset parsed across 3 temperature groups; remaining-time target label derived; feature engineering (rolling windows, cumulative Ah)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Week 1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2 — Coulomb Counting baseline computed; Random Forest trained on identical inputs; RMSE/MAE evaluated per temperature group; cross-temperature comparison; report finalized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Week 2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0d0d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Phase 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Experimentation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7 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1 — Identify expanded input parameters (acceleration, velocity, braking, charge/discharge cycles, voltage, current, temperature); generate simulation dataset using MATLAB Simulink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Months 1–2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2 — Develop and validate models for State of Health (SOH), Range (km), and Battery Life as additional outputs; benchmark against standard baselines per parameter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Months 3–5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3 — Integrate Runtime, SOC, SOH, Range, and Battery Life into one unified multi-output model; prepare and validate software stack for deployment on test vehicle hardware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Months 6–7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d0d0d0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Phase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widowControl w:val="0"/>
              <w:rPr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4 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1 — Live field testing on real vehicle; as the vehicle is driven, data is generated in real time and the model trains/updates incrementally on live sensor data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Months 1–2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2 — Analysis and validation: all outputs (runtime, SOC, SOH, range, battery life) compared against ground truth from vehicle instruments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Month 3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Step 3 — Manuscript preparation and submission to a high-quality peer-reviewed journal (IEEE / Springer / Elsevier)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sz w:val="25"/>
                <w:szCs w:val="25"/>
                <w:rtl w:val="0"/>
              </w:rPr>
              <w:t xml:space="preserve">Month 4</w:t>
            </w:r>
          </w:p>
        </w:tc>
      </w:tr>
    </w:tbl>
    <w:p w:rsidR="00000000" w:rsidDel="00000000" w:rsidP="00000000" w:rsidRDefault="00000000" w:rsidRPr="00000000" w14:paraId="00000056">
      <w:pPr>
        <w:pBdr>
          <w:bottom w:color="999999" w:space="8" w:sz="6" w:val="single"/>
        </w:pBdr>
        <w:spacing w:after="24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60" w:before="200" w:lineRule="auto"/>
        <w:ind w:left="-566.9291338582677" w:right="-615" w:firstLine="0"/>
        <w:rPr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60" w:before="20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Risk Assessment &amp; Target Outcomes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Dataset-to-Reality Gap: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Phase 1 relies on a public benchmark dataset rather than real driving data; Phase 2's Simulink-generated dataset and Phase 3's live-vehicle validation are designed specifically to close this gap in stages.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pacing w:after="0" w:afterAutospacing="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Extended Field-Testing Constraint: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Live field trials in Phase 3 are scoped to a limited window and will therefore capture only the prevailing seasonal conditions available at that time, rather than full cross-seasonal variation.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Incremental Retraining Overhead: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Random Forest's comparatively low training time is leveraged specifically to make on-vehicle incremental retraining computationally feasible in real 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pacing w:after="16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Model Generalization Across Chemistries: </w:t>
      </w: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Models trained on one dataset/chemistry may not directly generalize; this is treated as a validation checkpoint during Phase 3 rather than assumed.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60" w:before="120" w:lineRule="auto"/>
        <w:ind w:left="-566.9291338582677" w:right="-615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Target Outcomes: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validated, lightweight Random Forest baseline demonstrably outperforming Coulomb Counting under randomized load, across temperature conditions (Phase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unified multi-output model estimating Runtime, SOC, SOH, Range, and Battery Life from a single pipeline (Phase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working proof-of-concept in which a real vehicle both generates its own training data and improves its own model while in operation (Phase 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-141.73228346456688" w:right="-615" w:hanging="360"/>
        <w:jc w:val="both"/>
        <w:rPr>
          <w:i w:val="0"/>
          <w:iCs w:val="0"/>
          <w:smallCaps w:val="0"/>
          <w:strike w:val="0"/>
          <w:color w:val="000000"/>
          <w:sz w:val="26"/>
          <w:szCs w:val="26"/>
          <w:shd w:fill="auto" w:val="clear"/>
          <w:vertAlign w:val="baseline"/>
        </w:rPr>
      </w:pPr>
      <w:r w:rsidDel="00000000" w:rsidR="00000000" w:rsidRPr="00000000">
        <w:rPr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A manuscript submitted to a reputable, properly peer-reviewed journal</w:t>
      </w:r>
      <w:r w:rsidDel="00000000" w:rsidR="00000000" w:rsidRPr="00000000">
        <w:rPr>
          <w:sz w:val="26"/>
          <w:szCs w:val="26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bottom w:color="999999" w:space="8" w:sz="6" w:val="single"/>
        </w:pBdr>
        <w:spacing w:after="24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before="400" w:lineRule="auto"/>
        <w:ind w:left="-566.9291338582677" w:right="-615" w:firstLine="0"/>
        <w:rPr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60" w:before="200" w:lineRule="auto"/>
        <w:ind w:left="-566.9291338582677" w:right="-615" w:firstLine="0"/>
        <w:rPr>
          <w:sz w:val="66"/>
          <w:szCs w:val="66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.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605.0" w:type="dxa"/>
        <w:jc w:val="left"/>
        <w:tblInd w:w="-7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55"/>
        <w:gridCol w:w="2790"/>
        <w:gridCol w:w="2820"/>
        <w:gridCol w:w="2640"/>
        <w:tblGridChange w:id="0">
          <w:tblGrid>
            <w:gridCol w:w="2355"/>
            <w:gridCol w:w="2790"/>
            <w:gridCol w:w="2820"/>
            <w:gridCol w:w="264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Author (Link)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Contribution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Findings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shd w:fill="e8e8e8" w:val="clear"/>
            <w:tcMar>
              <w:top w:w="80.0" w:type="dxa"/>
              <w:left w:w="140.0" w:type="dxa"/>
              <w:bottom w:w="8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5"/>
                <w:szCs w:val="25"/>
              </w:rPr>
            </w:pPr>
            <w:r w:rsidDel="00000000" w:rsidR="00000000" w:rsidRPr="00000000">
              <w:rPr>
                <w:b w:val="1"/>
                <w:bCs w:val="1"/>
                <w:sz w:val="25"/>
                <w:szCs w:val="25"/>
                <w:rtl w:val="0"/>
              </w:rPr>
              <w:t xml:space="preserve">Limitations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Harinarayanan &amp; Balamurugan (2025)</w:t>
              <w:br w:type="textWrapping"/>
            </w:r>
            <w:r w:rsidDel="00000000" w:rsidR="00000000" w:rsidRPr="00000000">
              <w:rPr>
                <w:i w:val="1"/>
                <w:iCs w:val="1"/>
                <w:color w:val="444444"/>
                <w:rtl w:val="0"/>
              </w:rPr>
              <w:t xml:space="preserve">Scientific Reports — Springer Nature</w:t>
              <w:br w:type="textWrapping"/>
            </w:r>
            <w:hyperlink r:id="rId9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nature.com/articles/s41598-025-94946-7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Directly compares Coulomb Counting, Kalman Filter, and Random Forest for SOC estimation under full cycles, shallow cycles, and dynamic WLTP/HPPC load profiles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Random Forest achieved lowest error across all conditions — RMSE 0.0229, MAE 0.0139 — and specifically outperformed traditional methods during shallow cycling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SOC only; single pouch-cell chemistry; does not address SOH, Range, or multi-output prediction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Sulaiman &amp; Mustaffa (2024)</w:t>
              <w:br w:type="textWrapping"/>
            </w:r>
            <w:r w:rsidDel="00000000" w:rsidR="00000000" w:rsidRPr="00000000">
              <w:rPr>
                <w:i w:val="1"/>
                <w:iCs w:val="1"/>
                <w:color w:val="444444"/>
                <w:rtl w:val="0"/>
              </w:rPr>
              <w:t xml:space="preserve">Green Energy and Intelligent Transportation — Elsevier</w:t>
              <w:br w:type="textWrapping"/>
            </w:r>
            <w:hyperlink r:id="rId10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doi.org/10.1016/j.geits.2024.100177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Applies Random Forest to SOC estimation under real-world EV operating conditions to improve downstream range-prediction accuracy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RF captured non-linear dependencies between operating parameters and SOC more effectively than conventional estimation under dynamic driving conditions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Single-algorithm study; no comparison against deep learning alternatives; does not extend to SOH or direct range validation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Yuan, Liu, Zhou &amp; Pei (2023)</w:t>
              <w:br w:type="textWrapping"/>
            </w:r>
            <w:r w:rsidDel="00000000" w:rsidR="00000000" w:rsidRPr="00000000">
              <w:rPr>
                <w:i w:val="1"/>
                <w:iCs w:val="1"/>
                <w:color w:val="444444"/>
                <w:rtl w:val="0"/>
              </w:rPr>
              <w:t xml:space="preserve">Energies — MDPI</w:t>
              <w:br w:type="textWrapping"/>
            </w:r>
            <w:hyperlink r:id="rId11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doi.org/10.3390/en16052155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Systematically compares six ML algorithms (including RF, XGBoost, LSTM) combined with Kalman Filter frameworks for SOC estimation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Random Forest + Kalman Filter combination achieved highest accuracy and strong real-time performance, outperforming either approach individually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Hybrid architecture adds complexity; computational overhead not fully quantified for embedded/real-time deployment on vehicle hardware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Khan, Tariq &amp; Sarwat (2024)</w:t>
              <w:br w:type="textWrapping"/>
            </w:r>
            <w:r w:rsidDel="00000000" w:rsidR="00000000" w:rsidRPr="00000000">
              <w:rPr>
                <w:i w:val="1"/>
                <w:iCs w:val="1"/>
                <w:color w:val="444444"/>
                <w:rtl w:val="0"/>
              </w:rPr>
              <w:t xml:space="preserve">Energies — MDPI</w:t>
              <w:br w:type="textWrapping"/>
            </w:r>
            <w:hyperlink r:id="rId12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doi.org/10.3390/en17225582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rFonts w:ascii="Gungsuh" w:cs="Gungsuh" w:eastAsia="Gungsuh" w:hAnsi="Gungsuh"/>
                <w:sz w:val="21"/>
                <w:szCs w:val="21"/>
                <w:rtl w:val="0"/>
              </w:rPr>
              <w:t xml:space="preserve">Proposes Genetic Algorithm-tuned Random Forest for remaining capacity (SOH-adjacent) estimation, tested explicitly across varying thermal conditions (25°C to −20°C)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GA-optimized RF reduced MAE by 41–50% and RMSE by 18–31% vs. non-optimized RF baseline across tested temperature range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GA tuning adds significant training-time overhead — may work against the fast incremental-retraining goal of Phase 3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Lelli, Musa, Batista, Misul &amp; Belingardi (2023)</w:t>
              <w:br w:type="textWrapping"/>
            </w:r>
            <w:r w:rsidDel="00000000" w:rsidR="00000000" w:rsidRPr="00000000">
              <w:rPr>
                <w:i w:val="1"/>
                <w:iCs w:val="1"/>
                <w:color w:val="444444"/>
                <w:rtl w:val="0"/>
              </w:rPr>
              <w:t xml:space="preserve">Energies — MDPI</w:t>
              <w:br w:type="textWrapping"/>
            </w:r>
            <w:hyperlink r:id="rId13">
              <w:r w:rsidDel="00000000" w:rsidR="00000000" w:rsidRPr="00000000">
                <w:rPr>
                  <w:color w:val="0563c1"/>
                  <w:u w:val="single"/>
                  <w:rtl w:val="0"/>
                </w:rPr>
                <w:t xml:space="preserve">doi.org/10.3390/en16124639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Real on-road data from 12 actual vehicles at Hyundai Motor Europe test center used to estimate SOH — closest published precedent to this project's Phase 3 live-vehicle validation goal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Random Forest outperformed five other ML methods (linear regression, k-NN, SVM, CART, neural network) with up to 96–97% MAE reduction over the weakest baseline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  <w:tcMar>
              <w:top w:w="80.0" w:type="dxa"/>
              <w:left w:w="140.0" w:type="dxa"/>
              <w:bottom w:w="8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Requires specialized on-vehicle calibration tools (ETAS INCA/MDA) and manufacturer-level hardware access — a real constraint for Phase 3 hardware planning</w:t>
            </w:r>
          </w:p>
        </w:tc>
      </w:tr>
    </w:tbl>
    <w:p w:rsidR="00000000" w:rsidDel="00000000" w:rsidP="00000000" w:rsidRDefault="00000000" w:rsidRPr="00000000" w14:paraId="0000007F">
      <w:pPr>
        <w:spacing w:before="400" w:lineRule="auto"/>
        <w:ind w:left="-566.9291338582677" w:right="-615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before="400" w:lineRule="auto"/>
        <w:ind w:left="-566.9291338582677" w:right="-615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before="400" w:lineRule="auto"/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Dr. Yogendra Kumar Prajapati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Project Coordinator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Department of Electronics and Communication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ind w:left="-566.9291338582677" w:right="-615" w:firstLine="0"/>
        <w:rPr>
          <w:sz w:val="24"/>
          <w:szCs w:val="24"/>
        </w:rPr>
      </w:pPr>
      <w:r w:rsidDel="00000000" w:rsidR="00000000" w:rsidRPr="00000000">
        <w:rPr>
          <w:sz w:val="26"/>
          <w:szCs w:val="26"/>
          <w:rtl w:val="0"/>
        </w:rPr>
        <w:t xml:space="preserve">MNNIT Allahabad, Prayagraj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275.5905511811022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/>
    <w:rPr/>
    <w:tblPr>
      <w:tblStyleRowBandSize w:val="1"/>
      <w:tblStyleColBandSize w:val="1"/>
      <w:tblCellMar/>
    </w:tblPr>
    <w:tblStylePr w:type="band1Horz">
      <w:pPr/>
      <w:rPr/>
      <w:tcPr/>
    </w:tblStylePr>
    <w:tblStylePr w:type="band1Vert">
      <w:pPr/>
      <w:rPr/>
      <w:tcPr/>
    </w:tblStylePr>
    <w:tblStylePr w:type="band2Horz">
      <w:pPr/>
      <w:rPr/>
      <w:tcPr/>
    </w:tblStylePr>
    <w:tblStylePr w:type="band2Vert">
      <w:pPr/>
      <w:rPr/>
      <w:tcPr/>
    </w:tblStylePr>
    <w:tblStylePr w:type="firstCol">
      <w:pPr/>
      <w:rPr/>
      <w:tcPr/>
    </w:tblStylePr>
    <w:tblStylePr w:type="firstRow">
      <w:pPr/>
      <w:rPr/>
      <w:tcPr/>
    </w:tblStylePr>
    <w:tblStylePr w:type="lastCol">
      <w:pPr/>
      <w:rPr/>
      <w:tcPr/>
    </w:tblStylePr>
    <w:tblStylePr w:type="lastRow">
      <w:pPr/>
      <w:rPr/>
      <w:tcPr/>
    </w:tblStylePr>
    <w:tblStylePr w:type="neCell">
      <w:pPr/>
      <w:rPr/>
      <w:tcPr/>
    </w:tblStylePr>
    <w:tblStylePr w:type="nwCell">
      <w:pPr/>
      <w:rPr/>
      <w:tcPr/>
    </w:tblStylePr>
    <w:tblStylePr w:type="seCell">
      <w:pPr/>
      <w:rPr/>
      <w:tcPr/>
    </w:tblStylePr>
    <w:tblStylePr w:type="swCell">
      <w:pPr/>
      <w:rPr/>
      <w:tcPr/>
    </w:tblStylePr>
  </w:style>
  <w:style w:type="table" w:styleId="Table4">
    <w:basedOn w:val="TableNormal"/>
    <w:pPr/>
    <w:rPr/>
    <w:tblPr>
      <w:tblStyleRowBandSize w:val="1"/>
      <w:tblStyleColBandSize w:val="1"/>
      <w:tblCellMar/>
    </w:tblPr>
    <w:tblStylePr w:type="band1Horz">
      <w:pPr/>
      <w:rPr/>
      <w:tcPr/>
    </w:tblStylePr>
    <w:tblStylePr w:type="band1Vert">
      <w:pPr/>
      <w:rPr/>
      <w:tcPr/>
    </w:tblStylePr>
    <w:tblStylePr w:type="band2Horz">
      <w:pPr/>
      <w:rPr/>
      <w:tcPr/>
    </w:tblStylePr>
    <w:tblStylePr w:type="band2Vert">
      <w:pPr/>
      <w:rPr/>
      <w:tcPr/>
    </w:tblStylePr>
    <w:tblStylePr w:type="firstCol">
      <w:pPr/>
      <w:rPr/>
      <w:tcPr/>
    </w:tblStylePr>
    <w:tblStylePr w:type="firstRow">
      <w:pPr/>
      <w:rPr/>
      <w:tcPr/>
    </w:tblStylePr>
    <w:tblStylePr w:type="lastCol">
      <w:pPr/>
      <w:rPr/>
      <w:tcPr/>
    </w:tblStylePr>
    <w:tblStylePr w:type="lastRow">
      <w:pPr/>
      <w:rPr/>
      <w:tcPr/>
    </w:tblStylePr>
    <w:tblStylePr w:type="neCell">
      <w:pPr/>
      <w:rPr/>
      <w:tcPr/>
    </w:tblStylePr>
    <w:tblStylePr w:type="nwCell">
      <w:pPr/>
      <w:rPr/>
      <w:tcPr/>
    </w:tblStylePr>
    <w:tblStylePr w:type="seCell">
      <w:pPr/>
      <w:rPr/>
      <w:tcPr/>
    </w:tblStylePr>
    <w:tblStylePr w:type="swCell">
      <w:pPr/>
      <w:rPr/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i.org/10.3390/en16052155" TargetMode="External"/><Relationship Id="rId10" Type="http://schemas.openxmlformats.org/officeDocument/2006/relationships/hyperlink" Target="https://doi.org/10.1016/j.geits.2024.100177" TargetMode="External"/><Relationship Id="rId13" Type="http://schemas.openxmlformats.org/officeDocument/2006/relationships/hyperlink" Target="https://doi.org/10.3390/en16124639" TargetMode="External"/><Relationship Id="rId12" Type="http://schemas.openxmlformats.org/officeDocument/2006/relationships/hyperlink" Target="https://doi.org/10.3390/en1722558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ature.com/articles/s41598-025-94946-7" TargetMode="Externa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