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DD46" w14:textId="77777777" w:rsidR="00BD59AE" w:rsidRDefault="00000000">
      <w:pPr>
        <w:pStyle w:val="Heading1"/>
      </w:pPr>
      <w:bookmarkStart w:id="0" w:name="carleton-university"/>
      <w:r>
        <w:t>Carleton University</w:t>
      </w:r>
    </w:p>
    <w:p w14:paraId="1B4BBEC4" w14:textId="77777777" w:rsidR="00BD59AE" w:rsidRDefault="00000000">
      <w:pPr>
        <w:pStyle w:val="FirstParagraph"/>
      </w:pPr>
      <w:r>
        <w:rPr>
          <w:b/>
          <w:bCs/>
        </w:rPr>
        <w:t>Department of Systems and Computer Engineering</w:t>
      </w:r>
      <w:r>
        <w:t xml:space="preserve"> </w:t>
      </w:r>
      <w:r>
        <w:rPr>
          <w:b/>
          <w:bCs/>
        </w:rPr>
        <w:t>SYSC 5104 – Methodologies for Discrete Event Modelling and Simulation</w:t>
      </w:r>
    </w:p>
    <w:p w14:paraId="43E23441" w14:textId="77777777" w:rsidR="00BD59AE" w:rsidRDefault="00000000">
      <w:pPr>
        <w:pStyle w:val="Heading2"/>
      </w:pPr>
      <w:bookmarkStart w:id="1" w:name="assignment-2"/>
      <w:r>
        <w:t>Assignment 2</w:t>
      </w:r>
    </w:p>
    <w:p w14:paraId="628F792D" w14:textId="352895F4" w:rsidR="00503C15" w:rsidRDefault="00000000" w:rsidP="00503C15">
      <w:pPr>
        <w:pStyle w:val="FirstParagraph"/>
      </w:pPr>
      <w:r>
        <w:rPr>
          <w:b/>
          <w:bCs/>
        </w:rPr>
        <w:t>Student Name:</w:t>
      </w:r>
      <w:r>
        <w:t xml:space="preserve"> William Wang </w:t>
      </w:r>
      <w:r>
        <w:rPr>
          <w:b/>
          <w:bCs/>
        </w:rPr>
        <w:t>Student ID:</w:t>
      </w:r>
      <w:r>
        <w:t xml:space="preserve"> 101191168</w:t>
      </w:r>
    </w:p>
    <w:p w14:paraId="30844469" w14:textId="1A30C4CF" w:rsidR="00503C15" w:rsidRPr="00503C15" w:rsidRDefault="00503C15" w:rsidP="00503C15">
      <w:pPr>
        <w:pStyle w:val="BodyText"/>
        <w:rPr>
          <w:rFonts w:hint="eastAsia"/>
          <w:lang w:eastAsia="zh-CN"/>
        </w:rPr>
      </w:pPr>
      <w:r w:rsidRPr="00503C15">
        <w:rPr>
          <w:lang w:eastAsia="zh-CN"/>
        </w:rPr>
        <w:t>GitHub repository:</w:t>
      </w:r>
      <w:r w:rsidRPr="00503C15">
        <w:rPr>
          <w:lang w:eastAsia="zh-CN"/>
        </w:rPr>
        <w:br/>
      </w:r>
      <w:r w:rsidRPr="00503C15">
        <w:rPr>
          <w:rFonts w:ascii="Segoe UI Emoji" w:hAnsi="Segoe UI Emoji" w:cs="Segoe UI Emoji"/>
          <w:lang w:eastAsia="zh-CN"/>
        </w:rPr>
        <w:t>🔗</w:t>
      </w:r>
      <w:r w:rsidRPr="00503C15">
        <w:rPr>
          <w:lang w:eastAsia="zh-CN"/>
        </w:rPr>
        <w:t xml:space="preserve"> </w:t>
      </w:r>
      <w:hyperlink r:id="rId7" w:tgtFrame="_new" w:history="1">
        <w:r w:rsidRPr="00503C15">
          <w:rPr>
            <w:rStyle w:val="Hyperlink"/>
            <w:lang w:eastAsia="zh-CN"/>
          </w:rPr>
          <w:t>https://github.com/RTGTX7/gray-scott-cellular</w:t>
        </w:r>
      </w:hyperlink>
    </w:p>
    <w:p w14:paraId="639C9B41" w14:textId="77777777" w:rsidR="00BD59AE" w:rsidRDefault="00000000">
      <w:pPr>
        <w:pStyle w:val="Heading3"/>
      </w:pPr>
      <w:bookmarkStart w:id="2" w:name="introduction"/>
      <w:r>
        <w:t>1. Introduction</w:t>
      </w:r>
    </w:p>
    <w:p w14:paraId="47CE0E8B" w14:textId="4BC290C0" w:rsidR="00BD59AE" w:rsidRDefault="00000000" w:rsidP="00503C15">
      <w:pPr>
        <w:pStyle w:val="FirstParagraph"/>
      </w:pPr>
      <w:r>
        <w:t xml:space="preserve">For this assignment, I have chosen to simulate the model presented in John E. Pearson’s paper </w:t>
      </w:r>
      <w:r>
        <w:rPr>
          <w:i/>
          <w:iCs/>
        </w:rPr>
        <w:t>“Complex Patterns in a Simple System”</w:t>
      </w:r>
      <w:r>
        <w:t xml:space="preserve"> (Science, 1993), which investigates reaction-diffusion dynamics through the Gray-Scott model. This system simulates complex spatial patterns such as spots, stripes, and waves emerging from simple chemical interactions. The model is well-suited for implementation in the Cell-DEVS formalism due to its grid-based and time-evolving nature.</w:t>
      </w:r>
    </w:p>
    <w:p w14:paraId="4710C3A9" w14:textId="77777777" w:rsidR="00BD59AE" w:rsidRDefault="00000000">
      <w:pPr>
        <w:pStyle w:val="Heading3"/>
      </w:pPr>
      <w:bookmarkStart w:id="3" w:name="overview-of-the-chosen-model"/>
      <w:bookmarkEnd w:id="2"/>
      <w:r>
        <w:t>2. Overview of the Chosen Model</w:t>
      </w:r>
    </w:p>
    <w:p w14:paraId="692F0A13" w14:textId="77777777" w:rsidR="00BD59AE" w:rsidRDefault="00000000">
      <w:pPr>
        <w:pStyle w:val="FirstParagraph"/>
      </w:pPr>
      <w:r>
        <w:t xml:space="preserve">The Gray-Scott model at the core of Pearson’s work describes two reacting and diffusing chemicals, </w:t>
      </w:r>
      <w:r>
        <w:rPr>
          <w:b/>
          <w:bCs/>
        </w:rPr>
        <w:t>u</w:t>
      </w:r>
      <w:r>
        <w:t xml:space="preserve"> and </w:t>
      </w:r>
      <w:r>
        <w:rPr>
          <w:b/>
          <w:bCs/>
        </w:rPr>
        <w:t>v</w:t>
      </w:r>
      <w:r>
        <w:t>, governed by the following partial differential equations:</w:t>
      </w:r>
    </w:p>
    <w:p w14:paraId="4CA27961" w14:textId="77777777" w:rsidR="00BD59AE" w:rsidRDefault="00000000">
      <w:pPr>
        <w:pStyle w:val="BodyText"/>
      </w:pPr>
      <w:r>
        <w:rPr>
          <w:b/>
          <w:bCs/>
        </w:rPr>
        <w:t>Reaction Equations:</w:t>
      </w:r>
    </w:p>
    <w:p w14:paraId="10176F75" w14:textId="77777777" w:rsidR="00BD59AE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6E1BA096" w14:textId="77777777" w:rsidR="00BD59AE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34EC8677" w14:textId="77777777" w:rsidR="00BD59AE" w:rsidRDefault="00000000">
      <w:pPr>
        <w:pStyle w:val="FirstParagraph"/>
      </w:pPr>
      <w:r>
        <w:t>These equations contain both diffusion and reaction terms:</w:t>
      </w:r>
    </w:p>
    <w:p w14:paraId="70EF5353" w14:textId="52C3691E" w:rsidR="00BD59AE" w:rsidRDefault="00000000">
      <w:pPr>
        <w:pStyle w:val="BodyText"/>
      </w:pPr>
      <w:r>
        <w:t xml:space="preserve">The diffusion terms,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and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</m:oMath>
      <w:r>
        <w:t xml:space="preserve"> ), describe the spatial spread of chemical concentrations. In the implementation, the Laplacian is approximated by summing the values of neighboring cells and subtracting four times the center value, following a fourth-order finite difference scheme.</w:t>
      </w:r>
    </w:p>
    <w:p w14:paraId="285C9E06" w14:textId="77777777" w:rsidR="00BD59AE" w:rsidRDefault="00000000">
      <w:pPr>
        <w:pStyle w:val="BodyText"/>
      </w:pPr>
      <w:r>
        <w:t xml:space="preserve">The reaction term (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) drives the nonlinear interaction between the two chemicals, where u is </w:t>
      </w:r>
      <w:proofErr w:type="gramStart"/>
      <w:r>
        <w:t>consumed</w:t>
      </w:r>
      <w:proofErr w:type="gramEnd"/>
      <w:r>
        <w:t xml:space="preserve"> and v is produced. This nonlinearity is key to generating complex spatial patterns.</w:t>
      </w:r>
    </w:p>
    <w:p w14:paraId="04272439" w14:textId="7D5A1ACF" w:rsidR="00BD59AE" w:rsidRDefault="00000000">
      <w:pPr>
        <w:pStyle w:val="BodyText"/>
      </w:pPr>
      <w:r>
        <w:t xml:space="preserve">The feed and decay terms control how much of each chemical is injected or removed. The expression </w:t>
      </w:r>
      <w:proofErr w:type="gramStart"/>
      <w:r>
        <w:t>f(</w:t>
      </w:r>
      <w:proofErr w:type="gramEnd"/>
      <w:r>
        <w:t xml:space="preserve">1 - u) adds u into the system, while (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v</m:t>
        </m:r>
      </m:oMath>
      <w:r>
        <w:t xml:space="preserve"> ) removes v from it.</w:t>
      </w:r>
    </w:p>
    <w:p w14:paraId="6CA56297" w14:textId="3153761A" w:rsidR="00BD59AE" w:rsidRDefault="00000000">
      <w:pPr>
        <w:pStyle w:val="BodyText"/>
      </w:pPr>
      <w:r>
        <w:lastRenderedPageBreak/>
        <w:t>Adjusting the parameters</w:t>
      </w:r>
      <m:oMath>
        <m:r>
          <w:rPr>
            <w:rFonts w:ascii="Cambria Math" w:hAnsi="Cambria Math"/>
          </w:rPr>
          <m:t>f,k,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, one can produce various stable and dynamic patterns, such as spots, stripes, and waves.</w:t>
      </w:r>
    </w:p>
    <w:p w14:paraId="1FC42A6D" w14:textId="77777777" w:rsidR="00BD59AE" w:rsidRDefault="00000000">
      <w:pPr>
        <w:pStyle w:val="Heading3"/>
      </w:pPr>
      <w:bookmarkStart w:id="4" w:name="representation-as-a-cell-devs-model"/>
      <w:bookmarkEnd w:id="3"/>
      <w:r>
        <w:t>3. Representation as a Cell-DEVS Model</w:t>
      </w:r>
    </w:p>
    <w:p w14:paraId="439C5CE8" w14:textId="77777777" w:rsidR="00BD59AE" w:rsidRDefault="00000000">
      <w:pPr>
        <w:pStyle w:val="FirstParagraph"/>
      </w:pPr>
      <w:r>
        <w:t>The Cell-DEVS implementation of the Gray-Scott model consists of the following:</w:t>
      </w:r>
    </w:p>
    <w:p w14:paraId="60A50ACB" w14:textId="77777777" w:rsidR="00BD59A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Cells:</w:t>
      </w:r>
      <w:r>
        <w:t xml:space="preserve"> Each cell holds state variables </w:t>
      </w:r>
      <w:proofErr w:type="spellStart"/>
      <w:r>
        <w:t>uu</w:t>
      </w:r>
      <w:r>
        <w:rPr>
          <w:b/>
          <w:bCs/>
        </w:rPr>
        <w:t>u</w:t>
      </w:r>
      <w:proofErr w:type="spellEnd"/>
      <w:r>
        <w:t xml:space="preserve"> and </w:t>
      </w:r>
      <w:proofErr w:type="spellStart"/>
      <w:r>
        <w:t>vv</w:t>
      </w:r>
      <w:r>
        <w:rPr>
          <w:b/>
          <w:bCs/>
        </w:rPr>
        <w:t>v</w:t>
      </w:r>
      <w:proofErr w:type="spellEnd"/>
      <w:r>
        <w:t>, representing chemical concentrations. The state is updated based on both local reactions and diffusion from neighbors.</w:t>
      </w:r>
    </w:p>
    <w:p w14:paraId="369BF7C5" w14:textId="77777777" w:rsidR="00BD59A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Neighborhood:</w:t>
      </w:r>
      <w:r>
        <w:t xml:space="preserve"> A Moore neighborhood (8 adjacent cells plus itself) is used for spatial interaction.</w:t>
      </w:r>
    </w:p>
    <w:p w14:paraId="187D1B3B" w14:textId="77777777" w:rsidR="00BD59A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Transition Rules:</w:t>
      </w:r>
      <w:r>
        <w:t xml:space="preserve"> The update rules use the reaction-diffusion equations to evolve concentrations over time.</w:t>
      </w:r>
    </w:p>
    <w:p w14:paraId="128A7809" w14:textId="77777777" w:rsidR="00BD59A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Coupling:</w:t>
      </w:r>
      <w:r>
        <w:t xml:space="preserve"> Diffusion across neighboring cells is modeled via coupling, while reaction occurs locally within each cell.</w:t>
      </w:r>
    </w:p>
    <w:p w14:paraId="652B9D53" w14:textId="77777777" w:rsidR="00BD59AE" w:rsidRDefault="00000000">
      <w:pPr>
        <w:pStyle w:val="FirstParagraph"/>
      </w:pPr>
      <w:r>
        <w:t>The grid uses periodic boundary conditions to ensure that the edges wrap around, allowing interaction across boundaries and forming a continuous surface for pattern propagation.</w:t>
      </w:r>
    </w:p>
    <w:p w14:paraId="553F71DC" w14:textId="77777777" w:rsidR="00BD59AE" w:rsidRDefault="00000000">
      <w:pPr>
        <w:pStyle w:val="Heading3"/>
      </w:pPr>
      <w:bookmarkStart w:id="5" w:name="formal-specifications"/>
      <w:bookmarkEnd w:id="4"/>
      <w:r>
        <w:t>Formal Specifications</w:t>
      </w:r>
    </w:p>
    <w:p w14:paraId="7DFFF6A9" w14:textId="77777777" w:rsidR="00BD59AE" w:rsidRDefault="00000000">
      <w:pPr>
        <w:pStyle w:val="Heading4"/>
      </w:pPr>
      <w:bookmarkStart w:id="6" w:name="atomic-cell-devs"/>
      <w:r>
        <w:t>Atomic Cell-DEVS</w:t>
      </w:r>
    </w:p>
    <w:p w14:paraId="5FA6A741" w14:textId="77777777" w:rsidR="00BD59AE" w:rsidRDefault="00000000">
      <w:pPr>
        <w:pStyle w:val="FirstParagraph"/>
      </w:pPr>
      <w:proofErr w:type="spellStart"/>
      <w:r>
        <w:rPr>
          <w:b/>
          <w:bCs/>
        </w:rPr>
        <w:t>GrayScottCell</w:t>
      </w:r>
      <w:proofErr w:type="spellEnd"/>
      <w:r>
        <w:t xml:space="preserve"> (Atomic Cell-DEVS)</w:t>
      </w:r>
    </w:p>
    <w:p w14:paraId="176B5E2E" w14:textId="77777777" w:rsidR="00BD59AE" w:rsidRDefault="00000000">
      <w:pPr>
        <w:pStyle w:val="BodyText"/>
      </w:pPr>
      <w:proofErr w:type="spellStart"/>
      <m:oMathPara>
        <m:oMathParaPr>
          <m:jc m:val="center"/>
        </m:oMathParaPr>
        <m:oMath>
          <m:r>
            <m:rPr>
              <m:nor/>
            </m:rPr>
            <m:t>GrayScottCell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=⟨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nor/>
                </m:rPr>
                <m:t>int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nor/>
                </m:rPr>
                <m:t>ext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 λ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 d</m:t>
          </m:r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0D08BDF7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t>X</w:t>
      </w:r>
      <w:r>
        <w:t>: Set of external input events</w:t>
      </w:r>
    </w:p>
    <w:p w14:paraId="236C6980" w14:textId="01337852" w:rsidR="00BD59AE" w:rsidRDefault="00000000">
      <w:pPr>
        <w:numPr>
          <w:ilvl w:val="0"/>
          <w:numId w:val="1"/>
        </w:numPr>
      </w:pPr>
      <w:r>
        <w:t>X =</w:t>
      </w:r>
      <m:oMath>
        <m:r>
          <w:rPr>
            <w:rFonts w:ascii="Cambria Math" w:hAnsi="Cambria Math"/>
          </w:rPr>
          <m:t xml:space="preserve"> {u,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where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represents the concentrations from a neighboring cell.</w:t>
      </w:r>
    </w:p>
    <w:p w14:paraId="111812E4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t>Y</w:t>
      </w:r>
      <w:r>
        <w:t>: Set of external output events</w:t>
      </w:r>
    </w:p>
    <w:p w14:paraId="639981ED" w14:textId="5A071888" w:rsidR="00BD59AE" w:rsidRDefault="00000000">
      <w:pPr>
        <w:numPr>
          <w:ilvl w:val="0"/>
          <w:numId w:val="1"/>
        </w:numPr>
      </w:pPr>
      <w:r>
        <w:t xml:space="preserve">Each cell sends its updated concentration values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to its neighbors. Hence, 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14:paraId="131A5DC8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t>S</w:t>
      </w:r>
      <w:r>
        <w:t>: Set of internal cell states</w:t>
      </w:r>
    </w:p>
    <w:p w14:paraId="758C7EB8" w14:textId="77777777" w:rsidR="00BD59AE" w:rsidRDefault="00000000">
      <w:pPr>
        <w:numPr>
          <w:ilvl w:val="0"/>
          <w:numId w:val="1"/>
        </w:numPr>
      </w:pPr>
      <w:r>
        <w:t xml:space="preserve">In the </w:t>
      </w:r>
      <w:proofErr w:type="spellStart"/>
      <w:r>
        <w:rPr>
          <w:rStyle w:val="VerbatimChar"/>
        </w:rPr>
        <w:t>grayScottState</w:t>
      </w:r>
      <w:proofErr w:type="spellEnd"/>
      <w:r>
        <w:t xml:space="preserve"> class, each cell holds:</w:t>
      </w:r>
    </w:p>
    <w:p w14:paraId="29E65A79" w14:textId="77777777" w:rsidR="00BD59AE" w:rsidRDefault="00000000">
      <w:pPr>
        <w:pStyle w:val="Compact"/>
        <w:numPr>
          <w:ilvl w:val="1"/>
          <w:numId w:val="4"/>
        </w:numPr>
      </w:pPr>
      <w:r>
        <w:t xml:space="preserve">Two real-valued concentrations: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</w:p>
    <w:p w14:paraId="052990BA" w14:textId="77777777" w:rsidR="00BD59AE" w:rsidRDefault="00000000">
      <w:pPr>
        <w:pStyle w:val="Compact"/>
        <w:numPr>
          <w:ilvl w:val="1"/>
          <w:numId w:val="4"/>
        </w:numPr>
      </w:pPr>
      <w:r>
        <w:t xml:space="preserve">A derived value </w:t>
      </w:r>
      <w:proofErr w:type="spellStart"/>
      <w:r>
        <w:rPr>
          <w:rStyle w:val="VerbatimChar"/>
        </w:rPr>
        <w:t>v_ratio</w:t>
      </w:r>
      <w:proofErr w:type="spellEnd"/>
      <w:r>
        <w:t xml:space="preserve">, representing the ratio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v</m:t>
            </m:r>
          </m:den>
        </m:f>
      </m:oMath>
    </w:p>
    <w:p w14:paraId="26A1EEF6" w14:textId="77777777" w:rsidR="00BD59AE" w:rsidRDefault="00000000">
      <w:pPr>
        <w:numPr>
          <w:ilvl w:val="0"/>
          <w:numId w:val="1"/>
        </w:numPr>
      </w:pPr>
      <w:r>
        <w:t>Simplified formally as:</w:t>
      </w:r>
    </w:p>
    <w:p w14:paraId="2D592078" w14:textId="77777777" w:rsidR="00BD59A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∈R}</m:t>
          </m:r>
        </m:oMath>
      </m:oMathPara>
    </w:p>
    <w:p w14:paraId="4F3F71E9" w14:textId="77777777" w:rsidR="00BD59AE" w:rsidRDefault="00000000">
      <w:pPr>
        <w:numPr>
          <w:ilvl w:val="0"/>
          <w:numId w:val="1"/>
        </w:numPr>
      </w:pPr>
      <w:r>
        <w:t xml:space="preserve">By default,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0.0</m:t>
            </m:r>
          </m:e>
        </m:d>
      </m:oMath>
    </w:p>
    <w:p w14:paraId="5001DB13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N</w:t>
      </w:r>
      <w:r>
        <w:t>: Neighborhood definition</w:t>
      </w:r>
    </w:p>
    <w:p w14:paraId="723E432A" w14:textId="77777777" w:rsidR="00BD59AE" w:rsidRDefault="00000000">
      <w:pPr>
        <w:numPr>
          <w:ilvl w:val="0"/>
          <w:numId w:val="1"/>
        </w:numPr>
      </w:pPr>
      <w:r>
        <w:t xml:space="preserve">On a 2D discrete grid, a cell at position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e>
        </m:d>
      </m:oMath>
      <w:r>
        <w:t xml:space="preserve"> uses a Moore neighborhood of radius 1 (3×3 block including itself and 8 neighbors). Formally:</w:t>
      </w:r>
    </w:p>
    <w:p w14:paraId="59A3853D" w14:textId="77777777" w:rsidR="00BD59AE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 j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Δc</m:t>
              </m:r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 Δr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Δc</m:t>
          </m:r>
          <m:r>
            <m:rPr>
              <m:sty m:val="p"/>
            </m:rPr>
            <w:rPr>
              <w:rFonts w:ascii="Cambria Math" w:hAnsi="Cambria Math"/>
            </w:rPr>
            <m:t>∈{-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}}</m:t>
          </m:r>
        </m:oMath>
      </m:oMathPara>
    </w:p>
    <w:p w14:paraId="713B4D0C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t>τ</w:t>
      </w:r>
      <w:r>
        <w:t>: Local computation function</w:t>
      </w:r>
    </w:p>
    <w:p w14:paraId="0B07C80A" w14:textId="77777777" w:rsidR="00BD59AE" w:rsidRDefault="00000000">
      <w:pPr>
        <w:numPr>
          <w:ilvl w:val="0"/>
          <w:numId w:val="1"/>
        </w:numPr>
      </w:pPr>
      <w:r>
        <w:t xml:space="preserve">Defined in </w:t>
      </w:r>
      <w:proofErr w:type="spellStart"/>
      <w:proofErr w:type="gramStart"/>
      <w:r>
        <w:rPr>
          <w:rStyle w:val="VerbatimChar"/>
        </w:rPr>
        <w:t>grayScott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localComputation</w:t>
      </w:r>
      <w:proofErr w:type="spellEnd"/>
      <w:r>
        <w:rPr>
          <w:rStyle w:val="VerbatimChar"/>
        </w:rPr>
        <w:t>(...)</w:t>
      </w:r>
      <w:r>
        <w:t>, this function performs the core update step per time unit.</w:t>
      </w:r>
    </w:p>
    <w:p w14:paraId="4491D2B7" w14:textId="77777777" w:rsidR="00BD59AE" w:rsidRDefault="00000000">
      <w:pPr>
        <w:numPr>
          <w:ilvl w:val="1"/>
          <w:numId w:val="5"/>
        </w:numPr>
      </w:pPr>
      <w:r>
        <w:rPr>
          <w:b/>
          <w:bCs/>
        </w:rPr>
        <w:t>Parameters</w:t>
      </w:r>
      <w:r>
        <w:t xml:space="preserve"> (from code, constants or configurable via JSON):</w:t>
      </w:r>
    </w:p>
    <w:p w14:paraId="294DA154" w14:textId="77777777" w:rsidR="00BD59A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</m:t>
          </m:r>
        </m:oMath>
      </m:oMathPara>
    </w:p>
    <w:p w14:paraId="2232EE1B" w14:textId="77777777" w:rsidR="00BD59AE" w:rsidRDefault="00000000">
      <w:pPr>
        <w:numPr>
          <w:ilvl w:val="1"/>
          <w:numId w:val="1"/>
        </w:numPr>
      </w:pPr>
      <w:r>
        <w:t>(Feed, Kill, and Reaction rates)</w:t>
      </w:r>
    </w:p>
    <w:p w14:paraId="16E54C71" w14:textId="77777777" w:rsidR="00BD59A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 dB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</m:t>
          </m:r>
        </m:oMath>
      </m:oMathPara>
    </w:p>
    <w:p w14:paraId="75B23B3A" w14:textId="77777777" w:rsidR="00BD59AE" w:rsidRDefault="00000000">
      <w:pPr>
        <w:numPr>
          <w:ilvl w:val="1"/>
          <w:numId w:val="1"/>
        </w:numPr>
      </w:pPr>
      <w:r>
        <w:t>(Diffusion coefficients for chemicals A and B)</w:t>
      </w:r>
    </w:p>
    <w:p w14:paraId="51971868" w14:textId="77777777" w:rsidR="00BD59A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</m:t>
          </m:r>
        </m:oMath>
      </m:oMathPara>
    </w:p>
    <w:p w14:paraId="2C901CD5" w14:textId="77777777" w:rsidR="00BD59AE" w:rsidRDefault="00000000">
      <w:pPr>
        <w:numPr>
          <w:ilvl w:val="1"/>
          <w:numId w:val="1"/>
        </w:numPr>
      </w:pPr>
      <w:r>
        <w:t>(Time step size)</w:t>
      </w:r>
    </w:p>
    <w:p w14:paraId="2FAEE30F" w14:textId="77777777" w:rsidR="00BD59AE" w:rsidRDefault="00000000">
      <w:pPr>
        <w:numPr>
          <w:ilvl w:val="1"/>
          <w:numId w:val="5"/>
        </w:numPr>
      </w:pPr>
      <w:r>
        <w:rPr>
          <w:b/>
          <w:bCs/>
        </w:rPr>
        <w:t>Discrete Laplacian calculation</w:t>
      </w:r>
      <w:r>
        <w:t xml:space="preserve"> A weighted 3×3 kernel is used to approximate the Laplacian:</w:t>
      </w:r>
    </w:p>
    <w:p w14:paraId="63497B75" w14:textId="77777777" w:rsidR="00BD59AE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mr>
              </m:m>
            </m:e>
          </m:d>
        </m:oMath>
      </m:oMathPara>
    </w:p>
    <w:p w14:paraId="15121C83" w14:textId="77777777" w:rsidR="00BD59AE" w:rsidRDefault="00000000">
      <w:pPr>
        <w:numPr>
          <w:ilvl w:val="1"/>
          <w:numId w:val="5"/>
        </w:numPr>
      </w:pPr>
      <w:r>
        <w:rPr>
          <w:b/>
          <w:bCs/>
        </w:rPr>
        <w:t>Reaction-diffusion equations</w:t>
      </w:r>
      <w:r>
        <w:t xml:space="preserve"> 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represent the concentrations of chemicals A and B:</w:t>
      </w:r>
    </w:p>
    <w:p w14:paraId="72DC7B5E" w14:textId="77777777" w:rsidR="00BD59AE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dA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 u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75C4AE" w14:textId="77777777" w:rsidR="00BD59AE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dB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 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 u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0700AF" w14:textId="77777777" w:rsidR="00BD59AE" w:rsidRDefault="00000000">
      <w:pPr>
        <w:numPr>
          <w:ilvl w:val="1"/>
          <w:numId w:val="5"/>
        </w:numPr>
      </w:pPr>
      <w:r>
        <w:rPr>
          <w:b/>
          <w:bCs/>
        </w:rPr>
        <w:t>Update step using Euler integration</w:t>
      </w:r>
      <w:r>
        <w:t>:</w:t>
      </w:r>
    </w:p>
    <w:p w14:paraId="0BB1F944" w14:textId="77777777" w:rsidR="00BD59A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 v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</m:t>
          </m:r>
        </m:oMath>
      </m:oMathPara>
    </w:p>
    <w:p w14:paraId="45B46850" w14:textId="77777777" w:rsidR="00BD59AE" w:rsidRDefault="00000000">
      <w:pPr>
        <w:numPr>
          <w:ilvl w:val="1"/>
          <w:numId w:val="5"/>
        </w:numPr>
      </w:pPr>
      <w:r>
        <w:rPr>
          <w:b/>
          <w:bCs/>
        </w:rPr>
        <w:t>Additional computation</w:t>
      </w:r>
      <w:r>
        <w:t xml:space="preserve">: The code also calculates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ratio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with a fallback value (e.g., 0.5) to avoid division by zero.</w:t>
      </w:r>
    </w:p>
    <w:p w14:paraId="3512B143" w14:textId="77777777" w:rsidR="00BD59AE" w:rsidRDefault="00000000">
      <w:pPr>
        <w:numPr>
          <w:ilvl w:val="0"/>
          <w:numId w:val="1"/>
        </w:numPr>
      </w:pPr>
      <w:r>
        <w:t xml:space="preserve">Therefore, the update function </w:t>
      </w:r>
      <m:oMath>
        <m:r>
          <w:rPr>
            <w:rFonts w:ascii="Cambria Math" w:hAnsi="Cambria Math"/>
          </w:rPr>
          <m:t>τ</m:t>
        </m:r>
      </m:oMath>
      <w:r>
        <w:t xml:space="preserve"> can be expressed as:</w:t>
      </w:r>
    </w:p>
    <w:p w14:paraId="292715E8" w14:textId="77777777" w:rsidR="00BD59A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⟨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⟩</m:t>
                  </m:r>
                </m:e>
                <m:sub>
                  <m:r>
                    <m:rPr>
                      <m:nor/>
                    </m:rPr>
                    <m:t>neighbors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 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 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 u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 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 v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dB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 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r u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 dt</m:t>
              </m:r>
            </m:e>
          </m:d>
        </m:oMath>
      </m:oMathPara>
    </w:p>
    <w:p w14:paraId="5B803275" w14:textId="77777777" w:rsidR="00BD59AE" w:rsidRDefault="00000000">
      <w:pPr>
        <w:numPr>
          <w:ilvl w:val="0"/>
          <w:numId w:val="3"/>
        </w:numPr>
      </w:pPr>
      <w:proofErr w:type="spellStart"/>
      <w:r>
        <w:rPr>
          <w:b/>
          <w:bCs/>
        </w:rPr>
        <w:t>δint</w:t>
      </w:r>
      <w:proofErr w:type="spellEnd"/>
      <w:r>
        <w:t>: Internal transition function</w:t>
      </w:r>
    </w:p>
    <w:p w14:paraId="601C8FCA" w14:textId="77777777" w:rsidR="00BD59AE" w:rsidRDefault="00000000">
      <w:pPr>
        <w:numPr>
          <w:ilvl w:val="0"/>
          <w:numId w:val="1"/>
        </w:numPr>
      </w:pPr>
      <w:r>
        <w:t xml:space="preserve">In Cadmium’s </w:t>
      </w:r>
      <w:proofErr w:type="spellStart"/>
      <w:r>
        <w:rPr>
          <w:rStyle w:val="VerbatimChar"/>
        </w:rPr>
        <w:t>GridCell</w:t>
      </w:r>
      <w:proofErr w:type="spellEnd"/>
      <w:r>
        <w:t xml:space="preserve"> class, this is tightly linked with </w:t>
      </w:r>
      <w:proofErr w:type="spellStart"/>
      <w:proofErr w:type="gramStart"/>
      <w:r>
        <w:rPr>
          <w:rStyle w:val="VerbatimChar"/>
        </w:rPr>
        <w:t>localComputation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. When the internal timer expires (according to </w:t>
      </w:r>
      <m:oMath>
        <m:r>
          <w:rPr>
            <w:rFonts w:ascii="Cambria Math" w:hAnsi="Cambria Math"/>
          </w:rPr>
          <m:t>d</m:t>
        </m:r>
      </m:oMath>
      <w:r>
        <w:t xml:space="preserve">), the state is updated using </w:t>
      </w:r>
      <m:oMath>
        <m:r>
          <w:rPr>
            <w:rFonts w:ascii="Cambria Math" w:hAnsi="Cambria Math"/>
          </w:rPr>
          <m:t>τ</m:t>
        </m:r>
      </m:oMath>
      <w:r>
        <w:t>.</w:t>
      </w:r>
    </w:p>
    <w:p w14:paraId="42C517B1" w14:textId="77777777" w:rsidR="00BD59AE" w:rsidRDefault="00000000">
      <w:pPr>
        <w:numPr>
          <w:ilvl w:val="0"/>
          <w:numId w:val="3"/>
        </w:numPr>
      </w:pPr>
      <w:proofErr w:type="spellStart"/>
      <w:r>
        <w:rPr>
          <w:b/>
          <w:bCs/>
        </w:rPr>
        <w:t>δext</w:t>
      </w:r>
      <w:proofErr w:type="spellEnd"/>
      <w:r>
        <w:t>: External transition function</w:t>
      </w:r>
    </w:p>
    <w:p w14:paraId="1E2ABCF1" w14:textId="77777777" w:rsidR="00BD59AE" w:rsidRDefault="00000000">
      <w:pPr>
        <w:numPr>
          <w:ilvl w:val="0"/>
          <w:numId w:val="1"/>
        </w:numPr>
      </w:pPr>
      <w:r>
        <w:t xml:space="preserve">If inputs from neighbors arrive earlier than scheduled, they are buffered until the next internal transition. Handled automatically by the </w:t>
      </w:r>
      <w:proofErr w:type="spellStart"/>
      <w:r>
        <w:rPr>
          <w:rStyle w:val="VerbatimChar"/>
        </w:rPr>
        <w:t>GridCell</w:t>
      </w:r>
      <w:proofErr w:type="spellEnd"/>
      <w:r>
        <w:t xml:space="preserve"> framework.</w:t>
      </w:r>
    </w:p>
    <w:p w14:paraId="689F22A5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t>λ</w:t>
      </w:r>
      <w:r>
        <w:t>: Output function</w:t>
      </w:r>
    </w:p>
    <w:p w14:paraId="3C00FD84" w14:textId="20515C63" w:rsidR="00BD59AE" w:rsidRDefault="00000000">
      <w:pPr>
        <w:numPr>
          <w:ilvl w:val="0"/>
          <w:numId w:val="1"/>
        </w:numPr>
      </w:pPr>
      <w:r>
        <w:t xml:space="preserve">After each internal transition, the cell outputs its updated state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to its neighbors. Formally,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=s</m:t>
        </m:r>
      </m:oMath>
      <w:r>
        <w:t xml:space="preserve"> the current state is the output.</w:t>
      </w:r>
    </w:p>
    <w:p w14:paraId="0D0A882C" w14:textId="77777777" w:rsidR="00BD59AE" w:rsidRDefault="00000000">
      <w:pPr>
        <w:numPr>
          <w:ilvl w:val="0"/>
          <w:numId w:val="3"/>
        </w:numPr>
      </w:pPr>
      <w:r>
        <w:rPr>
          <w:b/>
          <w:bCs/>
        </w:rPr>
        <w:t>d</w:t>
      </w:r>
      <w:r>
        <w:t xml:space="preserve">: Time advance function </w:t>
      </w:r>
      <w:proofErr w:type="gramStart"/>
      <w:r>
        <w:t>In</w:t>
      </w:r>
      <w:proofErr w:type="gramEnd"/>
      <w:r>
        <w:t xml:space="preserve"> the code, </w:t>
      </w:r>
      <w:proofErr w:type="spellStart"/>
      <w:r>
        <w:rPr>
          <w:rStyle w:val="VerbatimChar"/>
        </w:rPr>
        <w:t>outputDelay</w:t>
      </w:r>
      <w:proofErr w:type="spellEnd"/>
      <w:r>
        <w:rPr>
          <w:rStyle w:val="VerbatimChar"/>
        </w:rPr>
        <w:t>(...)</w:t>
      </w:r>
      <w:r>
        <w:t xml:space="preserve"> returns a fixed value of 1.0, meaning each cell triggers an internal event every 1 simulation time unit. Therefore,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</m:t>
        </m:r>
      </m:oMath>
    </w:p>
    <w:p w14:paraId="6816C3F1" w14:textId="77777777" w:rsidR="00BD59AE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w:proofErr w:type="spellStart"/>
                <m:r>
                  <m:rPr>
                    <m:nor/>
                  </m:rPr>
                  <m:t>GrayScottCell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/>
                  </w:rPr>
                  <m:t>=⟨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⟨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⟩∈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},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⟨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⟩∈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},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∈R},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Δr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Δc</m:t>
                    </m:r>
                  </m:e>
                </m:d>
                <m:r>
                  <w:rPr>
                    <w:rFonts w:ascii="Cambria Math" w:hAnsi="Cambria Math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 Δr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Δc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,+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}},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 τ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(Gray-Scott update)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nor/>
                      </m:rPr>
                      <m:t>int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nor/>
                      </m:rPr>
                      <m:t>ext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 λ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 d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⟩</m:t>
                </m:r>
              </m:e>
            </m:mr>
          </m:m>
        </m:oMath>
      </m:oMathPara>
    </w:p>
    <w:p w14:paraId="4C67EB16" w14:textId="77777777" w:rsidR="00BD59AE" w:rsidRDefault="00000000">
      <w:r>
        <w:pict w14:anchorId="2D1FB834">
          <v:rect id="_x0000_i1026" style="width:0;height:1.5pt" o:hralign="center" o:hrstd="t" o:hr="t"/>
        </w:pict>
      </w:r>
    </w:p>
    <w:p w14:paraId="49B29278" w14:textId="77777777" w:rsidR="00BD59AE" w:rsidRDefault="00000000">
      <w:pPr>
        <w:pStyle w:val="Heading4"/>
      </w:pPr>
      <w:bookmarkStart w:id="7" w:name="generic-coupled-gray-scott-2d-cell-devs"/>
      <w:bookmarkEnd w:id="6"/>
      <w:r>
        <w:t xml:space="preserve">Generic Coupled </w:t>
      </w:r>
      <w:r>
        <w:rPr>
          <w:b/>
        </w:rPr>
        <w:t>Gray-Scott</w:t>
      </w:r>
      <w:r>
        <w:t xml:space="preserve"> (2D) Cell-DEVS</w:t>
      </w:r>
    </w:p>
    <w:p w14:paraId="62A9D983" w14:textId="77777777" w:rsidR="00BD59A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GCC</m:t>
              </m:r>
            </m:e>
            <m:sub>
              <w:proofErr w:type="spellStart"/>
              <m:r>
                <m:rPr>
                  <m:nor/>
                </m:rPr>
                <m:t>GrayScott</m:t>
              </m:r>
              <w:proofErr w:type="spellEnd"/>
            </m:sub>
          </m:sSub>
          <m:r>
            <m:rPr>
              <m:sty m:val="p"/>
            </m:rPr>
            <w:rPr>
              <w:rFonts w:ascii="Cambria Math" w:hAnsi="Cambria Math"/>
            </w:rPr>
            <m:t>=⟨</m:t>
          </m:r>
          <m:r>
            <m:rPr>
              <m:nor/>
            </m:rPr>
            <m:t>Xlist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nor/>
            </m:rPr>
            <m:t>Ylist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,{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},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nor/>
            </m:rPr>
            <m:t>select</m:t>
          </m:r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290A6137" w14:textId="77777777" w:rsidR="00BD59AE" w:rsidRDefault="00000000">
      <w:pPr>
        <w:numPr>
          <w:ilvl w:val="0"/>
          <w:numId w:val="6"/>
        </w:numPr>
      </w:pPr>
      <w:proofErr w:type="spellStart"/>
      <w:r>
        <w:t>Ylist</w:t>
      </w:r>
      <w:proofErr w:type="spellEnd"/>
      <w:r>
        <w:t xml:space="preserve"> = ∅ (No cell concentration export is specified in the configuration.)</w:t>
      </w:r>
    </w:p>
    <w:p w14:paraId="0E4040AB" w14:textId="77777777" w:rsidR="00BD59AE" w:rsidRDefault="00000000">
      <w:pPr>
        <w:numPr>
          <w:ilvl w:val="0"/>
          <w:numId w:val="6"/>
        </w:numPr>
      </w:pPr>
      <w:proofErr w:type="spellStart"/>
      <w:r>
        <w:t>Xlist</w:t>
      </w:r>
      <w:proofErr w:type="spellEnd"/>
      <w:r>
        <w:t xml:space="preserve"> = ∅ (There is no external input to inject </w:t>
      </w:r>
      <w:proofErr w:type="spellStart"/>
      <w:proofErr w:type="gramStart"/>
      <w:r>
        <w:t>u,v</w:t>
      </w:r>
      <w:proofErr w:type="spellEnd"/>
      <w:proofErr w:type="gramEnd"/>
      <w:r>
        <w:t xml:space="preserve"> concentrations into any cells.)</w:t>
      </w:r>
    </w:p>
    <w:p w14:paraId="51FD90C0" w14:textId="77777777" w:rsidR="00BD59AE" w:rsidRDefault="00000000">
      <w:pPr>
        <w:numPr>
          <w:ilvl w:val="0"/>
          <w:numId w:val="6"/>
        </w:numPr>
      </w:pPr>
      <w:r>
        <w:t xml:space="preserve">I = </w:t>
      </w:r>
      <m:oMath>
        <m:r>
          <m:rPr>
            <m:sty m:val="p"/>
          </m:rP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(Trivial input interface, as both Xlist and Ylist are empty — no external ports are defined.)</w:t>
      </w:r>
    </w:p>
    <w:p w14:paraId="07A6EB2C" w14:textId="77777777" w:rsidR="00BD59AE" w:rsidRDefault="00000000">
      <w:pPr>
        <w:pStyle w:val="Compact"/>
        <w:numPr>
          <w:ilvl w:val="1"/>
          <w:numId w:val="7"/>
        </w:numPr>
      </w:pPr>
      <w:r>
        <w:t xml:space="preserve">For each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is undefined because </w:t>
      </w:r>
      <w:proofErr w:type="spellStart"/>
      <m:oMath>
        <m:r>
          <m:rPr>
            <m:nor/>
          </m:rPr>
          <m:t>ilist</m:t>
        </m:r>
        <w:proofErr w:type="spellEnd"/>
        <m:r>
          <m:rPr>
            <m:sty m:val="p"/>
          </m:rPr>
          <w:rPr>
            <w:rFonts w:ascii="Cambria Math" w:hAnsi="Cambria Math"/>
          </w:rPr>
          <m:t>=⌀</m:t>
        </m:r>
      </m:oMath>
      <w:r>
        <w:t>.</w:t>
      </w:r>
    </w:p>
    <w:p w14:paraId="39DD3682" w14:textId="77777777" w:rsidR="009451FB" w:rsidRDefault="00000000" w:rsidP="009451FB">
      <w:pPr>
        <w:pStyle w:val="Compact"/>
        <w:numPr>
          <w:ilvl w:val="1"/>
          <w:numId w:val="6"/>
        </w:numPr>
      </w:pPr>
      <w:r>
        <w:t xml:space="preserve">There is no external coupling, so </w:t>
      </w: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is unused. </w:t>
      </w:r>
    </w:p>
    <w:p w14:paraId="69520734" w14:textId="71C8A7E0" w:rsidR="00BD59AE" w:rsidRDefault="00000000" w:rsidP="009451FB">
      <w:pPr>
        <w:pStyle w:val="Compact"/>
        <w:numPr>
          <w:ilvl w:val="0"/>
          <w:numId w:val="6"/>
        </w:numPr>
      </w:pPr>
      <w:r w:rsidRPr="009451FB">
        <w:rPr>
          <w:b/>
          <w:bCs/>
        </w:rPr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9451FB">
        <w:rPr>
          <w:b/>
          <w:bCs/>
        </w:rPr>
        <w:t xml:space="preserve">Y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(Each port’s message is the Gray-Scott concentration vector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>)</w:t>
      </w:r>
    </w:p>
    <w:p w14:paraId="0AEB3C52" w14:textId="77777777" w:rsidR="00BD59AE" w:rsidRDefault="00000000">
      <w:pPr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{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cr m:val="double-struck"/>
            <m:sty m:val="p"/>
          </m:rPr>
          <w:rPr>
            <w:rFonts w:ascii="Cambria Math" w:hAnsi="Cambria Math"/>
          </w:rPr>
          <m:t>}∈N</m:t>
        </m:r>
      </m:oMath>
      <w:r>
        <w:t xml:space="preserve"> (Represents the number of rows and columns of the grid,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51</m:t>
        </m:r>
      </m:oMath>
      <w:r>
        <w:t>)</w:t>
      </w:r>
    </w:p>
    <w:p w14:paraId="7D75D4E0" w14:textId="77C16554" w:rsidR="00BD59AE" w:rsidRDefault="00000000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η</m:t>
        </m:r>
        <m:r>
          <m:rPr>
            <m:scr m:val="double-struck"/>
            <m:sty m:val="p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 η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n</m:t>
        </m:r>
      </m:oMath>
      <w:r>
        <w:t xml:space="preserve"> (Total number of cells)</w:t>
      </w:r>
      <w:r w:rsidR="009451FB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η=2601</m:t>
        </m:r>
      </m:oMath>
    </w:p>
    <w:p w14:paraId="2C749355" w14:textId="77777777" w:rsidR="00BD59AE" w:rsidRDefault="00000000">
      <w:pPr>
        <w:numPr>
          <w:ilvl w:val="0"/>
          <w:numId w:val="6"/>
        </w:numPr>
      </w:pPr>
      <w:r>
        <w:t xml:space="preserve">N =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 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∈{-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for all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>} (This represents the Moore neighborhood)</w:t>
      </w:r>
    </w:p>
    <w:p w14:paraId="0F44E465" w14:textId="77777777" w:rsidR="00BD59AE" w:rsidRDefault="00000000">
      <w:pPr>
        <w:numPr>
          <w:ilvl w:val="0"/>
          <w:numId w:val="6"/>
        </w:numPr>
      </w:pPr>
      <w:r>
        <w:t xml:space="preserve">$ C = </w:t>
      </w:r>
      <w:proofErr w:type="gramStart"/>
      <w:r>
        <w:t>{ C</w:t>
      </w:r>
      <w:proofErr w:type="gramEnd"/>
      <w:r>
        <w:t>_{</w:t>
      </w:r>
      <w:proofErr w:type="spellStart"/>
      <w:r>
        <w:t>ij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[0,m),, j [0,n) }$, where</w:t>
      </w:r>
    </w:p>
    <w:p w14:paraId="60FAB93A" w14:textId="77777777" w:rsidR="00BD59A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nor/>
                </m:rPr>
                <m:t>int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nor/>
                </m:rPr>
                <m:t>ext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⟩</m:t>
          </m:r>
        </m:oMath>
      </m:oMathPara>
    </w:p>
    <w:p w14:paraId="0DA0CB4D" w14:textId="77777777" w:rsidR="00BD59AE" w:rsidRDefault="00000000">
      <w:pPr>
        <w:pStyle w:val="FirstParagraph"/>
      </w:pPr>
      <w:r>
        <w:t>is a Gray-Scott atomic cell, where:</w:t>
      </w:r>
    </w:p>
    <w:p w14:paraId="6CA40BA8" w14:textId="77777777" w:rsidR="00BD59AE" w:rsidRDefault="00000000">
      <w:pPr>
        <w:numPr>
          <w:ilvl w:val="0"/>
          <w:numId w:val="8"/>
        </w:numPr>
      </w:pPr>
      <w:r>
        <w:t xml:space="preserve">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601F32" w14:textId="77777777" w:rsidR="00BD59AE" w:rsidRDefault="00000000">
      <w:pPr>
        <w:numPr>
          <w:ilvl w:val="0"/>
          <w:numId w:val="8"/>
        </w:numPr>
      </w:pPr>
      <w:r>
        <w:t xml:space="preserve">The local update rule is defined in </w:t>
      </w:r>
      <w:proofErr w:type="spellStart"/>
      <w:proofErr w:type="gramStart"/>
      <w:r>
        <w:rPr>
          <w:rStyle w:val="VerbatimChar"/>
        </w:rPr>
        <w:t>grayScott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localComputation</w:t>
      </w:r>
      <w:proofErr w:type="spellEnd"/>
      <w:r>
        <w:rPr>
          <w:rStyle w:val="VerbatimChar"/>
        </w:rPr>
        <w:t>()</w:t>
      </w:r>
    </w:p>
    <w:p w14:paraId="3E99A20C" w14:textId="165627D6" w:rsidR="00BD59AE" w:rsidRDefault="00000000">
      <w:pPr>
        <w:numPr>
          <w:ilvl w:val="0"/>
          <w:numId w:val="8"/>
        </w:numPr>
      </w:pPr>
      <w:r>
        <w:rPr>
          <w:b/>
          <w:bCs/>
        </w:rPr>
        <w:t xml:space="preserve">B = </w:t>
      </w:r>
      <m:oMath>
        <m:r>
          <m:rPr>
            <m:sty m:val="b"/>
          </m:rPr>
          <w:rPr>
            <w:rFonts w:ascii="Cambria Math" w:hAnsi="Cambria Math"/>
          </w:rPr>
          <m:t>∅</m:t>
        </m:r>
      </m:oMath>
    </w:p>
    <w:p w14:paraId="26EA7AF5" w14:textId="77777777" w:rsidR="00BD59AE" w:rsidRDefault="00000000">
      <w:pPr>
        <w:numPr>
          <w:ilvl w:val="0"/>
          <w:numId w:val="8"/>
        </w:numPr>
      </w:pPr>
      <w:r>
        <w:rPr>
          <w:b/>
          <w:bCs/>
        </w:rPr>
        <w:t xml:space="preserve">Z: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t>, defined by:</w:t>
      </w:r>
    </w:p>
    <w:p w14:paraId="0C7BBF41" w14:textId="148607BE" w:rsidR="00BD59AE" w:rsidRDefault="00000000">
      <w:pPr>
        <w:pStyle w:val="Compact"/>
        <w:numPr>
          <w:ilvl w:val="1"/>
          <w:numId w:val="9"/>
        </w:num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t xml:space="preserve">,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i+r</m:t>
                </m:r>
              </m:e>
            </m:d>
            <m:r>
              <w:rPr>
                <w:rFonts w:ascii="Cambria Math" w:hAnsi="Cambria Math"/>
              </w:rPr>
              <m:t>mod m, 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j+s</m:t>
                </m:r>
              </m:e>
            </m:d>
            <m:r>
              <w:rPr>
                <w:rFonts w:ascii="Cambria Math" w:hAnsi="Cambria Math"/>
              </w:rPr>
              <m:t>mod n</m:t>
            </m:r>
          </m:e>
        </m:d>
      </m:oMath>
      <w:r w:rsidR="008C2274">
        <w:rPr>
          <w:rFonts w:hint="eastAsia"/>
          <w:lang w:eastAsia="zh-CN"/>
        </w:rPr>
        <w:t xml:space="preserve">, where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r,s</m:t>
            </m:r>
          </m:e>
        </m:d>
        <m:r>
          <m:rPr>
            <m:sty m:val="p"/>
          </m:rPr>
          <w:rPr>
            <w:rFonts w:ascii="Cambria Math" w:hAnsi="Cambria Math" w:hint="eastAsia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N</m:t>
        </m:r>
      </m:oMath>
      <w:r w:rsidR="008C2274">
        <w:rPr>
          <w:rFonts w:hint="eastAsia"/>
          <w:lang w:eastAsia="zh-CN"/>
        </w:rPr>
        <w:t>.</w:t>
      </w:r>
    </w:p>
    <w:p w14:paraId="0264E793" w14:textId="178AEBE9" w:rsidR="00BD59AE" w:rsidRDefault="00000000">
      <w:pPr>
        <w:numPr>
          <w:ilvl w:val="0"/>
          <w:numId w:val="8"/>
        </w:numPr>
      </w:pPr>
      <w:r>
        <w:rPr>
          <w:b/>
          <w:bCs/>
        </w:rPr>
        <w:t>select =</w:t>
      </w:r>
      <w:r w:rsidR="009451FB" w:rsidRPr="009451FB">
        <w:t xml:space="preserve"> </w:t>
      </w:r>
      <m:oMath>
        <m:r>
          <m:rPr>
            <m:lit/>
            <m:sty m:val="bi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 xml:space="preserve">(k,l) | (k,l) </m:t>
        </m:r>
        <m:r>
          <m:rPr>
            <m:sty m:val="b"/>
          </m:rPr>
          <w:rPr>
            <w:rFonts w:ascii="Cambria Math" w:hAnsi="Cambria Math" w:hint="eastAsia"/>
          </w:rPr>
          <m:t>∈</m:t>
        </m:r>
        <m:r>
          <m:rPr>
            <m:sty m:val="bi"/>
          </m:rPr>
          <w:rPr>
            <w:rFonts w:ascii="Cambria Math" w:hAnsi="Cambria Math"/>
          </w:rPr>
          <m:t>{N}</m:t>
        </m:r>
        <m:r>
          <m:rPr>
            <m:lit/>
            <m:sty m:val="bi"/>
          </m:rPr>
          <w:rPr>
            <w:rFonts w:ascii="Cambria Math" w:hAnsi="Cambria Math"/>
          </w:rPr>
          <m:t>}</m:t>
        </m:r>
      </m:oMath>
      <w:r>
        <w:t xml:space="preserve"> This is the tie-breaking function, which can be set to a default order (e.g., row-major order).</w:t>
      </w:r>
    </w:p>
    <w:p w14:paraId="7414A666" w14:textId="77777777" w:rsidR="00BD59AE" w:rsidRDefault="00000000">
      <w:pPr>
        <w:pStyle w:val="CaptionedFigure"/>
      </w:pPr>
      <w:r>
        <w:rPr>
          <w:noProof/>
        </w:rPr>
        <w:drawing>
          <wp:inline distT="0" distB="0" distL="0" distR="0" wp14:anchorId="34EA70D1" wp14:editId="20F6D82C">
            <wp:extent cx="5334000" cy="1740089"/>
            <wp:effectExtent l="0" t="0" r="0" b="0"/>
            <wp:docPr id="25" name="Picture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wwang7.synology.me:8031/usr/uploads/2025/03/8219417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DE3C5" w14:textId="77777777" w:rsidR="00BD59AE" w:rsidRDefault="00000000">
      <w:pPr>
        <w:pStyle w:val="BodyText"/>
      </w:pPr>
      <w:r>
        <w:t xml:space="preserve">double f = 0.35; double k = 0.6497; double r = </w:t>
      </w:r>
      <w:proofErr w:type="gramStart"/>
      <w:r>
        <w:t>1.0;</w:t>
      </w:r>
      <w:proofErr w:type="gramEnd"/>
    </w:p>
    <w:p w14:paraId="1B27EAB7" w14:textId="77777777" w:rsidR="00BD59AE" w:rsidRDefault="00000000">
      <w:pPr>
        <w:pStyle w:val="BodyText"/>
      </w:pPr>
      <w:r>
        <w:rPr>
          <w:b/>
          <w:bCs/>
        </w:rPr>
        <w:t>Figure 1</w:t>
      </w:r>
      <w:r>
        <w:t xml:space="preserve"> uses parameters </w:t>
      </w:r>
      <w:r>
        <w:rPr>
          <w:rStyle w:val="VerbatimChar"/>
        </w:rPr>
        <w:t>f = 0.35</w:t>
      </w:r>
      <w:r>
        <w:t xml:space="preserve">, </w:t>
      </w:r>
      <w:r>
        <w:rPr>
          <w:rStyle w:val="VerbatimChar"/>
        </w:rPr>
        <w:t>k = 0.6497</w:t>
      </w:r>
      <w:r>
        <w:t xml:space="preserve">, and </w:t>
      </w:r>
      <w:r>
        <w:rPr>
          <w:rStyle w:val="VerbatimChar"/>
        </w:rPr>
        <w:t>r = 1.0</w:t>
      </w:r>
      <w:r>
        <w:t xml:space="preserve">. The pattern shows a strong emergence of distinct B clusters in the left panel, while the A field (center) develops soft gradients and fluid transitions. The right panel appears mostly uniform, suggesting stabilization in that field. This demonstrates how a moderate </w:t>
      </w:r>
      <w:r>
        <w:lastRenderedPageBreak/>
        <w:t xml:space="preserve">feed rate and kill rate can produce structured yet stable behaviors. </w:t>
      </w:r>
      <w:r>
        <w:rPr>
          <w:noProof/>
        </w:rPr>
        <w:drawing>
          <wp:inline distT="0" distB="0" distL="0" distR="0" wp14:anchorId="38CFC615" wp14:editId="15EEF304">
            <wp:extent cx="5334000" cy="1740089"/>
            <wp:effectExtent l="0" t="0" r="0" b="0"/>
            <wp:docPr id="28" name="Picture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ttps://wwang7.synology.me:8031/usr/uploads/2025/03/691449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42267" w14:textId="77777777" w:rsidR="00BD59AE" w:rsidRDefault="00000000">
      <w:pPr>
        <w:pStyle w:val="BodyText"/>
      </w:pPr>
      <w:r>
        <w:t xml:space="preserve">double f = 0.34; double k = 0.95; double r = </w:t>
      </w:r>
      <w:proofErr w:type="gramStart"/>
      <w:r>
        <w:t>1.0;</w:t>
      </w:r>
      <w:proofErr w:type="gramEnd"/>
    </w:p>
    <w:p w14:paraId="4D88C4E6" w14:textId="77777777" w:rsidR="00BD59AE" w:rsidRDefault="00000000">
      <w:pPr>
        <w:pStyle w:val="BodyText"/>
      </w:pPr>
      <w:r>
        <w:t>​</w:t>
      </w:r>
      <w:r>
        <w:rPr>
          <w:b/>
          <w:bCs/>
        </w:rPr>
        <w:t>Figure 2</w:t>
      </w:r>
      <w:r>
        <w:t xml:space="preserve">​, with </w:t>
      </w:r>
      <w:r>
        <w:rPr>
          <w:rStyle w:val="VerbatimChar"/>
        </w:rPr>
        <w:t>f = 0.34</w:t>
      </w:r>
      <w:r>
        <w:t xml:space="preserve"> and a higher kill rate </w:t>
      </w:r>
      <w:r>
        <w:rPr>
          <w:rStyle w:val="VerbatimChar"/>
        </w:rPr>
        <w:t>k = 0.95</w:t>
      </w:r>
      <w:r>
        <w:t xml:space="preserve">, results in more compact and isolated B regions. The center panel reveals symmetric, wave-like gradients in A, while the right </w:t>
      </w:r>
      <w:proofErr w:type="gramStart"/>
      <w:r>
        <w:t>panel again</w:t>
      </w:r>
      <w:proofErr w:type="gramEnd"/>
      <w:r>
        <w:t xml:space="preserve"> appears uniform, indicating minimal change. This scenario shows how </w:t>
      </w:r>
      <w:proofErr w:type="gramStart"/>
      <w:r>
        <w:t>increased</w:t>
      </w:r>
      <w:proofErr w:type="gramEnd"/>
      <w:r>
        <w:t xml:space="preserve"> inhibition (higher </w:t>
      </w:r>
      <w:r>
        <w:rPr>
          <w:rStyle w:val="VerbatimChar"/>
        </w:rPr>
        <w:t>k</w:t>
      </w:r>
      <w:r>
        <w:t xml:space="preserve">) dampens pattern spread and leads to localized spots. </w:t>
      </w:r>
      <w:r>
        <w:rPr>
          <w:noProof/>
        </w:rPr>
        <w:drawing>
          <wp:inline distT="0" distB="0" distL="0" distR="0" wp14:anchorId="0AED9CB3" wp14:editId="58A13400">
            <wp:extent cx="5334000" cy="1740089"/>
            <wp:effectExtent l="0" t="0" r="0" b="0"/>
            <wp:docPr id="31" name="Picture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wwang7.synology.me:8031/usr/uploads/2025/03/176150279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69296" w14:textId="77777777" w:rsidR="00BD59AE" w:rsidRDefault="00000000">
      <w:pPr>
        <w:pStyle w:val="BodyText"/>
      </w:pPr>
      <w:r>
        <w:t xml:space="preserve">double f = 0.38; double k = 0.82; double r = </w:t>
      </w:r>
      <w:proofErr w:type="gramStart"/>
      <w:r>
        <w:t>1.0;</w:t>
      </w:r>
      <w:proofErr w:type="gramEnd"/>
    </w:p>
    <w:p w14:paraId="18622E9B" w14:textId="77777777" w:rsidR="00BD59AE" w:rsidRDefault="00000000">
      <w:pPr>
        <w:pStyle w:val="BodyText"/>
      </w:pPr>
      <w:r>
        <w:t>​</w:t>
      </w:r>
      <w:r>
        <w:rPr>
          <w:b/>
          <w:bCs/>
        </w:rPr>
        <w:t>Figure 3</w:t>
      </w:r>
      <w:r>
        <w:t xml:space="preserve">​, where </w:t>
      </w:r>
      <w:r>
        <w:rPr>
          <w:rStyle w:val="VerbatimChar"/>
        </w:rPr>
        <w:t>f = 0.38</w:t>
      </w:r>
      <w:r>
        <w:t xml:space="preserve"> and </w:t>
      </w:r>
      <w:r>
        <w:rPr>
          <w:rStyle w:val="VerbatimChar"/>
        </w:rPr>
        <w:t>k = 0.82</w:t>
      </w:r>
      <w:r>
        <w:t xml:space="preserve">, highlights an early or intermediate stage of pattern formation. </w:t>
      </w:r>
      <w:proofErr w:type="gramStart"/>
      <w:r>
        <w:t>The B</w:t>
      </w:r>
      <w:proofErr w:type="gramEnd"/>
      <w:r>
        <w:t xml:space="preserve"> field produces sharp diamond-like structures, with peripheral noise possibly indicating ongoing development. The </w:t>
      </w:r>
      <w:proofErr w:type="gramStart"/>
      <w:r>
        <w:t>A field</w:t>
      </w:r>
      <w:proofErr w:type="gramEnd"/>
      <w:r>
        <w:t xml:space="preserve"> displays rhythmic gradients radiating outward, and the right panel remains gray and balanced. These settings generate highly geometric and symmetric distributions, illustrating the system’s sensitivity to small changes in parameters.</w:t>
      </w:r>
    </w:p>
    <w:p w14:paraId="0B7F9F0C" w14:textId="45A4B9C5" w:rsidR="00BD59AE" w:rsidRDefault="00000000" w:rsidP="005D4E0C">
      <w:pPr>
        <w:pStyle w:val="BodyText"/>
      </w:pPr>
      <w:r>
        <w:lastRenderedPageBreak/>
        <w:t xml:space="preserve">Some Other Results </w:t>
      </w:r>
      <w:r>
        <w:rPr>
          <w:noProof/>
        </w:rPr>
        <w:drawing>
          <wp:inline distT="0" distB="0" distL="0" distR="0" wp14:anchorId="3B54CDF3" wp14:editId="1711A995">
            <wp:extent cx="4829175" cy="2324100"/>
            <wp:effectExtent l="0" t="0" r="0" b="0"/>
            <wp:docPr id="34" name="Picture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ttps://wwang7.synology.me:8031/usr/uploads/2025/03/214811205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160" cy="232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1442C" wp14:editId="031B240B">
            <wp:extent cx="4829175" cy="2219325"/>
            <wp:effectExtent l="0" t="0" r="0" b="0"/>
            <wp:docPr id="37" name="Picture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wwang7.synology.me:8031/usr/uploads/2025/03/24515059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161" cy="221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9ACA3" wp14:editId="3579A1C6">
            <wp:extent cx="4848225" cy="2266950"/>
            <wp:effectExtent l="0" t="0" r="0" b="0"/>
            <wp:docPr id="40" name="Picture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wwang7.synology.me:8031/usr/uploads/2025/03/16125322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15" cy="226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53A4B" w14:textId="01F7E2D5" w:rsidR="00BD59AE" w:rsidRDefault="00BD59AE">
      <w:pPr>
        <w:pStyle w:val="ImageCaption"/>
        <w:rPr>
          <w:lang w:eastAsia="zh-CN"/>
        </w:rPr>
      </w:pPr>
    </w:p>
    <w:p w14:paraId="4006722C" w14:textId="77777777" w:rsidR="005D4E0C" w:rsidRDefault="005D4E0C">
      <w:pPr>
        <w:pStyle w:val="ImageCaption"/>
        <w:rPr>
          <w:lang w:eastAsia="zh-CN"/>
        </w:rPr>
      </w:pPr>
    </w:p>
    <w:p w14:paraId="759A2C27" w14:textId="77777777" w:rsidR="00BD59AE" w:rsidRDefault="00000000">
      <w:pPr>
        <w:pStyle w:val="Heading3"/>
      </w:pPr>
      <w:bookmarkStart w:id="8" w:name="limitations"/>
      <w:bookmarkEnd w:id="5"/>
      <w:bookmarkEnd w:id="7"/>
      <w:r>
        <w:lastRenderedPageBreak/>
        <w:t>Limitations</w:t>
      </w:r>
    </w:p>
    <w:p w14:paraId="369CDD5D" w14:textId="77777777" w:rsidR="00BD59AE" w:rsidRDefault="00000000">
      <w:pPr>
        <w:pStyle w:val="FirstParagraph"/>
      </w:pPr>
      <w:r>
        <w:t xml:space="preserve">In contrast to other implementations of the Gray-Scott model, which typically simulate over </w:t>
      </w:r>
      <w:proofErr w:type="gramStart"/>
      <w:r>
        <w:t>2000 or more time</w:t>
      </w:r>
      <w:proofErr w:type="gramEnd"/>
      <w:r>
        <w:t xml:space="preserve"> steps to observe full pattern emergence, this simulation required a compromise due to output constraints. High-resolution grids and frequent updates produced an overwhelming number of CSV log entries, making it difficult to control file size and numerical precision.</w:t>
      </w:r>
    </w:p>
    <w:p w14:paraId="3AE502BD" w14:textId="77777777" w:rsidR="00BD59AE" w:rsidRDefault="00000000">
      <w:pPr>
        <w:pStyle w:val="BodyText"/>
      </w:pPr>
      <w:r>
        <w:t xml:space="preserve">To address this, the simulation time step was increased by setting </w:t>
      </w:r>
      <w:proofErr w:type="spellStart"/>
      <w:r>
        <w:rPr>
          <w:rStyle w:val="VerbatimChar"/>
        </w:rPr>
        <w:t>constexpr</w:t>
      </w:r>
      <w:proofErr w:type="spellEnd"/>
      <w:r>
        <w:rPr>
          <w:rStyle w:val="VerbatimChar"/>
        </w:rPr>
        <w:t xml:space="preserve"> double dt = 2.0</w:t>
      </w:r>
      <w:r>
        <w:t>, effectively accelerating the reaction-diffusion process and reducing the number of iterations needed to reach visible patterns. While this adjustment speeds up pattern development, it also introduces trade-offs: numerical stability decreases, the simulation becomes more sensitive to minor fluctuations, and the resulting dynamics may deviate from the fine-grained behavior observed in longer, smaller-step simulations reported in the literature.</w:t>
      </w:r>
    </w:p>
    <w:p w14:paraId="7EA6F136" w14:textId="77777777" w:rsidR="00BD59AE" w:rsidRDefault="00000000">
      <w:pPr>
        <w:pStyle w:val="Heading3"/>
      </w:pPr>
      <w:bookmarkStart w:id="9" w:name="conclusion"/>
      <w:bookmarkEnd w:id="8"/>
      <w:r>
        <w:t>Conclusion</w:t>
      </w:r>
    </w:p>
    <w:p w14:paraId="65809BAD" w14:textId="77777777" w:rsidR="00BD59AE" w:rsidRDefault="00000000">
      <w:pPr>
        <w:pStyle w:val="FirstParagraph"/>
      </w:pPr>
      <w:r>
        <w:t>This simulation successfully demonstrates the emergence of complex spatial patterns in the Gray-Scott model using a grid-based cellular automaton approach.</w:t>
      </w:r>
    </w:p>
    <w:p w14:paraId="11E12DD1" w14:textId="77777777" w:rsidR="00BD59AE" w:rsidRDefault="00000000">
      <w:pPr>
        <w:pStyle w:val="Heading3"/>
      </w:pPr>
      <w:bookmarkStart w:id="10" w:name="reference"/>
      <w:bookmarkEnd w:id="9"/>
      <w:r>
        <w:t>Reference</w:t>
      </w:r>
    </w:p>
    <w:p w14:paraId="06A768F8" w14:textId="77777777" w:rsidR="00BD59A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John E. Pearson</w:t>
      </w:r>
      <w:r>
        <w:t xml:space="preserve"> (1993). ​</w:t>
      </w:r>
      <w:r>
        <w:rPr>
          <w:i/>
          <w:iCs/>
        </w:rPr>
        <w:t>Complex Patterns in a Simple System</w:t>
      </w:r>
      <w:r>
        <w:t>​. ​</w:t>
      </w:r>
      <w:r>
        <w:rPr>
          <w:b/>
          <w:bCs/>
        </w:rPr>
        <w:t>Science</w:t>
      </w:r>
      <w:r>
        <w:t>​, New Series, ​</w:t>
      </w:r>
      <w:r>
        <w:rPr>
          <w:b/>
          <w:bCs/>
        </w:rPr>
        <w:t>Vol. 261</w:t>
      </w:r>
      <w:r>
        <w:t xml:space="preserve">​, No. 5118, pp. 189–192. </w:t>
      </w:r>
      <w:hyperlink r:id="rId14">
        <w:r w:rsidR="00BD59AE">
          <w:rPr>
            <w:rStyle w:val="Hyperlink"/>
          </w:rPr>
          <w:t>https://www.researchgate.net/publication/6011915_Complex_Patterns_in_a_Simple_System</w:t>
        </w:r>
      </w:hyperlink>
    </w:p>
    <w:p w14:paraId="5F72B4DA" w14:textId="77777777" w:rsidR="00BD59A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Gray-Scott Model Overview</w:t>
      </w:r>
      <w:r>
        <w:t xml:space="preserve"> – Biological Modeling Project. </w:t>
      </w:r>
      <w:hyperlink r:id="rId15">
        <w:r w:rsidR="00BD59AE">
          <w:rPr>
            <w:rStyle w:val="Hyperlink"/>
          </w:rPr>
          <w:t>https://biologicalmodeling.org/prologue/gray-scott</w:t>
        </w:r>
      </w:hyperlink>
      <w:bookmarkEnd w:id="0"/>
      <w:bookmarkEnd w:id="1"/>
      <w:bookmarkEnd w:id="10"/>
    </w:p>
    <w:sectPr w:rsidR="00BD59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4815B" w14:textId="77777777" w:rsidR="00721698" w:rsidRDefault="00721698">
      <w:pPr>
        <w:spacing w:after="0"/>
      </w:pPr>
      <w:r>
        <w:separator/>
      </w:r>
    </w:p>
  </w:endnote>
  <w:endnote w:type="continuationSeparator" w:id="0">
    <w:p w14:paraId="65C4136B" w14:textId="77777777" w:rsidR="00721698" w:rsidRDefault="007216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E0E58" w14:textId="77777777" w:rsidR="00721698" w:rsidRDefault="00721698">
      <w:r>
        <w:separator/>
      </w:r>
    </w:p>
  </w:footnote>
  <w:footnote w:type="continuationSeparator" w:id="0">
    <w:p w14:paraId="7B449EBB" w14:textId="77777777" w:rsidR="00721698" w:rsidRDefault="00721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1A67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5CAC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C4400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19462169">
    <w:abstractNumId w:val="0"/>
  </w:num>
  <w:num w:numId="2" w16cid:durableId="1869828605">
    <w:abstractNumId w:val="1"/>
  </w:num>
  <w:num w:numId="3" w16cid:durableId="1329403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3710869">
    <w:abstractNumId w:val="1"/>
  </w:num>
  <w:num w:numId="5" w16cid:durableId="1166745821">
    <w:abstractNumId w:val="1"/>
  </w:num>
  <w:num w:numId="6" w16cid:durableId="2103262997">
    <w:abstractNumId w:val="1"/>
  </w:num>
  <w:num w:numId="7" w16cid:durableId="1304116260">
    <w:abstractNumId w:val="1"/>
  </w:num>
  <w:num w:numId="8" w16cid:durableId="794298624">
    <w:abstractNumId w:val="1"/>
  </w:num>
  <w:num w:numId="9" w16cid:durableId="423457854">
    <w:abstractNumId w:val="1"/>
  </w:num>
  <w:num w:numId="10" w16cid:durableId="123589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9AE"/>
    <w:rsid w:val="00134598"/>
    <w:rsid w:val="001F2F06"/>
    <w:rsid w:val="00231568"/>
    <w:rsid w:val="003D6FDD"/>
    <w:rsid w:val="00503C15"/>
    <w:rsid w:val="005D4E0C"/>
    <w:rsid w:val="0063081D"/>
    <w:rsid w:val="0066330C"/>
    <w:rsid w:val="00721698"/>
    <w:rsid w:val="00744902"/>
    <w:rsid w:val="008A710B"/>
    <w:rsid w:val="008C2274"/>
    <w:rsid w:val="009451FB"/>
    <w:rsid w:val="00BD59AE"/>
    <w:rsid w:val="00DD6E86"/>
    <w:rsid w:val="00F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6B25"/>
  <w15:docId w15:val="{04AAECF9-7D12-4E60-A66E-6706B9B3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63081D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50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TGTX7/gray-scott-cellula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ologicalmodeling.org/prologue/gray-scot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ublication/6011915_Complex_Patterns_in_a_Simpl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William Wang</cp:lastModifiedBy>
  <cp:revision>6</cp:revision>
  <cp:lastPrinted>2025-03-23T14:00:00Z</cp:lastPrinted>
  <dcterms:created xsi:type="dcterms:W3CDTF">2025-03-23T13:14:00Z</dcterms:created>
  <dcterms:modified xsi:type="dcterms:W3CDTF">2025-03-23T14:05:00Z</dcterms:modified>
</cp:coreProperties>
</file>