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820" w:rsidRDefault="007A2BD0" w:rsidP="003F0E33">
      <w:pPr>
        <w:pStyle w:val="Titre"/>
      </w:pPr>
      <w:r>
        <w:t>OVAP</w:t>
      </w:r>
    </w:p>
    <w:p w:rsidR="007A2BD0" w:rsidRDefault="007A2BD0" w:rsidP="00186DEA">
      <w:r w:rsidRPr="00D34DA3">
        <w:rPr>
          <w:b/>
          <w:u w:val="single"/>
        </w:rPr>
        <w:t>Application basée sur</w:t>
      </w:r>
      <w:r>
        <w:t> : PostgreSQL/PostGIS, Ruby On Rails, MapboxGL</w:t>
      </w:r>
    </w:p>
    <w:p w:rsidR="007A2BD0" w:rsidRDefault="007A2BD0" w:rsidP="00186DEA">
      <w:r w:rsidRPr="00D34DA3">
        <w:rPr>
          <w:b/>
          <w:u w:val="single"/>
        </w:rPr>
        <w:t>Objectif</w:t>
      </w:r>
      <w:r>
        <w:t xml:space="preserve"> : Étudier les patrons de déplacements des usagers; accéder rapidement et visuellement à des informations </w:t>
      </w:r>
      <w:r w:rsidR="0010174B">
        <w:t>de paires</w:t>
      </w:r>
      <w:r>
        <w:t xml:space="preserve"> O-</w:t>
      </w:r>
      <w:r w:rsidR="0010174B">
        <w:t>D; stocker l’information de façon accessible pour permettre des requêtes plus complexes (profil de charge, correspondances)</w:t>
      </w:r>
    </w:p>
    <w:p w:rsidR="0010174B" w:rsidRDefault="0010174B" w:rsidP="00186DEA">
      <w:r w:rsidRPr="00D34DA3">
        <w:rPr>
          <w:b/>
          <w:u w:val="single"/>
        </w:rPr>
        <w:t>Fonctionnement</w:t>
      </w:r>
      <w:r>
        <w:t> : L’application se connecte sur le serveur Planif_prod pour obtenir les données traitées de carte à puce possédant des informations sur les arrêts de montée et descente. Ces données sont stockées dans un modèle relationnel, qui sert ensuite de base à une application web permettant de construire et d’afficher des requêtes. L’interface web envoie une série de paramètre au serveur (Rails) qui construit une requête (PostgreSQL), et retourne à l’interface des données permettant d’afficher une carte (MapboxGL) et des graphiques. L’interface web est conçue pour être intuitive, alors que le serveur possède un ensemble de commandes permettant de générer, stocker et organiser l’information.</w:t>
      </w:r>
    </w:p>
    <w:p w:rsidR="0010174B" w:rsidRDefault="0010174B" w:rsidP="003F0E33">
      <w:pPr>
        <w:pStyle w:val="Titre2"/>
      </w:pPr>
      <w:r>
        <w:t>Commandes serveur </w:t>
      </w:r>
      <w:r w:rsidR="007D2C39">
        <w:t>(en ligne de commande)</w:t>
      </w:r>
      <w:r>
        <w:t>:</w:t>
      </w:r>
    </w:p>
    <w:p w:rsidR="00A61125" w:rsidRDefault="007D2C39" w:rsidP="00186DEA">
      <w:r>
        <w:t>Mettre en place une installation</w:t>
      </w:r>
      <w:r w:rsidR="00A61125">
        <w:t xml:space="preserve"> (après installation de msys et de ruby)</w:t>
      </w:r>
    </w:p>
    <w:p w:rsidR="007D2C39" w:rsidRDefault="007D2C39" w:rsidP="00186DEA">
      <w:pPr>
        <w:pStyle w:val="Paragraphedeliste"/>
        <w:numPr>
          <w:ilvl w:val="0"/>
          <w:numId w:val="4"/>
        </w:numPr>
        <w:ind w:left="426" w:hanging="284"/>
      </w:pPr>
      <w:r>
        <w:t>Peupler le fichier database.yml avec les informations sur le serveur</w:t>
      </w:r>
    </w:p>
    <w:p w:rsidR="00AF0F57" w:rsidRDefault="00AF0F57" w:rsidP="00186DEA">
      <w:pPr>
        <w:pStyle w:val="Paragraphedeliste"/>
        <w:numPr>
          <w:ilvl w:val="0"/>
          <w:numId w:val="4"/>
        </w:numPr>
        <w:ind w:left="426" w:hanging="284"/>
      </w:pPr>
      <w:r>
        <w:t>Peupler le fichier config.yml avec les informations sur le serveur (un exemple est fourni)</w:t>
      </w:r>
    </w:p>
    <w:p w:rsidR="00186DEA" w:rsidRDefault="007D2C39" w:rsidP="00186DEA">
      <w:pPr>
        <w:pStyle w:val="Paragraphedeliste"/>
        <w:numPr>
          <w:ilvl w:val="0"/>
          <w:numId w:val="4"/>
        </w:numPr>
        <w:ind w:left="426" w:hanging="284"/>
      </w:pPr>
      <w:r>
        <w:t xml:space="preserve">Préparer l’installation des extensions ( </w:t>
      </w:r>
    </w:p>
    <w:p w:rsidR="007D2C39" w:rsidRPr="00584D6E" w:rsidRDefault="00186DEA" w:rsidP="00584D6E">
      <w:pPr>
        <w:pStyle w:val="Code"/>
        <w:rPr>
          <w:rStyle w:val="Accentuation"/>
          <w:i w:val="0"/>
        </w:rPr>
      </w:pPr>
      <w:r w:rsidRPr="00584D6E">
        <w:rPr>
          <w:rStyle w:val="Accentuation"/>
          <w:i w:val="0"/>
        </w:rPr>
        <w:t>bundle install</w:t>
      </w:r>
    </w:p>
    <w:p w:rsidR="00186DEA" w:rsidRDefault="007D2C39" w:rsidP="00186DEA">
      <w:pPr>
        <w:pStyle w:val="Paragraphedeliste"/>
        <w:numPr>
          <w:ilvl w:val="0"/>
          <w:numId w:val="4"/>
        </w:numPr>
        <w:ind w:left="426" w:hanging="284"/>
      </w:pPr>
      <w:r>
        <w:t xml:space="preserve">Créer la base de données </w:t>
      </w:r>
    </w:p>
    <w:p w:rsidR="007D2C39" w:rsidRDefault="007D2C39" w:rsidP="00584D6E">
      <w:pPr>
        <w:pStyle w:val="Code"/>
      </w:pPr>
      <w:r>
        <w:t>rake db:create &amp;&amp; rake db:migrate</w:t>
      </w:r>
    </w:p>
    <w:p w:rsidR="007D2C39" w:rsidRDefault="007D2C39" w:rsidP="00A65009">
      <w:r>
        <w:t>Importer les plus récentes données sur les arrêts, assignations et lignes</w:t>
      </w:r>
    </w:p>
    <w:p w:rsidR="007D2C39" w:rsidRDefault="007D2C39" w:rsidP="00584D6E">
      <w:pPr>
        <w:pStyle w:val="Code"/>
      </w:pPr>
      <w:r>
        <w:t>rake db:seed</w:t>
      </w:r>
    </w:p>
    <w:p w:rsidR="0010174B" w:rsidRDefault="0010174B" w:rsidP="00A65009">
      <w:r>
        <w:t xml:space="preserve">Importer des données </w:t>
      </w:r>
      <w:r w:rsidR="007D2C39">
        <w:t>du serveur pour une journée précise:</w:t>
      </w:r>
    </w:p>
    <w:p w:rsidR="007D2C39" w:rsidRDefault="007D2C39" w:rsidP="00584D6E">
      <w:pPr>
        <w:pStyle w:val="Code"/>
      </w:pPr>
      <w:r>
        <w:t>rake import_cap_depuis_achalandage[</w:t>
      </w:r>
      <w:r w:rsidR="00186DEA">
        <w:t>AAAA</w:t>
      </w:r>
      <w:r>
        <w:t>-MM-</w:t>
      </w:r>
      <w:r w:rsidR="00070F08">
        <w:t>JJ</w:t>
      </w:r>
      <w:r>
        <w:t>]</w:t>
      </w:r>
    </w:p>
    <w:p w:rsidR="007D2C39" w:rsidRDefault="007D2C39" w:rsidP="00584D6E">
      <w:pPr>
        <w:pStyle w:val="Code"/>
      </w:pPr>
      <w:r>
        <w:t>rake generer_dates_par_type_de_service</w:t>
      </w:r>
    </w:p>
    <w:p w:rsidR="007A2BD0" w:rsidRDefault="007D2C39" w:rsidP="00A65009">
      <w:r>
        <w:t>Importer des données du serveur pour plusieurs journées consécutives</w:t>
      </w:r>
      <w:r w:rsidR="006C6EF0">
        <w:t xml:space="preserve"> (ou date_debut et date_fin répondent au format AAAA-MM-</w:t>
      </w:r>
      <w:r w:rsidR="00070F08">
        <w:t>JJ</w:t>
      </w:r>
      <w:r w:rsidR="006C6EF0">
        <w:t>)</w:t>
      </w:r>
      <w:r>
        <w:t> :</w:t>
      </w:r>
    </w:p>
    <w:p w:rsidR="007D2C39" w:rsidRDefault="007D2C39" w:rsidP="00584D6E">
      <w:pPr>
        <w:pStyle w:val="Code"/>
      </w:pPr>
      <w:r>
        <w:t>rake import_cap_depuis_achalandage_en_lot[date_debut,date_fin]</w:t>
      </w:r>
    </w:p>
    <w:p w:rsidR="007D2C39" w:rsidRDefault="007D2C39" w:rsidP="00A65009">
      <w:r>
        <w:t>Lancer le serveur ( -b 0.0.0.0 permet l’accès à distance; -p 3000 définit le port)</w:t>
      </w:r>
    </w:p>
    <w:p w:rsidR="007D2C39" w:rsidRDefault="007D2C39" w:rsidP="00584D6E">
      <w:pPr>
        <w:pStyle w:val="Code"/>
      </w:pPr>
      <w:r>
        <w:lastRenderedPageBreak/>
        <w:t xml:space="preserve">rails s </w:t>
      </w:r>
      <w:r w:rsidR="00584D6E">
        <w:t>-b 0.0.0.0 -p 3000</w:t>
      </w:r>
    </w:p>
    <w:p w:rsidR="00070F08" w:rsidRDefault="00070F08" w:rsidP="00070F08">
      <w:pPr>
        <w:pStyle w:val="Titre2"/>
      </w:pPr>
      <w:r>
        <w:t>Rapport d’achalandage</w:t>
      </w:r>
    </w:p>
    <w:p w:rsidR="00070F08" w:rsidRDefault="00070F08" w:rsidP="00070F08">
      <w:r>
        <w:t>En plus des commandes permettant de générer les données pour la visualisation, l’application comporte aussi des utilitaires embryonnaires visant à produire les rapports d’achalandage mensuels. Il est important de noter que ces rapports ne dépendent pas des données locales, mais bien de celles situées sur le serveur Planif_Prod. Cette situation implique qu’il n’est pas nécessaire d’exécuter les tâches d’importation pour produire les rapports, mais il est toutefois essentiel de générer les tables distantes avec l’utilitaire Access.</w:t>
      </w:r>
    </w:p>
    <w:p w:rsidR="00070F08" w:rsidRDefault="00070F08" w:rsidP="00070F08">
      <w:r>
        <w:t>La procédure permet d’obtenir les données distantes, de les stocker localement et de produire les rapports dans un format approprié.</w:t>
      </w:r>
    </w:p>
    <w:p w:rsidR="00070F08" w:rsidRDefault="00070F08" w:rsidP="00070F08">
      <w:pPr>
        <w:pStyle w:val="Code"/>
      </w:pPr>
      <w:r>
        <w:t>rake import_mois_pour_achalandage[date_debut,date_fin]</w:t>
      </w:r>
    </w:p>
    <w:p w:rsidR="00070F08" w:rsidRDefault="00070F08" w:rsidP="00070F08">
      <w:r>
        <w:t>où date_debut et date_fin sont les dates de début et de fin du mois pour lequel le rapport doit être généré, en format AAAA-MM-JJ. Une fois cette importation des données complétée, deux tâches intégrées permettent d’exporter les tableaux des rapports en format CSV</w:t>
      </w:r>
    </w:p>
    <w:p w:rsidR="00070F08" w:rsidRDefault="00070F08" w:rsidP="00070F08">
      <w:pPr>
        <w:pStyle w:val="Code"/>
      </w:pPr>
      <w:r>
        <w:t xml:space="preserve">rake </w:t>
      </w:r>
      <w:r w:rsidRPr="00070F08">
        <w:t>rapport_achalandage_pour</w:t>
      </w:r>
      <w:r>
        <w:t>[date]</w:t>
      </w:r>
    </w:p>
    <w:p w:rsidR="00070F08" w:rsidRDefault="00070F08" w:rsidP="00070F08">
      <w:r>
        <w:t>où date est n’importe quelle date du mois pour laquelle le rapport doit être produit, en format AAAA-MM-JJ</w:t>
      </w:r>
    </w:p>
    <w:p w:rsidR="00070F08" w:rsidRDefault="00070F08" w:rsidP="00070F08">
      <w:pPr>
        <w:pStyle w:val="Code"/>
      </w:pPr>
      <w:r>
        <w:t>rake rapport_access_65[date]</w:t>
      </w:r>
    </w:p>
    <w:p w:rsidR="00070F08" w:rsidRDefault="00070F08" w:rsidP="00070F08">
      <w:r>
        <w:t>où date est n’importe quelle date du mois pour laquelle le rapport doit être produit, en format AAAA-MM-JJ.</w:t>
      </w:r>
      <w:r w:rsidR="009D2B6B">
        <w:t xml:space="preserve"> Certaines de ces tâches sont des tâches composites d’autres tâches. Celles-ci sont toutes disponibles dans le répertoire lib\tasks dans le fichier achalandage.rake.</w:t>
      </w:r>
    </w:p>
    <w:p w:rsidR="00070F08" w:rsidRDefault="00070F08" w:rsidP="00070F08">
      <w:r>
        <w:t>Ces tâches restent embryonnaires et à développer. Elles sont dépendantes du fichier de titre dans le répertoire db\seeds\titres.csv, qui doit être mis à jour en début d’année pour refléter les changements sur les titres disponibles, leur tarif et la répartition des revenus entre les diverses agences pour les titres métropolitains.</w:t>
      </w:r>
    </w:p>
    <w:p w:rsidR="00ED5E5A" w:rsidRDefault="00ED5E5A" w:rsidP="00ED5E5A">
      <w:pPr>
        <w:pStyle w:val="Titre2"/>
      </w:pPr>
      <w:r>
        <w:t>Page d’accueil</w:t>
      </w:r>
    </w:p>
    <w:p w:rsidR="00ED5E5A" w:rsidRDefault="00ED5E5A" w:rsidP="00ED5E5A">
      <w:r>
        <w:t xml:space="preserve">OVAP contient également une page d’accueil, permettant d’offrir un point d’entrée dirigé vers les autres utilitaires. Cette page est plutôt statique par nature, et ne devrait pas avoir besoin de maintenance régulière. Néanmoins, il est possible de devoir faire des changements mineurs à la vue contenant la définition des liens vers les autres pages. Cette vue, située dans app/views/index/index.html, contient en effet des liens (&lt;a href=&gt;&lt;/a&gt;) vers les autres pages, et certaines situations, comme par exemple un changement d’adresse IP du poste sur lequel l’application est exécutée, peuvent entraîner le besoin d’y faire des modifications. Dans son état actuel, la page auto-défini l’adresse du poste grâce à du code Ruby, ce qui devrait permettre de </w:t>
      </w:r>
      <w:r>
        <w:lastRenderedPageBreak/>
        <w:t>ne pas avoir à y effectuer de modifications tant que l’application n’est disponible que sur l’intranet.</w:t>
      </w:r>
    </w:p>
    <w:p w:rsidR="00A876CE" w:rsidRDefault="00A876CE" w:rsidP="00ED5E5A">
      <w:r>
        <w:t>La page d’accueil référençant plusieurs autres applications, les ports de ces dernières doivent être définies à même le code. La liste suivante illustre quels ports sont définis par défaut dans l’état actuel de la situation</w:t>
      </w:r>
    </w:p>
    <w:tbl>
      <w:tblPr>
        <w:tblStyle w:val="Grilledutableau"/>
        <w:tblW w:w="0" w:type="auto"/>
        <w:jc w:val="center"/>
        <w:tblLook w:val="04A0" w:firstRow="1" w:lastRow="0" w:firstColumn="1" w:lastColumn="0" w:noHBand="0" w:noVBand="1"/>
      </w:tblPr>
      <w:tblGrid>
        <w:gridCol w:w="2660"/>
        <w:gridCol w:w="1984"/>
      </w:tblGrid>
      <w:tr w:rsidR="00A876CE" w:rsidTr="00A876CE">
        <w:trPr>
          <w:jc w:val="center"/>
        </w:trPr>
        <w:tc>
          <w:tcPr>
            <w:tcW w:w="2660" w:type="dxa"/>
          </w:tcPr>
          <w:p w:rsidR="00A876CE" w:rsidRDefault="00A876CE" w:rsidP="00A876CE">
            <w:pPr>
              <w:jc w:val="center"/>
            </w:pPr>
            <w:r>
              <w:t>Application</w:t>
            </w:r>
          </w:p>
        </w:tc>
        <w:tc>
          <w:tcPr>
            <w:tcW w:w="1984" w:type="dxa"/>
          </w:tcPr>
          <w:p w:rsidR="00A876CE" w:rsidRDefault="00A876CE" w:rsidP="00A876CE">
            <w:pPr>
              <w:jc w:val="center"/>
            </w:pPr>
            <w:r>
              <w:t>Port</w:t>
            </w:r>
          </w:p>
        </w:tc>
      </w:tr>
      <w:tr w:rsidR="00A876CE" w:rsidTr="00A876CE">
        <w:trPr>
          <w:jc w:val="center"/>
        </w:trPr>
        <w:tc>
          <w:tcPr>
            <w:tcW w:w="2660" w:type="dxa"/>
          </w:tcPr>
          <w:p w:rsidR="00A876CE" w:rsidRDefault="00A876CE" w:rsidP="00ED5E5A">
            <w:r>
              <w:t>OVAP</w:t>
            </w:r>
          </w:p>
        </w:tc>
        <w:tc>
          <w:tcPr>
            <w:tcW w:w="1984" w:type="dxa"/>
          </w:tcPr>
          <w:p w:rsidR="00A876CE" w:rsidRDefault="00A876CE" w:rsidP="00ED5E5A">
            <w:r>
              <w:t>3000</w:t>
            </w:r>
          </w:p>
        </w:tc>
      </w:tr>
      <w:tr w:rsidR="00A876CE" w:rsidTr="00A876CE">
        <w:trPr>
          <w:jc w:val="center"/>
        </w:trPr>
        <w:tc>
          <w:tcPr>
            <w:tcW w:w="2660" w:type="dxa"/>
          </w:tcPr>
          <w:p w:rsidR="00A876CE" w:rsidRDefault="00A876CE" w:rsidP="00ED5E5A">
            <w:r>
              <w:t>Visualisateur</w:t>
            </w:r>
          </w:p>
        </w:tc>
        <w:tc>
          <w:tcPr>
            <w:tcW w:w="1984" w:type="dxa"/>
          </w:tcPr>
          <w:p w:rsidR="00A876CE" w:rsidRDefault="00A876CE" w:rsidP="00ED5E5A">
            <w:r>
              <w:t>3010</w:t>
            </w:r>
          </w:p>
        </w:tc>
      </w:tr>
      <w:tr w:rsidR="00A876CE" w:rsidTr="00A876CE">
        <w:trPr>
          <w:jc w:val="center"/>
        </w:trPr>
        <w:tc>
          <w:tcPr>
            <w:tcW w:w="2660" w:type="dxa"/>
          </w:tcPr>
          <w:p w:rsidR="00A876CE" w:rsidRDefault="00A876CE" w:rsidP="00ED5E5A">
            <w:r>
              <w:t>OpenTripPlanner</w:t>
            </w:r>
          </w:p>
        </w:tc>
        <w:tc>
          <w:tcPr>
            <w:tcW w:w="1984" w:type="dxa"/>
          </w:tcPr>
          <w:p w:rsidR="00A876CE" w:rsidRDefault="00A876CE" w:rsidP="00ED5E5A">
            <w:r>
              <w:t>8880</w:t>
            </w:r>
          </w:p>
        </w:tc>
      </w:tr>
      <w:tr w:rsidR="004165E9" w:rsidTr="00A876CE">
        <w:trPr>
          <w:jc w:val="center"/>
        </w:trPr>
        <w:tc>
          <w:tcPr>
            <w:tcW w:w="2660" w:type="dxa"/>
          </w:tcPr>
          <w:p w:rsidR="004165E9" w:rsidRDefault="004165E9" w:rsidP="00ED5E5A">
            <w:r>
              <w:t>Carte animée</w:t>
            </w:r>
          </w:p>
        </w:tc>
        <w:tc>
          <w:tcPr>
            <w:tcW w:w="1984" w:type="dxa"/>
          </w:tcPr>
          <w:p w:rsidR="004165E9" w:rsidRDefault="004165E9" w:rsidP="00786EA6">
            <w:r>
              <w:t>80</w:t>
            </w:r>
            <w:r w:rsidR="00786EA6">
              <w:t>82</w:t>
            </w:r>
            <w:bookmarkStart w:id="0" w:name="_GoBack"/>
            <w:bookmarkEnd w:id="0"/>
          </w:p>
        </w:tc>
      </w:tr>
    </w:tbl>
    <w:p w:rsidR="00A876CE" w:rsidRPr="00ED5E5A" w:rsidRDefault="00A876CE" w:rsidP="00ED5E5A"/>
    <w:p w:rsidR="00070F08" w:rsidRDefault="00A86EFD" w:rsidP="00A86EFD">
      <w:pPr>
        <w:pStyle w:val="Titre2"/>
      </w:pPr>
      <w:r>
        <w:t>Requête complémentaires</w:t>
      </w:r>
    </w:p>
    <w:p w:rsidR="00A86EFD" w:rsidRDefault="00A86EFD" w:rsidP="00A86EFD">
      <w:r>
        <w:t>L’interface d’OVAP ne fait qu’effleurer les possibilités en termes de visualisation et d’exploitation des données de carte à puce. Si l’interface ne va pas au-delà de la visualisation de paires OD entre arrêts, il reste possible d’effectuer des requêtes directement sur la base de données sur laquelle l’application s’appuie dans le cadre de besoins spécifiques. De tels besoins se sont présentés notamment dans le cadre d’analyses sur les correspondances. Un exemple de requête pour étudier le nombre de départ à un arrêt spécifique uniquement dans le cadre de correspondances :</w:t>
      </w:r>
    </w:p>
    <w:p w:rsidR="00A86EFD" w:rsidRDefault="00A86EFD" w:rsidP="003C409B">
      <w:pPr>
        <w:pStyle w:val="Code"/>
        <w:jc w:val="left"/>
      </w:pPr>
      <w:r w:rsidRPr="00A86EFD">
        <w:t xml:space="preserve">select </w:t>
      </w:r>
    </w:p>
    <w:p w:rsidR="00A86EFD" w:rsidRDefault="00A86EFD" w:rsidP="00A86EFD">
      <w:pPr>
        <w:pStyle w:val="Code"/>
        <w:jc w:val="left"/>
      </w:pPr>
      <w:r>
        <w:t xml:space="preserve">  </w:t>
      </w:r>
      <w:r w:rsidRPr="00A86EFD">
        <w:t>date,</w:t>
      </w:r>
    </w:p>
    <w:p w:rsidR="00A86EFD" w:rsidRDefault="00A86EFD" w:rsidP="00A86EFD">
      <w:pPr>
        <w:pStyle w:val="Code"/>
        <w:jc w:val="left"/>
      </w:pPr>
      <w:r>
        <w:t xml:space="preserve">  </w:t>
      </w:r>
      <w:r w:rsidRPr="00A86EFD">
        <w:t xml:space="preserve">count(*) </w:t>
      </w:r>
    </w:p>
    <w:p w:rsidR="00A86EFD" w:rsidRDefault="00A86EFD" w:rsidP="00A86EFD">
      <w:pPr>
        <w:pStyle w:val="Code"/>
        <w:jc w:val="left"/>
      </w:pPr>
      <w:r w:rsidRPr="00A86EFD">
        <w:t xml:space="preserve">from </w:t>
      </w:r>
    </w:p>
    <w:p w:rsidR="00A86EFD" w:rsidRDefault="00A86EFD" w:rsidP="00A86EFD">
      <w:pPr>
        <w:pStyle w:val="Code"/>
        <w:jc w:val="left"/>
      </w:pPr>
      <w:r>
        <w:t xml:space="preserve">  segments</w:t>
      </w:r>
    </w:p>
    <w:p w:rsidR="00A86EFD" w:rsidRDefault="00A86EFD" w:rsidP="00A86EFD">
      <w:pPr>
        <w:pStyle w:val="Code"/>
        <w:jc w:val="left"/>
      </w:pPr>
      <w:r w:rsidRPr="00A86EFD">
        <w:t xml:space="preserve">where </w:t>
      </w:r>
    </w:p>
    <w:p w:rsidR="00A86EFD" w:rsidRDefault="00A86EFD" w:rsidP="00A86EFD">
      <w:pPr>
        <w:pStyle w:val="Code"/>
        <w:jc w:val="left"/>
      </w:pPr>
      <w:r>
        <w:t xml:space="preserve">  </w:t>
      </w:r>
      <w:r w:rsidRPr="00A86EFD">
        <w:t xml:space="preserve">assignation_id = 4 </w:t>
      </w:r>
    </w:p>
    <w:p w:rsidR="00A86EFD" w:rsidRDefault="00A86EFD" w:rsidP="00A86EFD">
      <w:pPr>
        <w:pStyle w:val="Code"/>
        <w:jc w:val="left"/>
      </w:pPr>
      <w:r w:rsidRPr="00A86EFD">
        <w:t xml:space="preserve">and </w:t>
      </w:r>
    </w:p>
    <w:p w:rsidR="00A86EFD" w:rsidRDefault="00A86EFD" w:rsidP="00A86EFD">
      <w:pPr>
        <w:pStyle w:val="Code"/>
        <w:jc w:val="left"/>
      </w:pPr>
      <w:r>
        <w:t xml:space="preserve">  </w:t>
      </w:r>
      <w:r w:rsidRPr="00A86EFD">
        <w:t>a</w:t>
      </w:r>
      <w:r>
        <w:t>rret_depart_id</w:t>
      </w:r>
      <w:r w:rsidRPr="00A86EFD">
        <w:t xml:space="preserve"> = 199076 </w:t>
      </w:r>
    </w:p>
    <w:p w:rsidR="00A86EFD" w:rsidRDefault="00A86EFD" w:rsidP="00A86EFD">
      <w:pPr>
        <w:pStyle w:val="Code"/>
        <w:jc w:val="left"/>
      </w:pPr>
      <w:r>
        <w:t>and</w:t>
      </w:r>
    </w:p>
    <w:p w:rsidR="00A86EFD" w:rsidRDefault="00A86EFD" w:rsidP="00A86EFD">
      <w:pPr>
        <w:pStyle w:val="Code"/>
        <w:jc w:val="left"/>
      </w:pPr>
      <w:r>
        <w:t xml:space="preserve">  sequence_dans_deplacement != 1</w:t>
      </w:r>
    </w:p>
    <w:p w:rsidR="00A86EFD" w:rsidRDefault="00A86EFD" w:rsidP="00A86EFD">
      <w:pPr>
        <w:pStyle w:val="Code"/>
        <w:jc w:val="left"/>
      </w:pPr>
      <w:r w:rsidRPr="00A86EFD">
        <w:t>group by date</w:t>
      </w:r>
    </w:p>
    <w:p w:rsidR="00A86EFD" w:rsidRDefault="00A86EFD" w:rsidP="00A86EFD">
      <w:pPr>
        <w:pStyle w:val="Code"/>
        <w:jc w:val="left"/>
      </w:pPr>
    </w:p>
    <w:p w:rsidR="00ED5E5A" w:rsidRPr="00A86EFD" w:rsidRDefault="00A86EFD" w:rsidP="00A86EFD">
      <w:r>
        <w:t>Cette commande SQL renvoie le nombre de montées pour l’arrêt possédant l’identifiant 199076, par jour, pour tous les déplacements n’étant pas la première montée dans la séquence.</w:t>
      </w:r>
    </w:p>
    <w:sectPr w:rsidR="00ED5E5A" w:rsidRPr="00A86E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5C47"/>
    <w:multiLevelType w:val="hybridMultilevel"/>
    <w:tmpl w:val="8B9A0752"/>
    <w:lvl w:ilvl="0" w:tplc="C4F43AD0">
      <w:start w:val="5"/>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92C5B80"/>
    <w:multiLevelType w:val="hybridMultilevel"/>
    <w:tmpl w:val="B9B27694"/>
    <w:lvl w:ilvl="0" w:tplc="A9CEADEC">
      <w:start w:val="5"/>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FA652E0"/>
    <w:multiLevelType w:val="hybridMultilevel"/>
    <w:tmpl w:val="54223336"/>
    <w:lvl w:ilvl="0" w:tplc="71624AAE">
      <w:start w:val="5"/>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F3604BE"/>
    <w:multiLevelType w:val="hybridMultilevel"/>
    <w:tmpl w:val="2FAAD40A"/>
    <w:lvl w:ilvl="0" w:tplc="BDC24144">
      <w:start w:val="5"/>
      <w:numFmt w:val="bullet"/>
      <w:lvlText w:val=""/>
      <w:lvlJc w:val="left"/>
      <w:pPr>
        <w:ind w:left="502" w:hanging="360"/>
      </w:pPr>
      <w:rPr>
        <w:rFonts w:ascii="Wingdings" w:eastAsiaTheme="minorHAnsi" w:hAnsi="Wingdings" w:cstheme="minorBidi" w:hint="default"/>
      </w:rPr>
    </w:lvl>
    <w:lvl w:ilvl="1" w:tplc="0C0C0003" w:tentative="1">
      <w:start w:val="1"/>
      <w:numFmt w:val="bullet"/>
      <w:lvlText w:val="o"/>
      <w:lvlJc w:val="left"/>
      <w:pPr>
        <w:ind w:left="1222" w:hanging="360"/>
      </w:pPr>
      <w:rPr>
        <w:rFonts w:ascii="Courier New" w:hAnsi="Courier New" w:cs="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cs="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cs="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4">
    <w:nsid w:val="5CF44E41"/>
    <w:multiLevelType w:val="hybridMultilevel"/>
    <w:tmpl w:val="6DF8254A"/>
    <w:lvl w:ilvl="0" w:tplc="0C0C0001">
      <w:start w:val="1"/>
      <w:numFmt w:val="bullet"/>
      <w:lvlText w:val=""/>
      <w:lvlJc w:val="left"/>
      <w:pPr>
        <w:ind w:left="720" w:hanging="360"/>
      </w:pPr>
      <w:rPr>
        <w:rFonts w:ascii="Symbol" w:hAnsi="Symbol" w:hint="default"/>
      </w:rPr>
    </w:lvl>
    <w:lvl w:ilvl="1" w:tplc="0C0C000B">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A2"/>
    <w:rsid w:val="00070F08"/>
    <w:rsid w:val="000E23A2"/>
    <w:rsid w:val="0010174B"/>
    <w:rsid w:val="00186DEA"/>
    <w:rsid w:val="00205204"/>
    <w:rsid w:val="00341C4A"/>
    <w:rsid w:val="003C409B"/>
    <w:rsid w:val="003F0E33"/>
    <w:rsid w:val="003F4820"/>
    <w:rsid w:val="004165E9"/>
    <w:rsid w:val="00584D6E"/>
    <w:rsid w:val="006C6EF0"/>
    <w:rsid w:val="00786EA6"/>
    <w:rsid w:val="007A2BD0"/>
    <w:rsid w:val="007D2C39"/>
    <w:rsid w:val="009D2B6B"/>
    <w:rsid w:val="00A61125"/>
    <w:rsid w:val="00A65009"/>
    <w:rsid w:val="00A86EFD"/>
    <w:rsid w:val="00A876CE"/>
    <w:rsid w:val="00AF0F57"/>
    <w:rsid w:val="00D34DA3"/>
    <w:rsid w:val="00ED5E5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F08"/>
    <w:pPr>
      <w:jc w:val="both"/>
    </w:pPr>
  </w:style>
  <w:style w:type="paragraph" w:styleId="Titre1">
    <w:name w:val="heading 1"/>
    <w:basedOn w:val="Normal"/>
    <w:next w:val="Normal"/>
    <w:link w:val="Titre1Car"/>
    <w:uiPriority w:val="9"/>
    <w:qFormat/>
    <w:rsid w:val="003F0E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17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D5E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0174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link w:val="ParagraphedelisteCar"/>
    <w:uiPriority w:val="34"/>
    <w:qFormat/>
    <w:rsid w:val="007D2C39"/>
    <w:pPr>
      <w:ind w:left="720"/>
      <w:contextualSpacing/>
    </w:pPr>
  </w:style>
  <w:style w:type="character" w:styleId="Accentuation">
    <w:name w:val="Emphasis"/>
    <w:basedOn w:val="Policepardfaut"/>
    <w:uiPriority w:val="20"/>
    <w:qFormat/>
    <w:rsid w:val="00584D6E"/>
    <w:rPr>
      <w:i/>
      <w:iCs/>
    </w:rPr>
  </w:style>
  <w:style w:type="paragraph" w:customStyle="1" w:styleId="Code">
    <w:name w:val="Code"/>
    <w:basedOn w:val="Paragraphedeliste"/>
    <w:link w:val="CodeCar"/>
    <w:qFormat/>
    <w:rsid w:val="00584D6E"/>
    <w:pPr>
      <w:ind w:left="502"/>
      <w:jc w:val="center"/>
    </w:pPr>
    <w:rPr>
      <w:rFonts w:ascii="Source Code Pro" w:hAnsi="Source Code Pro"/>
      <w:sz w:val="20"/>
      <w:szCs w:val="20"/>
    </w:rPr>
  </w:style>
  <w:style w:type="character" w:customStyle="1" w:styleId="Titre1Car">
    <w:name w:val="Titre 1 Car"/>
    <w:basedOn w:val="Policepardfaut"/>
    <w:link w:val="Titre1"/>
    <w:uiPriority w:val="9"/>
    <w:rsid w:val="003F0E33"/>
    <w:rPr>
      <w:rFonts w:asciiTheme="majorHAnsi" w:eastAsiaTheme="majorEastAsia" w:hAnsiTheme="majorHAnsi" w:cstheme="majorBidi"/>
      <w:b/>
      <w:bCs/>
      <w:color w:val="365F91" w:themeColor="accent1" w:themeShade="BF"/>
      <w:sz w:val="28"/>
      <w:szCs w:val="28"/>
    </w:rPr>
  </w:style>
  <w:style w:type="character" w:customStyle="1" w:styleId="ParagraphedelisteCar">
    <w:name w:val="Paragraphe de liste Car"/>
    <w:basedOn w:val="Policepardfaut"/>
    <w:link w:val="Paragraphedeliste"/>
    <w:uiPriority w:val="34"/>
    <w:rsid w:val="00584D6E"/>
  </w:style>
  <w:style w:type="character" w:customStyle="1" w:styleId="CodeCar">
    <w:name w:val="Code Car"/>
    <w:basedOn w:val="ParagraphedelisteCar"/>
    <w:link w:val="Code"/>
    <w:rsid w:val="00584D6E"/>
    <w:rPr>
      <w:rFonts w:ascii="Source Code Pro" w:hAnsi="Source Code Pro"/>
      <w:sz w:val="20"/>
      <w:szCs w:val="20"/>
    </w:rPr>
  </w:style>
  <w:style w:type="paragraph" w:styleId="Titre">
    <w:name w:val="Title"/>
    <w:basedOn w:val="Normal"/>
    <w:next w:val="Normal"/>
    <w:link w:val="TitreCar"/>
    <w:uiPriority w:val="10"/>
    <w:qFormat/>
    <w:rsid w:val="003F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F0E33"/>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ED5E5A"/>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A87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F08"/>
    <w:pPr>
      <w:jc w:val="both"/>
    </w:pPr>
  </w:style>
  <w:style w:type="paragraph" w:styleId="Titre1">
    <w:name w:val="heading 1"/>
    <w:basedOn w:val="Normal"/>
    <w:next w:val="Normal"/>
    <w:link w:val="Titre1Car"/>
    <w:uiPriority w:val="9"/>
    <w:qFormat/>
    <w:rsid w:val="003F0E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17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D5E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0174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link w:val="ParagraphedelisteCar"/>
    <w:uiPriority w:val="34"/>
    <w:qFormat/>
    <w:rsid w:val="007D2C39"/>
    <w:pPr>
      <w:ind w:left="720"/>
      <w:contextualSpacing/>
    </w:pPr>
  </w:style>
  <w:style w:type="character" w:styleId="Accentuation">
    <w:name w:val="Emphasis"/>
    <w:basedOn w:val="Policepardfaut"/>
    <w:uiPriority w:val="20"/>
    <w:qFormat/>
    <w:rsid w:val="00584D6E"/>
    <w:rPr>
      <w:i/>
      <w:iCs/>
    </w:rPr>
  </w:style>
  <w:style w:type="paragraph" w:customStyle="1" w:styleId="Code">
    <w:name w:val="Code"/>
    <w:basedOn w:val="Paragraphedeliste"/>
    <w:link w:val="CodeCar"/>
    <w:qFormat/>
    <w:rsid w:val="00584D6E"/>
    <w:pPr>
      <w:ind w:left="502"/>
      <w:jc w:val="center"/>
    </w:pPr>
    <w:rPr>
      <w:rFonts w:ascii="Source Code Pro" w:hAnsi="Source Code Pro"/>
      <w:sz w:val="20"/>
      <w:szCs w:val="20"/>
    </w:rPr>
  </w:style>
  <w:style w:type="character" w:customStyle="1" w:styleId="Titre1Car">
    <w:name w:val="Titre 1 Car"/>
    <w:basedOn w:val="Policepardfaut"/>
    <w:link w:val="Titre1"/>
    <w:uiPriority w:val="9"/>
    <w:rsid w:val="003F0E33"/>
    <w:rPr>
      <w:rFonts w:asciiTheme="majorHAnsi" w:eastAsiaTheme="majorEastAsia" w:hAnsiTheme="majorHAnsi" w:cstheme="majorBidi"/>
      <w:b/>
      <w:bCs/>
      <w:color w:val="365F91" w:themeColor="accent1" w:themeShade="BF"/>
      <w:sz w:val="28"/>
      <w:szCs w:val="28"/>
    </w:rPr>
  </w:style>
  <w:style w:type="character" w:customStyle="1" w:styleId="ParagraphedelisteCar">
    <w:name w:val="Paragraphe de liste Car"/>
    <w:basedOn w:val="Policepardfaut"/>
    <w:link w:val="Paragraphedeliste"/>
    <w:uiPriority w:val="34"/>
    <w:rsid w:val="00584D6E"/>
  </w:style>
  <w:style w:type="character" w:customStyle="1" w:styleId="CodeCar">
    <w:name w:val="Code Car"/>
    <w:basedOn w:val="ParagraphedelisteCar"/>
    <w:link w:val="Code"/>
    <w:rsid w:val="00584D6E"/>
    <w:rPr>
      <w:rFonts w:ascii="Source Code Pro" w:hAnsi="Source Code Pro"/>
      <w:sz w:val="20"/>
      <w:szCs w:val="20"/>
    </w:rPr>
  </w:style>
  <w:style w:type="paragraph" w:styleId="Titre">
    <w:name w:val="Title"/>
    <w:basedOn w:val="Normal"/>
    <w:next w:val="Normal"/>
    <w:link w:val="TitreCar"/>
    <w:uiPriority w:val="10"/>
    <w:qFormat/>
    <w:rsid w:val="003F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F0E33"/>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ED5E5A"/>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A87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1540</TotalTime>
  <Pages>3</Pages>
  <Words>903</Words>
  <Characters>4971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19</cp:revision>
  <dcterms:created xsi:type="dcterms:W3CDTF">2018-07-16T15:49:00Z</dcterms:created>
  <dcterms:modified xsi:type="dcterms:W3CDTF">2018-08-16T19:24:00Z</dcterms:modified>
</cp:coreProperties>
</file>