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b w:val="0"/>
          <w:sz w:val="28"/>
        </w:rPr>
        <w:t>Voice Sample: Narrative Rewrite Direction</w:t>
      </w:r>
    </w:p>
    <w:p>
      <w:pPr>
        <w:jc w:val="center"/>
      </w:pPr>
      <w:r>
        <w:rPr>
          <w:b w:val="0"/>
          <w:sz w:val="24"/>
        </w:rPr>
        <w:t>by Robert McCarthy</w:t>
      </w:r>
    </w:p>
    <w:p>
      <w:pPr>
        <w:jc w:val="center"/>
      </w:pPr>
      <w:r>
        <w:rPr>
          <w:b w:val="0"/>
          <w:sz w:val="20"/>
        </w:rPr>
        <w:t>Draft date: May 18, 2026</w:t>
      </w:r>
    </w:p>
    <w:p>
      <w:r>
        <w:br w:type="page"/>
      </w:r>
    </w:p>
    <w:p>
      <w:pPr>
        <w:pStyle w:val="Heading1"/>
      </w:pPr>
      <w:r>
        <w:t>Editorial Direction For This Pass</w:t>
      </w:r>
    </w:p>
    <w:p>
      <w:pPr>
        <w:spacing w:after="160" w:line="259" w:lineRule="auto"/>
      </w:pPr>
      <w:r>
        <w:t>This sample uses two sources for voice: the Uncle Robert Consulting Brand Voice Guide and the lived working pattern that has emerged through the agency build. The guide gives the formal language: warm professional, collaborative, practical, teacherly, systems-minded, and relationship-first. The lived pattern adds something important: we learn and grow, we do things differently now, we have more clarity of purpose than we had before, and we update the record as we grow for the sake of truth, transparency, and sincerity.</w:t>
      </w:r>
    </w:p>
    <w:p>
      <w:pPr>
        <w:spacing w:after="160" w:line="259" w:lineRule="auto"/>
      </w:pPr>
      <w:r>
        <w:t>That means the book should not sound like a fixed expert speaking down from the mountain. It should sound like a trusted operator walking with the reader through a real business, telling the truth about what used to be unclear, what is clearer now, and how to build a system that can keep improving without losing its soul.</w:t>
      </w:r>
    </w:p>
    <w:tbl>
      <w:tblPr>
        <w:tblW w:type="auto" w:w="0"/>
        <w:tblLook w:firstColumn="1" w:firstRow="1" w:lastColumn="0" w:lastRow="0" w:noHBand="0" w:noVBand="1" w:val="04A0"/>
      </w:tblPr>
      <w:tblGrid>
        <w:gridCol w:w="9792"/>
      </w:tblGrid>
      <w:tr>
        <w:tc>
          <w:tcPr>
            <w:tcW w:type="dxa" w:w="9792"/>
            <w:shd w:fill="EAF2F8"/>
          </w:tcPr>
          <w:p>
            <w:r>
              <w:rPr>
                <w:b/>
              </w:rPr>
              <w:t>Voice rule for the full rewrite</w:t>
            </w:r>
          </w:p>
          <w:p>
            <w:r>
              <w:t>The operating substance stays, but the posture changes. The book should teach, guide, and build confidence. It should not merely instruct.</w:t>
            </w:r>
          </w:p>
        </w:tc>
      </w:tr>
    </w:tbl>
    <w:p/>
    <w:p>
      <w:pPr>
        <w:pStyle w:val="Heading1"/>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tbl>
      <w:tblPr>
        <w:tblW w:type="auto" w:w="0"/>
        <w:tblLook w:firstColumn="1" w:firstRow="1" w:lastColumn="0" w:lastRow="0" w:noHBand="0" w:noVBand="1" w:val="04A0"/>
      </w:tblPr>
      <w:tblGrid>
        <w:gridCol w:w="9792"/>
      </w:tblGrid>
      <w:tr>
        <w:tc>
          <w:tcPr>
            <w:tcW w:type="dxa" w:w="9792"/>
            <w:shd w:fill="EAF2F8"/>
          </w:tcPr>
          <w:p>
            <w:r>
              <w:rPr>
                <w:b/>
              </w:rPr>
              <w:t>What this book is promising</w:t>
            </w:r>
          </w:p>
          <w:p>
            <w:r>
              <w:t>Not perfection. Not a fancy operating theory. A practical way to see the work, simplify the work, and build systems that serve people instead of burying them.</w:t>
            </w:r>
          </w:p>
        </w:tc>
      </w:tr>
    </w:tbl>
    <w:p/>
    <w:p>
      <w:pPr>
        <w:pStyle w:val="Heading1"/>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pPr>
        <w:pStyle w:val="Heading1"/>
      </w:pPr>
      <w:r>
        <w:t>Chapter 1: Understanding the Business You Are Actually Running</w:t>
      </w:r>
    </w:p>
    <w:p>
      <w:pPr>
        <w:spacing w:after="160" w:line="259" w:lineRule="auto"/>
      </w:pPr>
      <w:r>
        <w:t>Before we fix anything, we have to be honest about what we are looking at. That sounds simple, but it is one of the hardest moves in business.</w:t>
      </w:r>
    </w:p>
    <w:p>
      <w:pPr>
        <w:spacing w:after="160" w:line="259" w:lineRule="auto"/>
      </w:pPr>
      <w:r>
        <w:t>Most owners know their business from the inside. They know the customers. They know the pressure. They know who always answers the phone, who is good with details, who needs reminders, which vendor is reliable, which tool is annoying, and which process only works because one person has carried it in their head for too long.</w:t>
      </w:r>
    </w:p>
    <w:p>
      <w:pPr>
        <w:spacing w:after="160" w:line="259" w:lineRule="auto"/>
      </w:pPr>
      <w:r>
        <w:t>That kind of knowledge is valuable, but it is not the same as a clear operating picture. Inside knowledge helps you survive the day. An operating picture helps you build a business that does not need to survive every day by force of memory and willpower.</w:t>
      </w:r>
    </w:p>
    <w:p>
      <w:pPr>
        <w:spacing w:after="160" w:line="259" w:lineRule="auto"/>
      </w:pPr>
      <w: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t>We are simply shining light on how the work moves. Where does a customer request begin? Where does it wait? Who touches it? What tool holds the information? What happens when the normal person is out? Where does money get delayed? Where does quality depend on memory instead of a written standard?</w:t>
      </w:r>
    </w:p>
    <w:p>
      <w:pPr>
        <w:spacing w:after="160" w:line="259" w:lineRule="auto"/>
      </w:pPr>
      <w:r>
        <w:t>Those questions are not meant to embarrass anybody. They are meant to protect the business from depending on invisible effort forever.</w:t>
      </w:r>
    </w:p>
    <w:tbl>
      <w:tblPr>
        <w:tblW w:type="auto" w:w="0"/>
        <w:tblLook w:firstColumn="1" w:firstRow="1" w:lastColumn="0" w:lastRow="0" w:noHBand="0" w:noVBand="1" w:val="04A0"/>
      </w:tblPr>
      <w:tblGrid>
        <w:gridCol w:w="9792"/>
      </w:tblGrid>
      <w:tr>
        <w:tc>
          <w:tcPr>
            <w:tcW w:type="dxa" w:w="9792"/>
            <w:shd w:fill="EAF2F8"/>
          </w:tcPr>
          <w:p>
            <w:r>
              <w:rPr>
                <w:b/>
              </w:rPr>
              <w:t>Let us make this practical</w:t>
            </w:r>
          </w:p>
          <w:p>
            <w:r>
              <w:t>Pick one process that matters this week. Do not start with the whole company. Start with one path where confusion costs time, money, trust, or energy.</w:t>
            </w:r>
          </w:p>
          <w:p>
            <w:pPr>
              <w:pStyle w:val="ListBullet"/>
            </w:pPr>
            <w:r>
              <w:t>A new lead arriving</w:t>
            </w:r>
          </w:p>
          <w:p>
            <w:pPr>
              <w:pStyle w:val="ListBullet"/>
            </w:pPr>
            <w:r>
              <w:t>A client onboarding step</w:t>
            </w:r>
          </w:p>
          <w:p>
            <w:pPr>
              <w:pStyle w:val="ListBullet"/>
            </w:pPr>
            <w:r>
              <w:t>An invoice getting created</w:t>
            </w:r>
          </w:p>
          <w:p>
            <w:pPr>
              <w:pStyle w:val="ListBullet"/>
            </w:pPr>
            <w:r>
              <w:t>A delivery handoff</w:t>
            </w:r>
          </w:p>
          <w:p>
            <w:pPr>
              <w:pStyle w:val="ListBullet"/>
            </w:pPr>
            <w:r>
              <w:t>A customer complaint or support request</w:t>
            </w:r>
          </w:p>
        </w:tc>
      </w:tr>
    </w:tbl>
    <w:p/>
    <w:p>
      <w:pPr>
        <w:spacing w:after="160" w:line="259" w:lineRule="auto"/>
      </w:pPr>
      <w:r>
        <w:t>Once we choose the process, we write down the real steps. Not the ideal steps. Not the version we would put in a proposal. The real steps. If the request starts in a text message, say that. If the spreadsheet is outdated, say that. If the customer gets an answer only because the owner remembers to follow up at night, say that too.</w:t>
      </w:r>
    </w:p>
    <w:p>
      <w:pPr>
        <w:spacing w:after="160" w:line="259" w:lineRule="auto"/>
      </w:pPr>
      <w:r>
        <w:t>This is where clarity begins. We cannot improve a pretend process. We can only improve the process that actually exists.</w:t>
      </w:r>
    </w:p>
    <w:p>
      <w:pPr>
        <w:spacing w:after="160" w:line="259" w:lineRule="auto"/>
      </w:pPr>
      <w:r>
        <w:t>As we map the work, we are looking for a few things. We are looking for delays, repeated questions, unclear owners, duplicate entry, manual work that could be simplified, tools that do not talk to each other, and decisions that depend too heavily on one person. We are also looking for what already works, because operational excellence is not about tearing everything down. Sometimes the best move is to preserve the good habit and build a better support around it.</w:t>
      </w:r>
    </w:p>
    <w:p>
      <w:pPr>
        <w:spacing w:after="160" w:line="259" w:lineRule="auto"/>
      </w:pPr>
      <w:r>
        <w:t>Technology may help, but it should not be the first answer. I am a tech-savvy traditionalist in that way. I believe in tools. I believe in automation. I also believe a tool should earn its place. If it does not save time, reduce mistakes, improve decisions, or help people serve the customer better, it may not be automation. It may just be rent.</w:t>
      </w:r>
    </w:p>
    <w:p>
      <w:pPr>
        <w:spacing w:after="160" w:line="259" w:lineRule="auto"/>
      </w:pPr>
      <w:r>
        <w:t>By the end of this first chapter, the goal is not to have a perfect operations manual. The goal is to have one honest map. One process made visible. One place where the business can stop guessing and start improving.</w:t>
      </w:r>
    </w:p>
    <w:p>
      <w:pPr>
        <w:spacing w:after="160" w:line="259" w:lineRule="auto"/>
      </w:pPr>
      <w:r>
        <w:t>That is enough for the first move. We are not trying to become excellent by pretending we already are. We are becoming excellent by telling the truth and building from there.</w:t>
      </w:r>
    </w:p>
    <w:tbl>
      <w:tblPr>
        <w:tblW w:type="auto" w:w="0"/>
        <w:tblLook w:firstColumn="1" w:firstRow="1" w:lastColumn="0" w:lastRow="0" w:noHBand="0" w:noVBand="1" w:val="04A0"/>
      </w:tblPr>
      <w:tblGrid>
        <w:gridCol w:w="9792"/>
      </w:tblGrid>
      <w:tr>
        <w:tc>
          <w:tcPr>
            <w:tcW w:type="dxa" w:w="9792"/>
            <w:shd w:fill="EAF2F8"/>
          </w:tcPr>
          <w:p>
            <w:r>
              <w:rPr>
                <w:b/>
              </w:rPr>
              <w:t>Chapter 1 working takeaway</w:t>
            </w:r>
          </w:p>
          <w:p>
            <w:r>
              <w:t>Operational excellence begins when the work becomes visible enough to improve and human enough to serve.</w:t>
            </w:r>
          </w:p>
        </w:tc>
      </w:tr>
    </w:tbl>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