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</w:pPr>
      <w:r>
        <w:rPr>
          <w:rFonts w:ascii="Arial" w:hAnsi="Arial" w:eastAsia="Arial"/>
          <w:b w:val="0"/>
          <w:color w:val="000000"/>
          <w:sz w:val="52"/>
        </w:rPr>
        <w:t>URC / Agent Lab Governance SOP</w:t>
      </w:r>
    </w:p>
    <w:p>
      <w:pPr>
        <w:spacing w:after="280"/>
      </w:pPr>
      <w:r>
        <w:rPr>
          <w:rFonts w:ascii="Arial" w:hAnsi="Arial" w:eastAsia="Arial"/>
          <w:color w:val="555555"/>
          <w:sz w:val="22"/>
        </w:rPr>
        <w:t>Prepared for Bootstrapper.ai / Ownable OS setup</w:t>
      </w:r>
    </w:p>
    <w:p>
      <w:r>
        <w:t>Date prepared: 2026-05-24</w:t>
      </w:r>
    </w:p>
    <w:p>
      <w:r>
        <w:t>Status: Presentable v1</w:t>
      </w:r>
    </w:p>
    <w:p>
      <w:r>
        <w:t>Owner: Robert T. McCarthy</w:t>
      </w:r>
    </w:p>
    <w:p>
      <w:r>
        <w:t>Applies to: Uncle Robert Consulting, Agent Lab, Tactix, Bootstrapper Capital, and Bootstrapper's Guide to the World</w:t>
      </w:r>
    </w:p>
    <w:p>
      <w:pPr>
        <w:pStyle w:val="Heading1"/>
      </w:pPr>
      <w:r>
        <w:t>Purpose</w:t>
      </w:r>
    </w:p>
    <w:p>
      <w:r>
        <w:t>This SOP defines how Uncle Robert Consulting and Agent Lab govern work, approvals, workflow changes, public publishing, and AI-assisted execution.</w:t>
      </w:r>
    </w:p>
    <w:p>
      <w:r>
        <w:t>The standard is simple: automate what can be safely prepared, keep human judgment over commitments, and preserve trust with clients, partners, prospects, and public audiences.</w:t>
      </w:r>
    </w:p>
    <w:p>
      <w:pPr>
        <w:pStyle w:val="Heading1"/>
      </w:pPr>
      <w:r>
        <w:t>Governance Principle</w:t>
      </w:r>
    </w:p>
    <w:p>
      <w:r>
        <w:t>URC / Agent Lab operates with human-led, AI-assisted governance.</w:t>
      </w:r>
    </w:p>
    <w:p>
      <w:r>
        <w:t>AI agents may draft, research, prepare, test, log, and recommend. Robert retains authority over decisions that affect money, access, public commitments, client trust, published material, or authoritative business records.</w:t>
      </w:r>
    </w:p>
    <w:p>
      <w:r>
        <w:t>The operating goal is not more bureaucracy. The goal is to make work clear enough that a human or agent can continue it without guessing.</w:t>
      </w:r>
    </w:p>
    <w:p>
      <w:pPr>
        <w:pStyle w:val="Heading1"/>
      </w:pPr>
      <w:r>
        <w:t>Scope</w:t>
      </w:r>
    </w:p>
    <w:p>
      <w:r>
        <w:t>This SOP applies to:</w:t>
      </w:r>
    </w:p>
    <w:p>
      <w:pPr>
        <w:pStyle w:val="ListBullet"/>
      </w:pPr>
      <w:r>
        <w:t>internal operating changes</w:t>
      </w:r>
    </w:p>
    <w:p>
      <w:pPr>
        <w:pStyle w:val="ListBullet"/>
      </w:pPr>
      <w:r>
        <w:t>workflow package changes</w:t>
      </w:r>
    </w:p>
    <w:p>
      <w:pPr>
        <w:pStyle w:val="ListBullet"/>
      </w:pPr>
      <w:r>
        <w:t>public content and publishing</w:t>
      </w:r>
    </w:p>
    <w:p>
      <w:pPr>
        <w:pStyle w:val="ListBullet"/>
      </w:pPr>
      <w:r>
        <w:t>website and SaaS beta updates</w:t>
      </w:r>
    </w:p>
    <w:p>
      <w:pPr>
        <w:pStyle w:val="ListBullet"/>
      </w:pPr>
      <w:r>
        <w:t>lead-generation and CRM-lite updates</w:t>
      </w:r>
    </w:p>
    <w:p>
      <w:pPr>
        <w:pStyle w:val="ListBullet"/>
      </w:pPr>
      <w:r>
        <w:t>client-facing or prospect-facing commitments</w:t>
      </w:r>
    </w:p>
    <w:p>
      <w:pPr>
        <w:pStyle w:val="ListBullet"/>
      </w:pPr>
      <w:r>
        <w:t>finance, invoicing, and payment status records</w:t>
      </w:r>
    </w:p>
    <w:p>
      <w:pPr>
        <w:pStyle w:val="ListBullet"/>
      </w:pPr>
      <w:r>
        <w:t>system, account, or access changes</w:t>
      </w:r>
    </w:p>
    <w:p>
      <w:pPr>
        <w:pStyle w:val="ListBullet"/>
      </w:pPr>
      <w:r>
        <w:t>SOP, evidence, and change-control records</w:t>
      </w:r>
    </w:p>
    <w:p>
      <w:pPr>
        <w:pStyle w:val="Heading1"/>
      </w:pPr>
      <w:r>
        <w:t>Governance Cadence</w:t>
      </w:r>
    </w:p>
    <w:p>
      <w:r>
        <w:t>Weekly review:</w:t>
      </w:r>
    </w:p>
    <w:p>
      <w:pPr>
        <w:pStyle w:val="ListBullet"/>
      </w:pPr>
      <w:r>
        <w:t>Day: Friday</w:t>
      </w:r>
    </w:p>
    <w:p>
      <w:pPr>
        <w:pStyle w:val="ListBullet"/>
      </w:pPr>
      <w:r>
        <w:t>Time: 9:00 AM</w:t>
      </w:r>
    </w:p>
    <w:p>
      <w:pPr>
        <w:pStyle w:val="ListBullet"/>
      </w:pPr>
      <w:r>
        <w:t>Timezone: America/Chicago</w:t>
      </w:r>
    </w:p>
    <w:p>
      <w:pPr>
        <w:pStyle w:val="ListBullet"/>
      </w:pPr>
      <w:r>
        <w:t>Focus: finance, KPIs, active leads, workflow progress, open risks, and next-week setup</w:t>
      </w:r>
    </w:p>
    <w:p>
      <w:r>
        <w:t>Monthly review:</w:t>
      </w:r>
    </w:p>
    <w:p>
      <w:pPr>
        <w:pStyle w:val="ListBullet"/>
      </w:pPr>
      <w:r>
        <w:t>Day: 1st day of the month</w:t>
      </w:r>
    </w:p>
    <w:p>
      <w:pPr>
        <w:pStyle w:val="ListBullet"/>
      </w:pPr>
      <w:r>
        <w:t>Focus: revenue, pipeline, offers, tool spend, and active priorities</w:t>
      </w:r>
    </w:p>
    <w:p>
      <w:r>
        <w:t>Quarterly review:</w:t>
      </w:r>
    </w:p>
    <w:p>
      <w:pPr>
        <w:pStyle w:val="ListBullet"/>
      </w:pPr>
      <w:r>
        <w:t>Starts: January, April, July, October</w:t>
      </w:r>
    </w:p>
    <w:p>
      <w:pPr>
        <w:pStyle w:val="ListBullet"/>
      </w:pPr>
      <w:r>
        <w:t>Focus: SOP review, offer ladder, workflow packaging, automation readiness, and system cleanup</w:t>
      </w:r>
    </w:p>
    <w:p>
      <w:r>
        <w:t>Annual close:</w:t>
      </w:r>
    </w:p>
    <w:p>
      <w:pPr>
        <w:pStyle w:val="ListBullet"/>
      </w:pPr>
      <w:r>
        <w:t>Month: December</w:t>
      </w:r>
    </w:p>
    <w:p>
      <w:pPr>
        <w:pStyle w:val="ListBullet"/>
      </w:pPr>
      <w:r>
        <w:t>Focus: mission, vision, annual performance, platform direction, and strategic commitments</w:t>
      </w:r>
    </w:p>
    <w:p>
      <w:pPr>
        <w:pStyle w:val="Heading1"/>
      </w:pPr>
      <w:r>
        <w:t>Decision Rights</w:t>
      </w:r>
    </w:p>
    <w:p>
      <w:r>
        <w:t>Robert must approve:</w:t>
      </w:r>
    </w:p>
    <w:p>
      <w:pPr>
        <w:pStyle w:val="ListBullet"/>
      </w:pPr>
      <w:r>
        <w:t>external sends</w:t>
      </w:r>
    </w:p>
    <w:p>
      <w:pPr>
        <w:pStyle w:val="ListBullet"/>
      </w:pPr>
      <w:r>
        <w:t>public publishing</w:t>
      </w:r>
    </w:p>
    <w:p>
      <w:pPr>
        <w:pStyle w:val="ListBullet"/>
      </w:pPr>
      <w:r>
        <w:t>paid offers, pricing, or material commercial terms</w:t>
      </w:r>
    </w:p>
    <w:p>
      <w:pPr>
        <w:pStyle w:val="ListBullet"/>
      </w:pPr>
      <w:r>
        <w:t>client-visible commitments</w:t>
      </w:r>
    </w:p>
    <w:p>
      <w:pPr>
        <w:pStyle w:val="ListBullet"/>
      </w:pPr>
      <w:r>
        <w:t>money movement, invoicing decisions, or payment-status changes</w:t>
      </w:r>
    </w:p>
    <w:p>
      <w:pPr>
        <w:pStyle w:val="ListBullet"/>
      </w:pPr>
      <w:r>
        <w:t>access, permissions, credentials, or account changes</w:t>
      </w:r>
    </w:p>
    <w:p>
      <w:pPr>
        <w:pStyle w:val="ListBullet"/>
      </w:pPr>
      <w:r>
        <w:t>authoritative changes to SOPs, workflow packages, operating architecture, or business records</w:t>
      </w:r>
    </w:p>
    <w:p>
      <w:pPr>
        <w:pStyle w:val="ListBullet"/>
      </w:pPr>
      <w:r>
        <w:t>material brand hierarchy changes among URC, Agent Lab, Tactix, Bootstrapper Capital, or the book</w:t>
      </w:r>
    </w:p>
    <w:p>
      <w:r>
        <w:t>Agents may prepare:</w:t>
      </w:r>
    </w:p>
    <w:p>
      <w:pPr>
        <w:pStyle w:val="ListBullet"/>
      </w:pPr>
      <w:r>
        <w:t>draft content</w:t>
      </w:r>
    </w:p>
    <w:p>
      <w:pPr>
        <w:pStyle w:val="ListBullet"/>
      </w:pPr>
      <w:r>
        <w:t>lead research</w:t>
      </w:r>
    </w:p>
    <w:p>
      <w:pPr>
        <w:pStyle w:val="ListBullet"/>
      </w:pPr>
      <w:r>
        <w:t>CRM-lite updates for review</w:t>
      </w:r>
    </w:p>
    <w:p>
      <w:pPr>
        <w:pStyle w:val="ListBullet"/>
      </w:pPr>
      <w:r>
        <w:t>workflow documentation</w:t>
      </w:r>
    </w:p>
    <w:p>
      <w:pPr>
        <w:pStyle w:val="ListBullet"/>
      </w:pPr>
      <w:r>
        <w:t>SOP drafts</w:t>
      </w:r>
    </w:p>
    <w:p>
      <w:pPr>
        <w:pStyle w:val="ListBullet"/>
      </w:pPr>
      <w:r>
        <w:t>change-control entries</w:t>
      </w:r>
    </w:p>
    <w:p>
      <w:pPr>
        <w:pStyle w:val="ListBullet"/>
      </w:pPr>
      <w:r>
        <w:t>testing evidence</w:t>
      </w:r>
    </w:p>
    <w:p>
      <w:pPr>
        <w:pStyle w:val="ListBullet"/>
      </w:pPr>
      <w:r>
        <w:t>implementation plans</w:t>
      </w:r>
    </w:p>
    <w:p>
      <w:pPr>
        <w:pStyle w:val="ListBullet"/>
      </w:pPr>
      <w:r>
        <w:t>diagnostic summaries</w:t>
      </w:r>
    </w:p>
    <w:p>
      <w:pPr>
        <w:pStyle w:val="ListBullet"/>
      </w:pPr>
      <w:r>
        <w:t>recommendations and next actions</w:t>
      </w:r>
    </w:p>
    <w:p>
      <w:r>
        <w:t>Agents may not independently commit the business externally.</w:t>
      </w:r>
    </w:p>
    <w:p>
      <w:pPr>
        <w:pStyle w:val="Heading1"/>
      </w:pPr>
      <w:r>
        <w:t>Approval Gates</w:t>
      </w:r>
    </w:p>
    <w:p>
      <w:r>
        <w:t>Use owner approval before any of the following:</w:t>
      </w:r>
    </w:p>
    <w:p>
      <w:pPr>
        <w:pStyle w:val="ListNumber"/>
      </w:pPr>
      <w:r>
        <w:t>Sending a message to a prospect, client, partner, or public audience.</w:t>
      </w:r>
    </w:p>
    <w:p>
      <w:pPr>
        <w:pStyle w:val="ListNumber"/>
      </w:pPr>
      <w:r>
        <w:t>Publishing or materially updating public website, blog, email, or social content.</w:t>
      </w:r>
    </w:p>
    <w:p>
      <w:pPr>
        <w:pStyle w:val="ListNumber"/>
      </w:pPr>
      <w:r>
        <w:t>Changing prices, offer promises, terms, or refund expectations.</w:t>
      </w:r>
    </w:p>
    <w:p>
      <w:pPr>
        <w:pStyle w:val="ListNumber"/>
      </w:pPr>
      <w:r>
        <w:t>Adding, removing, or changing account access.</w:t>
      </w:r>
    </w:p>
    <w:p>
      <w:pPr>
        <w:pStyle w:val="ListNumber"/>
      </w:pPr>
      <w:r>
        <w:t>Moving money or changing finance records.</w:t>
      </w:r>
    </w:p>
    <w:p>
      <w:pPr>
        <w:pStyle w:val="ListNumber"/>
      </w:pPr>
      <w:r>
        <w:t>Changing authoritative business records, workflow packages, or SOPs.</w:t>
      </w:r>
    </w:p>
    <w:p>
      <w:pPr>
        <w:pStyle w:val="ListNumber"/>
      </w:pPr>
      <w:r>
        <w:t>Making a client-visible delivery commitment.</w:t>
      </w:r>
    </w:p>
    <w:p>
      <w:pPr>
        <w:pStyle w:val="Heading1"/>
      </w:pPr>
      <w:r>
        <w:t>Change Control</w:t>
      </w:r>
    </w:p>
    <w:p>
      <w:r>
        <w:t>Meaningful changes are recorded in:</w:t>
      </w:r>
    </w:p>
    <w:p>
      <w:r>
        <w:t>docs/operations/change-control-register.md</w:t>
      </w:r>
    </w:p>
    <w:p>
      <w:r>
        <w:t>Non-urgent changes are scheduled in:</w:t>
      </w:r>
    </w:p>
    <w:p>
      <w:r>
        <w:t>docs/operations/scheduled-change-queue.md</w:t>
      </w:r>
    </w:p>
    <w:p>
      <w:r>
        <w:t>Fast-lane changes are limited to work that directly unblocks:</w:t>
      </w:r>
    </w:p>
    <w:p>
      <w:pPr>
        <w:pStyle w:val="ListBullet"/>
      </w:pPr>
      <w:r>
        <w:t>workflow testing</w:t>
      </w:r>
    </w:p>
    <w:p>
      <w:pPr>
        <w:pStyle w:val="ListBullet"/>
      </w:pPr>
      <w:r>
        <w:t>workflow certification</w:t>
      </w:r>
    </w:p>
    <w:p>
      <w:pPr>
        <w:pStyle w:val="ListBullet"/>
      </w:pPr>
      <w:r>
        <w:t>workflow packaging</w:t>
      </w:r>
    </w:p>
    <w:p>
      <w:pPr>
        <w:pStyle w:val="ListBullet"/>
      </w:pPr>
      <w:r>
        <w:t>release readiness</w:t>
      </w:r>
    </w:p>
    <w:p>
      <w:pPr>
        <w:pStyle w:val="ListBullet"/>
      </w:pPr>
      <w:r>
        <w:t>market-facing execution</w:t>
      </w:r>
    </w:p>
    <w:p>
      <w:pPr>
        <w:pStyle w:val="Heading1"/>
      </w:pPr>
      <w:r>
        <w:t>Evidence Standard</w:t>
      </w:r>
    </w:p>
    <w:p>
      <w:r>
        <w:t>Operational proof should be captured close to the artifact when local placement is required for testing or debugging.</w:t>
      </w:r>
    </w:p>
    <w:p>
      <w:r>
        <w:t>Cross-workflow evidence, compliance notes, audits, certification logs, and readiness records should be stored in:</w:t>
      </w:r>
    </w:p>
    <w:p>
      <w:r>
        <w:t>C:\Users\thebo\OneDrive - Uncle Robert Consulting LLC\Working Docs\AI Native Agency Deepened\Compliance Audits</w:t>
      </w:r>
    </w:p>
    <w:p>
      <w:r>
        <w:t>Evidence should answer four questions:</w:t>
      </w:r>
    </w:p>
    <w:p>
      <w:pPr>
        <w:pStyle w:val="ListNumber"/>
      </w:pPr>
      <w:r>
        <w:t>What changed?</w:t>
      </w:r>
    </w:p>
    <w:p>
      <w:pPr>
        <w:pStyle w:val="ListNumber"/>
      </w:pPr>
      <w:r>
        <w:t>Why did it change?</w:t>
      </w:r>
    </w:p>
    <w:p>
      <w:pPr>
        <w:pStyle w:val="ListNumber"/>
      </w:pPr>
      <w:r>
        <w:t>What proves it works or what remains blocked?</w:t>
      </w:r>
    </w:p>
    <w:p>
      <w:pPr>
        <w:pStyle w:val="ListNumber"/>
      </w:pPr>
      <w:r>
        <w:t>Who approved or performed the change?</w:t>
      </w:r>
    </w:p>
    <w:p>
      <w:pPr>
        <w:pStyle w:val="Heading1"/>
      </w:pPr>
      <w:r>
        <w:t>SOP Standard</w:t>
      </w:r>
    </w:p>
    <w:p>
      <w:r>
        <w:t>Every active SOP should include:</w:t>
      </w:r>
    </w:p>
    <w:p>
      <w:pPr>
        <w:pStyle w:val="ListBullet"/>
      </w:pPr>
      <w:r>
        <w:t>Owner</w:t>
      </w:r>
    </w:p>
    <w:p>
      <w:pPr>
        <w:pStyle w:val="ListBullet"/>
      </w:pPr>
      <w:r>
        <w:t>Last updated date</w:t>
      </w:r>
    </w:p>
    <w:p>
      <w:pPr>
        <w:pStyle w:val="ListBullet"/>
      </w:pPr>
      <w:r>
        <w:t>Version or status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Tools and inputs</w:t>
      </w:r>
    </w:p>
    <w:p>
      <w:pPr>
        <w:pStyle w:val="ListBullet"/>
      </w:pPr>
      <w:r>
        <w:t>Step-by-step procedure</w:t>
      </w:r>
    </w:p>
    <w:p>
      <w:pPr>
        <w:pStyle w:val="ListBullet"/>
      </w:pPr>
      <w:r>
        <w:t>Outputs and success criteria</w:t>
      </w:r>
    </w:p>
    <w:p>
      <w:pPr>
        <w:pStyle w:val="ListBullet"/>
      </w:pPr>
      <w:r>
        <w:t>Version history or change-control reference</w:t>
      </w:r>
    </w:p>
    <w:p>
      <w:r>
        <w:t>SOPs should remain short enough to use while doing the work.</w:t>
      </w:r>
    </w:p>
    <w:p>
      <w:pPr>
        <w:pStyle w:val="Heading1"/>
      </w:pPr>
      <w:r>
        <w:t>Operating Rules</w:t>
      </w:r>
    </w:p>
    <w:p>
      <w:pPr>
        <w:pStyle w:val="ListNumber"/>
      </w:pPr>
      <w:r>
        <w:t>Use existing systems before adding new tools.</w:t>
      </w:r>
    </w:p>
    <w:p>
      <w:pPr>
        <w:pStyle w:val="ListNumber"/>
      </w:pPr>
      <w:r>
        <w:t>Preserve existing business data.</w:t>
      </w:r>
    </w:p>
    <w:p>
      <w:pPr>
        <w:pStyle w:val="ListNumber"/>
      </w:pPr>
      <w:r>
        <w:t>Keep URC as the main business brand.</w:t>
      </w:r>
    </w:p>
    <w:p>
      <w:pPr>
        <w:pStyle w:val="ListNumber"/>
      </w:pPr>
      <w:r>
        <w:t>Keep Bootstrapper Capital as the audience and event funnel.</w:t>
      </w:r>
    </w:p>
    <w:p>
      <w:pPr>
        <w:pStyle w:val="ListNumber"/>
      </w:pPr>
      <w:r>
        <w:t>Keep Tactix as the fulfillment and Upwork arm.</w:t>
      </w:r>
    </w:p>
    <w:p>
      <w:pPr>
        <w:pStyle w:val="ListNumber"/>
      </w:pPr>
      <w:r>
        <w:t>Treat the book as an authority and funnel asset.</w:t>
      </w:r>
    </w:p>
    <w:p>
      <w:pPr>
        <w:pStyle w:val="ListNumber"/>
      </w:pPr>
      <w:r>
        <w:t>Use Microsoft 365 as the preferred operating backbone when available.</w:t>
      </w:r>
    </w:p>
    <w:p>
      <w:pPr>
        <w:pStyle w:val="ListNumber"/>
      </w:pPr>
      <w:r>
        <w:t>Use free or low-cost bridges when paid tools are unavailable or unjustified.</w:t>
      </w:r>
    </w:p>
    <w:p>
      <w:pPr>
        <w:pStyle w:val="ListNumber"/>
      </w:pPr>
      <w:r>
        <w:t>Keep Notion as a lightweight dashboard, not the main archive.</w:t>
      </w:r>
    </w:p>
    <w:p>
      <w:pPr>
        <w:pStyle w:val="ListNumber"/>
      </w:pPr>
      <w:r>
        <w:t>Keep Frappe as the finance system of record.</w:t>
      </w:r>
    </w:p>
    <w:p>
      <w:pPr>
        <w:pStyle w:val="ListNumber"/>
      </w:pPr>
      <w:r>
        <w:t>Automate first, review exceptions, and use paid human help only where judgment, compliance, or leverage requires it.</w:t>
      </w:r>
    </w:p>
    <w:p>
      <w:pPr>
        <w:pStyle w:val="ListNumber"/>
      </w:pPr>
      <w:r>
        <w:t>Do not redesign the business from zero.</w:t>
      </w:r>
    </w:p>
    <w:p>
      <w:pPr>
        <w:pStyle w:val="Heading1"/>
      </w:pPr>
      <w:r>
        <w:t>Success Criteria</w:t>
      </w:r>
    </w:p>
    <w:p>
      <w:r>
        <w:t>Governance is working when:</w:t>
      </w:r>
    </w:p>
    <w:p>
      <w:pPr>
        <w:pStyle w:val="ListBullet"/>
      </w:pPr>
      <w:r>
        <w:t>important decisions are not trapped in memory</w:t>
      </w:r>
    </w:p>
    <w:p>
      <w:pPr>
        <w:pStyle w:val="ListBullet"/>
      </w:pPr>
      <w:r>
        <w:t>public and client-facing work has human approval</w:t>
      </w:r>
    </w:p>
    <w:p>
      <w:pPr>
        <w:pStyle w:val="ListBullet"/>
      </w:pPr>
      <w:r>
        <w:t>agents can continue work from source documents</w:t>
      </w:r>
    </w:p>
    <w:p>
      <w:pPr>
        <w:pStyle w:val="ListBullet"/>
      </w:pPr>
      <w:r>
        <w:t>lead, content, finance, and workflow changes are visible</w:t>
      </w:r>
    </w:p>
    <w:p>
      <w:pPr>
        <w:pStyle w:val="ListBullet"/>
      </w:pPr>
      <w:r>
        <w:t>meaningful changes are logged</w:t>
      </w:r>
    </w:p>
    <w:p>
      <w:pPr>
        <w:pStyle w:val="ListBullet"/>
      </w:pPr>
      <w:r>
        <w:t>non-urgent work is scheduled instead of distracting from market execution</w:t>
      </w:r>
    </w:p>
    <w:p>
      <w:pPr>
        <w:pStyle w:val="ListBullet"/>
      </w:pPr>
      <w:r>
        <w:t>tools have one clear job</w:t>
      </w:r>
    </w:p>
    <w:p>
      <w:pPr>
        <w:pStyle w:val="ListBullet"/>
      </w:pPr>
      <w:r>
        <w:t>the weekly cadence is actually followed</w:t>
      </w:r>
    </w:p>
    <w:p>
      <w:pPr>
        <w:pStyle w:val="Heading1"/>
      </w:pPr>
      <w:r>
        <w:t>Source Documents</w:t>
      </w:r>
    </w:p>
    <w:p>
      <w:pPr>
        <w:pStyle w:val="ListBullet"/>
      </w:pPr>
      <w:r>
        <w:t>docs/operations/sop-manual-index.md</w:t>
      </w:r>
    </w:p>
    <w:p>
      <w:pPr>
        <w:pStyle w:val="ListBullet"/>
      </w:pPr>
      <w:r>
        <w:t>docs/operations/change-control-register.md</w:t>
      </w:r>
    </w:p>
    <w:p>
      <w:pPr>
        <w:pStyle w:val="ListBullet"/>
      </w:pPr>
      <w:r>
        <w:t>docs/operations/scheduled-change-queue.md</w:t>
      </w:r>
    </w:p>
    <w:p>
      <w:pPr>
        <w:pStyle w:val="ListBullet"/>
      </w:pPr>
      <w:r>
        <w:t>docs/operations/urc-v1-operating-architecture.md</w:t>
      </w:r>
    </w:p>
    <w:p>
      <w:pPr>
        <w:pStyle w:val="ListBullet"/>
      </w:pPr>
      <w:r>
        <w:t>docs/operations/urc-agent-execution-checklist.md</w:t>
      </w:r>
    </w:p>
    <w:p>
      <w:pPr>
        <w:pStyle w:val="ListBullet"/>
      </w:pPr>
      <w:r>
        <w:t>workflows/cul-01-vision-purpose/source/URC-CUL-01_Vision_Purpose.md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55555"/>
        <w:sz w:val="16"/>
      </w:rPr>
      <w:t>URC / Agent Lab operating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