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AAKASH AI CoS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Chief of Staff — Master Plan</w:t>
      </w:r>
    </w:p>
    <w:p>
      <w:pPr>
        <w:pBdr>
          <w:bottom w:val="single" w:color="1B3A5C" w:sz="4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Aakash Kumar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Managing Director — Z47 ($550M) &amp; DeVC ($60M)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 Initiated: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Version: 0.1 (Planning Interview Phase)</w:t>
      </w:r>
    </w:p>
    <w:p>
      <w:pPr>
        <w:spacing w:after="100" w:before="1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is a living document. All context transfers to Claude Cowork / Claude Code.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Principal Profile: Aakash Kumar</w:t>
      </w:r>
    </w:p>
    <w:p>
      <w:pPr>
        <w:pStyle w:val="Heading2"/>
      </w:pPr>
      <w:r>
        <w:t xml:space="preserve">1.1 Identity &amp; Coordinates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Name: </w:t>
      </w:r>
      <w:r>
        <w:rPr>
          <w:rFonts w:ascii="Arial" w:cs="Arial" w:eastAsia="Arial" w:hAnsi="Arial"/>
          <w:sz w:val="22"/>
          <w:szCs w:val="22"/>
        </w:rPr>
        <w:t xml:space="preserve">Aakash Kumar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Bengaluru, India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2"/>
          <w:szCs w:val="22"/>
        </w:rPr>
        <w:t xml:space="preserve">linkedin.com/in/kumaraakash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 / Twitter: </w:t>
      </w:r>
      <w:r>
        <w:rPr>
          <w:rFonts w:ascii="Arial" w:cs="Arial" w:eastAsia="Arial" w:hAnsi="Arial"/>
          <w:sz w:val="22"/>
          <w:szCs w:val="22"/>
        </w:rPr>
        <w:t xml:space="preserve">@RTinkslinger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(Z47): </w:t>
      </w:r>
      <w:r>
        <w:rPr>
          <w:rFonts w:ascii="Arial" w:cs="Arial" w:eastAsia="Arial" w:hAnsi="Arial"/>
          <w:sz w:val="22"/>
          <w:szCs w:val="22"/>
        </w:rPr>
        <w:t xml:space="preserve">aakash@z47.com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EA: </w:t>
      </w:r>
      <w:r>
        <w:rPr>
          <w:rFonts w:ascii="Arial" w:cs="Arial" w:eastAsia="Arial" w:hAnsi="Arial"/>
          <w:sz w:val="22"/>
          <w:szCs w:val="22"/>
        </w:rPr>
        <w:t xml:space="preserve">Sneha Johnson (sneha@z47.com)</w:t>
      </w:r>
    </w:p>
    <w:p>
      <w:pPr>
        <w:pStyle w:val="Heading2"/>
      </w:pPr>
      <w:r>
        <w:t xml:space="preserve">1.2 Background &amp; Operating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Aakash is a 2x founder turned operator turned investor. His career arc bridges product building, growth at scale, and early-stage venture investing.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IIT Bombay (2005–2009) — dropped out to build first venture (recruitment classifieds)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 venture in gaming — exited in 2013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Housing.com — Chief Strategy Officer (M&amp;A, fundraise, exit decisions)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 OS — Product Lead (Bharat internet users; later acquired by PhonePe)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Disney+ Hotstar — Led growth &amp; monetization; scaled ads + subscription to ~$500M business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Angel investing in parallel throughout operator years — 100+ companies backed over a decade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Crypto/Web3 interest (aacash.eth) — early exposure to on-chain ecosystems</w:t>
      </w:r>
    </w:p>
    <w:p>
      <w:pPr>
        <w:pStyle w:val="Heading2"/>
      </w:pPr>
      <w:r>
        <w:t xml:space="preserve">1.3 Investment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belief: Value creation must lead to value extraction. Best founders have an insane growth mindset and think with a holistic lens — they don’t obsess about only product/service.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Founders over markets — always. Smart founders expand small markets.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Evaluates: intellectual curiosity, honesty, growth mindset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PMF is a journey (acquisition → engagement → monetization → profitability), not a single milestone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"Economic PMF is the ONLY PMF" — Z47 published thesis on App Economy 3.0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markets: harder acquisition PMF but clearer monetization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Lines over dots — makes risk-adjusted decisions by accumulating observations of a founder over time</w:t>
      </w:r>
    </w:p>
    <w:p>
      <w:pPr>
        <w:pStyle w:val="Heading2"/>
      </w:pPr>
      <w:r>
        <w:t xml:space="preserve">1.4 Key Content &amp; Thought Leadership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"Economic PMF is the ONLY PMF: App Economy 3.0" (Sep 2024)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"Jobs, Startups, &amp; Trillions: How AI Will Rewrite the Rules" (Mar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"Future Signals 2026" (Jan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"Investing in Digital India — Trends for 2024" (Jan 2024)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VC10X Podcast: "India Will Add $5 Trillion in Market Cap" episode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SAASCON24 speaker</w:t>
      </w:r>
    </w:p>
    <w:p>
      <w:pPr>
        <w:pBdr>
          <w:bottom w:val="single" w:color="1B3A5C" w:sz="2"/>
        </w:pBdr>
        <w:spacing w:after="200" w:before="200"/>
      </w:pPr>
    </w:p>
    <w:p>
      <w:pPr>
        <w:pStyle w:val="Heading1"/>
      </w:pPr>
      <w:r>
        <w:t xml:space="preserve">2. Fund Profiles &amp; Strategy</w:t>
      </w:r>
    </w:p>
    <w:p>
      <w:pPr>
        <w:pStyle w:val="Heading2"/>
      </w:pPr>
      <w:r>
        <w:t xml:space="preserve">2.1 Z47 — The Core Venture Fund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AUM: </w:t>
      </w:r>
      <w:r>
        <w:rPr>
          <w:rFonts w:ascii="Arial" w:cs="Arial" w:eastAsia="Arial" w:hAnsi="Arial"/>
          <w:sz w:val="22"/>
          <w:szCs w:val="22"/>
        </w:rPr>
        <w:t xml:space="preserve">$550M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Stage: </w:t>
      </w:r>
      <w:r>
        <w:rPr>
          <w:rFonts w:ascii="Arial" w:cs="Arial" w:eastAsia="Arial" w:hAnsi="Arial"/>
          <w:sz w:val="22"/>
          <w:szCs w:val="22"/>
        </w:rPr>
        <w:t xml:space="preserve">Seed to Series B (sweet spot: post-seed / pre-A / Series 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Size: </w:t>
      </w:r>
      <w:r>
        <w:rPr>
          <w:rFonts w:ascii="Arial" w:cs="Arial" w:eastAsia="Arial" w:hAnsi="Arial"/>
          <w:sz w:val="22"/>
          <w:szCs w:val="22"/>
        </w:rPr>
        <w:t xml:space="preserve">$2M–$30M entry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 Target: </w:t>
      </w:r>
      <w:r>
        <w:rPr>
          <w:rFonts w:ascii="Arial" w:cs="Arial" w:eastAsia="Arial" w:hAnsi="Arial"/>
          <w:sz w:val="22"/>
          <w:szCs w:val="22"/>
        </w:rPr>
        <w:t xml:space="preserve">10%+ starting (15% ideal, 5–6% floor)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Construction: </w:t>
      </w:r>
      <w:r>
        <w:rPr>
          <w:rFonts w:ascii="Arial" w:cs="Arial" w:eastAsia="Arial" w:hAnsi="Arial"/>
          <w:sz w:val="22"/>
          <w:szCs w:val="22"/>
        </w:rPr>
        <w:t xml:space="preserve">~45 companies per fund cycle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Period: </w:t>
      </w:r>
      <w:r>
        <w:rPr>
          <w:rFonts w:ascii="Arial" w:cs="Arial" w:eastAsia="Arial" w:hAnsi="Arial"/>
          <w:sz w:val="22"/>
          <w:szCs w:val="22"/>
        </w:rPr>
        <w:t xml:space="preserve">3–3.5 years for first investments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Reserve Strategy: </w:t>
      </w:r>
      <w:r>
        <w:rPr>
          <w:rFonts w:ascii="Arial" w:cs="Arial" w:eastAsia="Arial" w:hAnsi="Arial"/>
          <w:sz w:val="22"/>
          <w:szCs w:val="22"/>
        </w:rPr>
        <w:t xml:space="preserve">~50% capital reserved for follow-on; defend &amp; accrete ownership in top performers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Website: </w:t>
      </w:r>
      <w:r>
        <w:rPr>
          <w:rFonts w:ascii="Arial" w:cs="Arial" w:eastAsia="Arial" w:hAnsi="Arial"/>
          <w:sz w:val="22"/>
          <w:szCs w:val="22"/>
        </w:rPr>
        <w:t xml:space="preserve">z47.com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Formerly: </w:t>
      </w:r>
      <w:r>
        <w:rPr>
          <w:rFonts w:ascii="Arial" w:cs="Arial" w:eastAsia="Arial" w:hAnsi="Arial"/>
          <w:sz w:val="22"/>
          <w:szCs w:val="22"/>
        </w:rPr>
        <w:t xml:space="preserve">Matrix Partners India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Aakash’s sectors at Z47: Enterprise AI, FinAlpha (fintech), Consumer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Notable portfolio: Ola Electric, Razorpay, OfBusiness, Aampe, Dashverse (Dashtoon)</w:t>
      </w:r>
    </w:p>
    <w:p>
      <w:pPr>
        <w:pStyle w:val="Heading2"/>
      </w:pPr>
      <w:r>
        <w:t xml:space="preserve">2.2 DeVC — The Collaborative Early-Stage Fund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AUM: </w:t>
      </w:r>
      <w:r>
        <w:rPr>
          <w:rFonts w:ascii="Arial" w:cs="Arial" w:eastAsia="Arial" w:hAnsi="Arial"/>
          <w:sz w:val="22"/>
          <w:szCs w:val="22"/>
        </w:rPr>
        <w:t xml:space="preserve">$60M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Stage: </w:t>
      </w:r>
      <w:r>
        <w:rPr>
          <w:rFonts w:ascii="Arial" w:cs="Arial" w:eastAsia="Arial" w:hAnsi="Arial"/>
          <w:sz w:val="22"/>
          <w:szCs w:val="22"/>
        </w:rPr>
        <w:t xml:space="preserve">Pre-seed to Seed/Post-seed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Size: </w:t>
      </w:r>
      <w:r>
        <w:rPr>
          <w:rFonts w:ascii="Arial" w:cs="Arial" w:eastAsia="Arial" w:hAnsi="Arial"/>
          <w:sz w:val="22"/>
          <w:szCs w:val="22"/>
        </w:rPr>
        <w:t xml:space="preserve">Up to $500K entry ($50K–$500K)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 Target: </w:t>
      </w:r>
      <w:r>
        <w:rPr>
          <w:rFonts w:ascii="Arial" w:cs="Arial" w:eastAsia="Arial" w:hAnsi="Arial"/>
          <w:sz w:val="22"/>
          <w:szCs w:val="22"/>
        </w:rPr>
        <w:t xml:space="preserve">1%+ starting (2% ideal, 0.5% floor). Some sectors allow higher — e.g., consumer brands at $250K can yield 4–5%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Construction: </w:t>
      </w:r>
      <w:r>
        <w:rPr>
          <w:rFonts w:ascii="Arial" w:cs="Arial" w:eastAsia="Arial" w:hAnsi="Arial"/>
          <w:sz w:val="22"/>
          <w:szCs w:val="22"/>
        </w:rPr>
        <w:t xml:space="preserve">140–150 companies per fund cycle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Period: </w:t>
      </w:r>
      <w:r>
        <w:rPr>
          <w:rFonts w:ascii="Arial" w:cs="Arial" w:eastAsia="Arial" w:hAnsi="Arial"/>
          <w:sz w:val="22"/>
          <w:szCs w:val="22"/>
        </w:rPr>
        <w:t xml:space="preserve">3 years for initial investments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Follow-on Strategy: </w:t>
      </w:r>
      <w:r>
        <w:rPr>
          <w:rFonts w:ascii="Arial" w:cs="Arial" w:eastAsia="Arial" w:hAnsi="Arial"/>
          <w:sz w:val="22"/>
          <w:szCs w:val="22"/>
        </w:rPr>
        <w:t xml:space="preserve">Accrete to 5%+ ownership in ~1 out of 7 companies at post-seed/pre-A/A stage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Website: </w:t>
      </w:r>
      <w:r>
        <w:rPr>
          <w:rFonts w:ascii="Arial" w:cs="Arial" w:eastAsia="Arial" w:hAnsi="Arial"/>
          <w:sz w:val="22"/>
          <w:szCs w:val="22"/>
        </w:rPr>
        <w:t xml:space="preserve">devc.com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Registered: </w:t>
      </w:r>
      <w:r>
        <w:rPr>
          <w:rFonts w:ascii="Arial" w:cs="Arial" w:eastAsia="Arial" w:hAnsi="Arial"/>
          <w:sz w:val="22"/>
          <w:szCs w:val="22"/>
        </w:rPr>
        <w:t xml:space="preserve">AIF under SEBI (IN/AIF2/22-23/1131), managed by DeVC India Manager LLP</w:t>
      </w:r>
    </w:p>
    <w:p>
      <w:pPr>
        <w:pStyle w:val="Heading3"/>
      </w:pPr>
      <w:r>
        <w:t xml:space="preserve">2.2.1 The DeVC Collaborative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DeVC’s differentiation is its “Collective” model built around Independent Capitalists: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Independent Capitalists: founder angels, operator angels, independent GPs running sub-$300M funds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50+ collective members — including names like Miten Sampat, Revant Bhate, Abhishek Goyal, Rohit MA, Vishesh Rajaram, and many more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Co-sourcing &amp; co-evaluation: DeVC sources and evaluates opportunities together with collective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Investment decision filters: founder traits, market attractiveness, founder-market fit (over-indexed)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advantage: DeVC brings large-fund platform capabilities (human capital, corp dev) to independent capitalists who can’t support portfolios at that level given their AUM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Win-win: ICs get platform support for their portcos; DeVC gets deal flow and early conviction signals</w:t>
      </w:r>
    </w:p>
    <w:p>
      <w:pPr>
        <w:pStyle w:val="Heading3"/>
      </w:pPr>
      <w:r>
        <w:t xml:space="preserve">2.2.2 The Lines Over Dots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thesis: Independent capitalists excel at sourcing and spotting trendlines early, but pre-seed/seed is a high-risk stage where deep founder assessment isn’t possible given speed of decisions. DeVC enters cap tables alongside ICs, then: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Tracks founders closely over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Observes execution, growth mindset, personal compounding, business choices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Pre-emptively adds capital and accretes ownership where risk is declining toward large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Effectively a “funnel within a funnel”: wide entry (140–150), narrow doubling-down (~1 in 7)</w:t>
      </w:r>
    </w:p>
    <w:p>
      <w:pPr>
        <w:pStyle w:val="Heading2"/>
      </w:pPr>
      <w:r>
        <w:t xml:space="preserve">2.3 Cross-Fund Strategy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funds share a unified mental model of venture as a business of three parts: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Assets: What accumulates through investing (portfolio companies, equity positions)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Liabilities: LP capital raising, fund management, compliance,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Platform: Being the best enabler for founders — human capital practice, corp dev practice, operational support, network effects</w:t>
      </w:r>
    </w:p>
    <w:p>
      <w:pPr>
        <w:pStyle w:val="Heading2"/>
      </w:pPr>
      <w:r>
        <w:t xml:space="preserve">2.4 Theme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themes (~80%+ portfolio construction):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AI, Software, Consumer Tech, Manufacturing, Consumer Brands, Fintech, Robotics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Other themes (~20%):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Space Tech, Semiconductors, and other tech-driven businesses that don’t fit neatly into core themes</w:t>
      </w:r>
    </w:p>
    <w:p>
      <w:pPr>
        <w:pStyle w:val="Heading2"/>
      </w:pPr>
      <w:r>
        <w:t xml:space="preserve">2.5 Geographic &amp; Market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Z47: India-focused with global portfolio companies (Aampe — US-based,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DeVC: India &amp; US (portfolio includes US-based companies like AI code review, sales tax automation, medical coding, Salesforce implementation, voice 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funds: India-first perspective, but backing founders building for global markets</w:t>
      </w:r>
    </w:p>
    <w:p>
      <w:pPr>
        <w:pBdr>
          <w:bottom w:val="single" w:color="1B3A5C" w:sz="2"/>
        </w:pBdr>
        <w:spacing w:after="200" w:before="200"/>
      </w:pPr>
    </w:p>
    <w:p>
      <w:pPr>
        <w:pStyle w:val="Heading1"/>
      </w:pPr>
      <w:r>
        <w:t xml:space="preserve">3. Venture Lifecycle Reference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Unusual Ventures “Five Phases from Seed to PMF” framework (used as directional guidance, not prescriptive). This maps to DeVC’s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(0–3mo)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(3–6mo)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(6–8mo)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 (8–12mo)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 (12–18mo)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pain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customer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problems + mock 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design partners; pick top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Evangelical supporters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conversations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 prospects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partner convos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with top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Reference/paying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Ideas/Slides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Insights/Mockups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screens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1.0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DeVC Entry Zone: </w:t>
      </w:r>
      <w:r>
        <w:rPr>
          <w:rFonts w:ascii="Arial" w:cs="Arial" w:eastAsia="Arial" w:hAnsi="Arial"/>
          <w:sz w:val="22"/>
          <w:szCs w:val="22"/>
        </w:rPr>
        <w:t xml:space="preserve">Pre-Phase 1 (pre-seed) to early Phase 2 (seed)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DeVC Follow-on Zone: </w:t>
      </w:r>
      <w:r>
        <w:rPr>
          <w:rFonts w:ascii="Arial" w:cs="Arial" w:eastAsia="Arial" w:hAnsi="Arial"/>
          <w:sz w:val="22"/>
          <w:szCs w:val="22"/>
        </w:rPr>
        <w:t xml:space="preserve">Phase 2–5 (post-seed / pre-A / A) — accrete to 5%+ in 1-in-7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Z47 Entry Zone: </w:t>
      </w:r>
      <w:r>
        <w:rPr>
          <w:rFonts w:ascii="Arial" w:cs="Arial" w:eastAsia="Arial" w:hAnsi="Arial"/>
          <w:sz w:val="22"/>
          <w:szCs w:val="22"/>
        </w:rPr>
        <w:t xml:space="preserve">Phase 3–5+ (post-seed through Series 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framework applies to software companies. Principles hold across all sectors/themes, but timelines and milestones vary.</w:t>
      </w:r>
    </w:p>
    <w:p>
      <w:pPr>
        <w:pBdr>
          <w:bottom w:val="single" w:color="1B3A5C" w:sz="2"/>
        </w:pBdr>
        <w:spacing w:after="200" w:before="200"/>
      </w:pPr>
    </w:p>
    <w:p>
      <w:pPr>
        <w:pStyle w:val="Heading1"/>
      </w:pPr>
      <w:r>
        <w:t xml:space="preserve">4. Open Questions &amp; Gaps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areas require clarification from Aakash to complete the AI CoS plan:</w:t>
      </w:r>
    </w:p>
    <w:p>
      <w:pPr>
        <w:pStyle w:val="Heading2"/>
      </w:pPr>
      <w:r>
        <w:t xml:space="preserve">4.1 Daily Workflow &amp; Time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Approximate weekly time split: deal sourcing vs. portfolio support vs. fund operations vs. LP relations vs. personal brand/content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What does a typical week look like? Meetings, reviews, founder calls, IC syncs, internal team syncs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How does time allocation differ between Z47 work and DeVC work?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Current team structure: who reports to Aakash at each fund? Analysts, associates, platform team?</w:t>
      </w:r>
    </w:p>
    <w:p>
      <w:pPr>
        <w:pStyle w:val="Heading2"/>
      </w:pPr>
      <w:r>
        <w:t xml:space="preserve">4.2 Tools &amp;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Current CRM / deal tracking system (Affinity, Attio, DealCloud, spreadsheets?)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Portfolio monitoring tools (Visible, Carta, spreadsheets?)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Communication stack: Email (Gmail/Outlook?), Slack, WhatsApp, other?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Document management: Google Drive, Notion, SharePoint?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Calendar management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Current use of AI tools beyond Claude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Mac or Windows? (Cowork availability)</w:t>
      </w:r>
    </w:p>
    <w:p>
      <w:pPr>
        <w:pStyle w:val="Heading2"/>
      </w:pPr>
      <w:r>
        <w:t xml:space="preserve">4.3 Deal Flow &amp; Decision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How does a typical deal enter your pipeline? (IC referral, direct inbound, outbound, event,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What’s the decision process at each fund? IC &gt; partner review &gt; investment committee?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What does due diligence look like? Market sizing, founder references, competitive analysis, financial modeling?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How do you track the “lines over dots” observations on DeVC founders?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What signals trigger a follow-on decision?</w:t>
      </w:r>
    </w:p>
    <w:p>
      <w:pPr>
        <w:pStyle w:val="Heading2"/>
      </w:pPr>
      <w:r>
        <w:t xml:space="preserve">4.4 Portfolio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How frequently do you interact with portfolio founders? Board seats, advisory, ad-hoc?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Biggest portfolio pain points — what takes too much time?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Reporting cadence to LPs</w:t>
      </w:r>
    </w:p>
    <w:p>
      <w:pPr>
        <w:pStyle w:val="Heading2"/>
      </w:pPr>
      <w:r>
        <w:t xml:space="preserve">4.5 Personal Brand &amp;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How important is X/LinkedIn content to deal sourcing and brand?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Current content creation process — who writes, who edits?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Frequency and format goals for content output</w:t>
      </w:r>
    </w:p>
    <w:p>
      <w:pPr>
        <w:pStyle w:val="Heading2"/>
      </w:pPr>
      <w:r>
        <w:t xml:space="preserve">4.6 Right to Play &amp; Win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What makes founders choose Z47 / DeVC over competing term sheets?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Personal competitive advantages in deal winning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Relationship with other VCs in India’s ecosystem — collaborative vs. competitive dynamics</w:t>
      </w:r>
    </w:p>
    <w:p>
      <w:pPr>
        <w:pStyle w:val="Heading2"/>
      </w:pPr>
      <w:r>
        <w:t xml:space="preserve">4.7 Data &amp; Analytics Aspirations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Where does historical deal data live? (250+ decisions across entry and follow-on)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Format and quality of historical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What would an “RL-based investment model” mean to you? What decisions should it help with?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[OPEN] Current approach to market/company research</w:t>
      </w:r>
    </w:p>
    <w:p>
      <w:pPr>
        <w:pBdr>
          <w:bottom w:val="single" w:color="1B3A5C" w:sz="2"/>
        </w:pBdr>
        <w:spacing w:after="200" w:before="200"/>
      </w:pPr>
    </w:p>
    <w:p>
      <w:pPr>
        <w:pStyle w:val="Heading1"/>
      </w:pPr>
      <w:r>
        <w:t xml:space="preserve">5. AI CoS Plan Skeleton (To Be Elaborated)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clarifications are gathered, the plan will be structured into the following workstreams:</w:t>
      </w:r>
    </w:p>
    <w:p>
      <w:pPr>
        <w:pStyle w:val="Heading2"/>
      </w:pPr>
      <w:r>
        <w:t xml:space="preserve">5.1 Workstream 1: Deal Flow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AI-powered deal sourcing, screening, and pipeline management across both funds.</w:t>
      </w:r>
    </w:p>
    <w:p>
      <w:pPr>
        <w:pStyle w:val="Heading2"/>
      </w:pPr>
      <w:r>
        <w:t xml:space="preserve">5.2 Workstream 2: Portfolio Monitoring &amp; “Lines Over Dots”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Automated tracking of portfolio company progress, founder observation logging, and follow-on signal detection. Core to DeVC’s strategy.</w:t>
      </w:r>
    </w:p>
    <w:p>
      <w:pPr>
        <w:pStyle w:val="Heading2"/>
      </w:pPr>
      <w:r>
        <w:t xml:space="preserve">5.3 Workstream 3: Investment Decision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Sub-plan: Data + AI + RL-based method to understand Aakash’s investment model based on 250+ historical decisions. Build predictive models for deal quality, founder assessment, and follow-on timing.</w:t>
      </w:r>
    </w:p>
    <w:p>
      <w:pPr>
        <w:pStyle w:val="Heading2"/>
      </w:pPr>
      <w:r>
        <w:t xml:space="preserve">5.4 Workstream 4: LP &amp; Fund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Reporting automation, compliance support, fund performance analytics.</w:t>
      </w:r>
    </w:p>
    <w:p>
      <w:pPr>
        <w:pStyle w:val="Heading2"/>
      </w:pPr>
      <w:r>
        <w:t xml:space="preserve">5.5 Workstream 5: Platform &amp; Founder Enablement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AI-powered platform services for portfolio founders: market research, hiring support, GTM strategy, corp dev intros.</w:t>
      </w:r>
    </w:p>
    <w:p>
      <w:pPr>
        <w:pStyle w:val="Heading2"/>
      </w:pPr>
      <w:r>
        <w:t xml:space="preserve">5.6 Workstream 6: Personal Productivity &amp;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Email management, calendar optimization, content creation pipeline, meeting prep, social media presence.</w:t>
      </w:r>
    </w:p>
    <w:p>
      <w:pPr>
        <w:pStyle w:val="Heading2"/>
      </w:pPr>
      <w:r>
        <w:t xml:space="preserve">5.7 Workstream 7: IC Collective Management (DeVC-specific)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Tools and workflows for managing the 50+ member collective: deal sharing, co-evaluation, communication, platform service delivery.</w:t>
      </w:r>
    </w:p>
    <w:p>
      <w:pPr>
        <w:pStyle w:val="Heading2"/>
      </w:pPr>
      <w:r>
        <w:t xml:space="preserve">5.8 Sub-Plan: Social &amp; Public Presence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Systematic analysis of Aakash’s LinkedIn, X, published content, podcast appearances, and public commentary to build a comprehensive model of his investor brand, thought leadership themes, and network dynamics. This feeds into content strategy and deal sourcing intelligence.</w:t>
      </w:r>
    </w:p>
    <w:p>
      <w:pPr>
        <w:pBdr>
          <w:bottom w:val="single" w:color="1B3A5C" w:sz="2"/>
        </w:pBdr>
        <w:spacing w:after="200" w:before="200"/>
      </w:pPr>
    </w:p>
    <w:p>
      <w:pPr>
        <w:pStyle w:val="Heading1"/>
      </w:pPr>
      <w:r>
        <w:t xml:space="preserve">6. Implementation Architecture (Draft)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CoS will be built using: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Cowork: Knowledge work, document generation, research synthesis, scheduled tasks, portfolio monitoring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Code: Custom tooling, MCP servers, data pipelines, API integrations, RL model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Claude.ai (this interface): Strategic planning, brainstorming, ad-hoc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Skills &amp; Plugins: Custom VC-specific skills for deal memos, IC communications, LP reports, market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Connectors: Gmail, Google Calendar, Google Drive, Notion, Slack, and potentially FactSet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in Chrome: Browser-based research, competitive intelligence, deal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(Weeks 1–4): Planning interview completion, tool/infra audit, skill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(Weeks 5–10): Core workflows built in Cowork +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(Weeks 11–16): Investment model sub-plan, IC collective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 (Ongoing): Continuous refinement, scheduled tasks, autonomous operations</w:t>
      </w:r>
    </w:p>
    <w:p>
      <w:pPr>
        <w:pBdr>
          <w:bottom w:val="single" w:color="1B3A5C" w:sz="2"/>
        </w:pBdr>
        <w:spacing w:after="200" w:before="200"/>
      </w:pPr>
    </w:p>
    <w:p>
      <w:pPr>
        <w:pStyle w:val="Heading1"/>
      </w:pPr>
      <w:r>
        <w:t xml:space="preserve">7.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1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1, 2026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creation from planning interview. Principal profile, fund strategies, venture lifecycle reference, open questions, plan skeleton.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conversation. To be ported to Claude Cowork for continued elaboration.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2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AAKASH AI CoS  |  Master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2026-03-01T12:26:21.905Z</dcterms:created>
  <dcterms:modified xsi:type="dcterms:W3CDTF">2026-03-01T12:26:21.906Z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