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mmjyinvtgis" w:id="0"/>
      <w:bookmarkEnd w:id="0"/>
      <w:r w:rsidDel="00000000" w:rsidR="00000000" w:rsidRPr="00000000">
        <w:rPr>
          <w:rtl w:val="0"/>
        </w:rPr>
        <w:t xml:space="preserve">Conceptual Design Document: AI-SupTech Compliance &amp; Orchestration Platform</w:t>
      </w:r>
    </w:p>
    <w:p w:rsidR="00000000" w:rsidDel="00000000" w:rsidP="00000000" w:rsidRDefault="00000000" w:rsidRPr="00000000" w14:paraId="00000002">
      <w:pPr>
        <w:pStyle w:val="Heading5"/>
        <w:rPr/>
      </w:pPr>
      <w:bookmarkStart w:colFirst="0" w:colLast="0" w:name="_sj2nab5xrva0" w:id="1"/>
      <w:bookmarkEnd w:id="1"/>
      <w:r w:rsidDel="00000000" w:rsidR="00000000" w:rsidRPr="00000000">
        <w:rPr>
          <w:rtl w:val="0"/>
        </w:rPr>
        <w:t xml:space="preserve">1. Executive Vision and Strategic Mission</w:t>
      </w:r>
    </w:p>
    <w:p w:rsidR="00000000" w:rsidDel="00000000" w:rsidP="00000000" w:rsidRDefault="00000000" w:rsidRPr="00000000" w14:paraId="00000003">
      <w:pPr>
        <w:rPr/>
      </w:pPr>
      <w:r w:rsidDel="00000000" w:rsidR="00000000" w:rsidRPr="00000000">
        <w:rPr>
          <w:b w:val="1"/>
          <w:bCs w:val="1"/>
          <w:rtl w:val="0"/>
        </w:rPr>
        <w:t xml:space="preserve">Mission Statement</w:t>
      </w:r>
      <w:r w:rsidDel="00000000" w:rsidR="00000000" w:rsidRPr="00000000">
        <w:rPr>
          <w:rtl w:val="0"/>
        </w:rPr>
        <w:t xml:space="preserve">  The AI-SupTech Compliance &amp; Orchestration Platform is engineered to catalyze a fundamental paradigm shift in national regulatory oversight. Historically, supervisory authorities have operated within a reactive, static model, characterized by paper-based audits, periodic questionnaires, and retrospective reporting. This legacy approach suffers from inherent data silos and high latency, often resulting in enforcement actions that occur months or years after a violation. This platform replaces that fragmented model with a proactive, dynamic model driven by real-time data orchestration. By establishing a continuous stream of actionable intelligence, the platform ensures that regulators possess unwavering, real-time visibility into the national data ecosystem, enabling immediate intervention and automated risk mitigation.</w:t>
      </w:r>
      <w:r w:rsidDel="00000000" w:rsidR="00000000" w:rsidRPr="00000000">
        <w:rPr>
          <w:b w:val="1"/>
          <w:bCs w:val="1"/>
          <w:rtl w:val="0"/>
        </w:rPr>
        <w:t xml:space="preserve">Value Proposition Matrix</w:t>
      </w:r>
      <w:r w:rsidDel="00000000" w:rsidR="00000000" w:rsidRPr="00000000">
        <w:rPr>
          <w:rtl w:val="0"/>
        </w:rPr>
        <w:t xml:space="preserve">  The platform is built upon a dual-proposition framework that aligns the incentives of the regulator with those of the regulated entities, ensuring ecosystem-wide adoption and utility.| Stakeholder | Value Proposition | Key Features || ------ | ------ | ------ || </w:t>
      </w:r>
      <w:r w:rsidDel="00000000" w:rsidR="00000000" w:rsidRPr="00000000">
        <w:rPr>
          <w:b w:val="1"/>
          <w:bCs w:val="1"/>
          <w:rtl w:val="0"/>
        </w:rPr>
        <w:t xml:space="preserve">Regulators</w:t>
      </w:r>
      <w:r w:rsidDel="00000000" w:rsidR="00000000" w:rsidRPr="00000000">
        <w:rPr>
          <w:rtl w:val="0"/>
        </w:rPr>
        <w:t xml:space="preserve"> | Facilitates comprehensive national visibility through automated, risk-based supervisory workflows and scalable enforcement. | Automated scoring, sector-wide anomaly detection, and centralized investigation tracking. || </w:t>
      </w:r>
      <w:r w:rsidDel="00000000" w:rsidR="00000000" w:rsidRPr="00000000">
        <w:rPr>
          <w:b w:val="1"/>
          <w:bCs w:val="1"/>
          <w:rtl w:val="0"/>
        </w:rPr>
        <w:t xml:space="preserve">Data Controllers</w:t>
      </w:r>
      <w:r w:rsidDel="00000000" w:rsidR="00000000" w:rsidRPr="00000000">
        <w:rPr>
          <w:rtl w:val="0"/>
        </w:rPr>
        <w:t xml:space="preserve"> | Provides a centralized ecosystem for maintaining continuous audit-readiness and automated reporting. | Digitized ROPA/PIA flows, gap-analysis tools, and automated DSR management. |</w:t>
      </w:r>
    </w:p>
    <w:p w:rsidR="00000000" w:rsidDel="00000000" w:rsidP="00000000" w:rsidRDefault="00000000" w:rsidRPr="00000000" w14:paraId="00000004">
      <w:pPr>
        <w:pStyle w:val="Heading5"/>
        <w:rPr/>
      </w:pPr>
      <w:bookmarkStart w:colFirst="0" w:colLast="0" w:name="_by246orj7vjh" w:id="2"/>
      <w:bookmarkEnd w:id="2"/>
      <w:r w:rsidDel="00000000" w:rsidR="00000000" w:rsidRPr="00000000">
        <w:rPr>
          <w:rtl w:val="0"/>
        </w:rPr>
        <w:t xml:space="preserve">2. High-Level Technical Architecture</w:t>
      </w:r>
    </w:p>
    <w:p w:rsidR="00000000" w:rsidDel="00000000" w:rsidP="00000000" w:rsidRDefault="00000000" w:rsidRPr="00000000" w14:paraId="00000005">
      <w:pPr>
        <w:rPr/>
      </w:pPr>
      <w:r w:rsidDel="00000000" w:rsidR="00000000" w:rsidRPr="00000000">
        <w:rPr>
          <w:rtl w:val="0"/>
        </w:rPr>
        <w:t xml:space="preserve">The architecture is designed to meet the rigorous demands of national-scale governance, prioritizing high-concurrency, fault tolerance, and linear scalability.</w:t>
      </w:r>
      <w:r w:rsidDel="00000000" w:rsidR="00000000" w:rsidRPr="00000000">
        <w:rPr>
          <w:b w:val="1"/>
          <w:bCs w:val="1"/>
          <w:rtl w:val="0"/>
        </w:rPr>
        <w:t xml:space="preserve">The Logic &amp; Presentation Tiers</w:t>
      </w:r>
      <w:r w:rsidDel="00000000" w:rsidR="00000000" w:rsidRPr="00000000">
        <w:rPr>
          <w:rtl w:val="0"/>
        </w:rPr>
        <w:t xml:space="preserve">  The presentation layer is built using  </w:t>
      </w:r>
      <w:r w:rsidDel="00000000" w:rsidR="00000000" w:rsidRPr="00000000">
        <w:rPr>
          <w:b w:val="1"/>
          <w:bCs w:val="1"/>
          <w:rtl w:val="0"/>
        </w:rPr>
        <w:t xml:space="preserve">React/Vite</w:t>
      </w:r>
      <w:r w:rsidDel="00000000" w:rsidR="00000000" w:rsidRPr="00000000">
        <w:rPr>
          <w:rtl w:val="0"/>
        </w:rPr>
        <w:t xml:space="preserve"> , chosen for its ability to deliver high-performance, low-latency user interfaces. This ensures that both supervisors and controllers experience a responsive, modern portal capable of rendering complex data visualizations and assessment flows. The logic tier is powered by a  </w:t>
      </w:r>
      <w:r w:rsidDel="00000000" w:rsidR="00000000" w:rsidRPr="00000000">
        <w:rPr>
          <w:b w:val="1"/>
          <w:bCs w:val="1"/>
          <w:rtl w:val="0"/>
        </w:rPr>
        <w:t xml:space="preserve">Node.js/Express</w:t>
      </w:r>
      <w:r w:rsidDel="00000000" w:rsidR="00000000" w:rsidRPr="00000000">
        <w:rPr>
          <w:rtl w:val="0"/>
        </w:rPr>
        <w:t xml:space="preserve">  orchestration engine. This choice is strategic; the non-blocking I/O model of Node.js is exceptionally efficient for handling the I/O-bound tasks typical of an orchestration engine, such as managing high-volume API requests and routing business logic across distributed modules. This separation of concerns ensures that the user experience remains decoupled from the heavy lifting of backend regulatory processing.</w:t>
      </w:r>
      <w:r w:rsidDel="00000000" w:rsidR="00000000" w:rsidRPr="00000000">
        <w:rPr>
          <w:b w:val="1"/>
          <w:bCs w:val="1"/>
          <w:rtl w:val="0"/>
        </w:rPr>
        <w:t xml:space="preserve">Polyglot Persistence Strategy</w:t>
      </w:r>
      <w:r w:rsidDel="00000000" w:rsidR="00000000" w:rsidRPr="00000000">
        <w:rPr>
          <w:rtl w:val="0"/>
        </w:rPr>
        <w:t xml:space="preserve">  To manage the heterogeneous nature of regulatory data, the platform utilizes a hybrid database approach to ensure data integrity and flexibility:</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PostgreSQL:</w:t>
      </w:r>
      <w:r w:rsidDel="00000000" w:rsidR="00000000" w:rsidRPr="00000000">
        <w:rPr>
          <w:rtl w:val="0"/>
        </w:rPr>
        <w:t xml:space="preserve">  This relational engine is the primary store for structured data, including Phase 1 entity profiles, ROPA registers, and organizational metadata. The strict schema enforcement of PostgreSQL ensures the relational integrity required for legal registrations and entity tracking.</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MongoDB:</w:t>
      </w:r>
      <w:r w:rsidDel="00000000" w:rsidR="00000000" w:rsidRPr="00000000">
        <w:rPr>
          <w:rtl w:val="0"/>
        </w:rPr>
        <w:t xml:space="preserve">  This document-based store serves as the flexible repository for unstructured evidence, such as policy documents, complex audit logs, and evidentiary attachments. By utilizing MongoDB, the platform can ingest diverse file types and historical logs without the constraints of a rigid schema. Furthermore, this store provides the raw data foundation for Phase 2 ML ingestion, allowing models to analyze unstructured text and evidence patterns.</w:t>
      </w:r>
      <w:r w:rsidDel="00000000" w:rsidR="00000000" w:rsidRPr="00000000">
        <w:rPr>
          <w:b w:val="1"/>
          <w:bCs w:val="1"/>
          <w:rtl w:val="0"/>
        </w:rPr>
        <w:t xml:space="preserve">Event-Driven Integration Layer</w:t>
      </w:r>
      <w:r w:rsidDel="00000000" w:rsidR="00000000" w:rsidRPr="00000000">
        <w:rPr>
          <w:rtl w:val="0"/>
        </w:rPr>
        <w:t xml:space="preserve">  To mitigate system bottlenecks during peak regulatory windows—such as annual registration deadlines where thousands of controllers submit filings simultaneously—the architecture implements an asynchronous message broker layer. This layer handles "backpressure," queuing incoming data flows and decoupling them from the core scoring and analytical engines. This event-driven approach ensures that the intake portal remains responsive even under extreme load, providing a fault-tolerant environment where processing resources scale linearly with demand.</w:t>
      </w:r>
    </w:p>
    <w:p w:rsidR="00000000" w:rsidDel="00000000" w:rsidP="00000000" w:rsidRDefault="00000000" w:rsidRPr="00000000" w14:paraId="00000008">
      <w:pPr>
        <w:pStyle w:val="Heading5"/>
        <w:rPr/>
      </w:pPr>
      <w:bookmarkStart w:colFirst="0" w:colLast="0" w:name="_kepc9z4ctyi1" w:id="3"/>
      <w:bookmarkEnd w:id="3"/>
      <w:r w:rsidDel="00000000" w:rsidR="00000000" w:rsidRPr="00000000">
        <w:rPr>
          <w:rtl w:val="0"/>
        </w:rPr>
        <w:t xml:space="preserve">3. Core Compliance &amp; Operational Modules (Phase 1)</w:t>
      </w:r>
    </w:p>
    <w:p w:rsidR="00000000" w:rsidDel="00000000" w:rsidP="00000000" w:rsidRDefault="00000000" w:rsidRPr="00000000" w14:paraId="00000009">
      <w:pPr>
        <w:rPr/>
      </w:pPr>
      <w:r w:rsidDel="00000000" w:rsidR="00000000" w:rsidRPr="00000000">
        <w:rPr>
          <w:rtl w:val="0"/>
        </w:rPr>
        <w:t xml:space="preserve">Phase 1 establishes the digitized foundation of the SupTech ecosystem, transitioning manual oversight into a streamlined, digital-first operation.</w:t>
      </w:r>
      <w:r w:rsidDel="00000000" w:rsidR="00000000" w:rsidRPr="00000000">
        <w:rPr>
          <w:b w:val="1"/>
          <w:bCs w:val="1"/>
          <w:rtl w:val="0"/>
        </w:rPr>
        <w:t xml:space="preserve">Compliance Submission &amp; Intake</w:t>
      </w:r>
      <w:r w:rsidDel="00000000" w:rsidR="00000000" w:rsidRPr="00000000">
        <w:rPr>
          <w:rtl w:val="0"/>
        </w:rPr>
        <w:t xml:space="preserve">  This module serves as the primary gateway for data controllers, facilitating the centralized registration of  </w:t>
      </w:r>
      <w:r w:rsidDel="00000000" w:rsidR="00000000" w:rsidRPr="00000000">
        <w:rPr>
          <w:b w:val="1"/>
          <w:bCs w:val="1"/>
          <w:rtl w:val="0"/>
        </w:rPr>
        <w:t xml:space="preserve">Records of Processing Activities (ROPA)</w:t>
      </w:r>
      <w:r w:rsidDel="00000000" w:rsidR="00000000" w:rsidRPr="00000000">
        <w:rPr>
          <w:rtl w:val="0"/>
        </w:rPr>
        <w:t xml:space="preserve">  and organizational assets. The platform replaces static forms with digitized, dynamic assessment flows for  </w:t>
      </w:r>
      <w:r w:rsidDel="00000000" w:rsidR="00000000" w:rsidRPr="00000000">
        <w:rPr>
          <w:b w:val="1"/>
          <w:bCs w:val="1"/>
          <w:rtl w:val="0"/>
        </w:rPr>
        <w:t xml:space="preserve">Privacy Impact Assessments (PIA)</w:t>
      </w:r>
      <w:r w:rsidDel="00000000" w:rsidR="00000000" w:rsidRPr="00000000">
        <w:rPr>
          <w:rtl w:val="0"/>
        </w:rPr>
        <w:t xml:space="preserve">  and  </w:t>
      </w:r>
      <w:r w:rsidDel="00000000" w:rsidR="00000000" w:rsidRPr="00000000">
        <w:rPr>
          <w:b w:val="1"/>
          <w:bCs w:val="1"/>
          <w:rtl w:val="0"/>
        </w:rPr>
        <w:t xml:space="preserve">Transfer Impact Assessments (TIA)</w:t>
      </w:r>
      <w:r w:rsidDel="00000000" w:rsidR="00000000" w:rsidRPr="00000000">
        <w:rPr>
          <w:rtl w:val="0"/>
        </w:rPr>
        <w:t xml:space="preserve"> . Crucially, the module includes a dedicated subsystem for  </w:t>
      </w:r>
      <w:r w:rsidDel="00000000" w:rsidR="00000000" w:rsidRPr="00000000">
        <w:rPr>
          <w:b w:val="1"/>
          <w:bCs w:val="1"/>
          <w:rtl w:val="0"/>
        </w:rPr>
        <w:t xml:space="preserve">Third-Party &amp; Vendor Management</w:t>
      </w:r>
      <w:r w:rsidDel="00000000" w:rsidR="00000000" w:rsidRPr="00000000">
        <w:rPr>
          <w:rtl w:val="0"/>
        </w:rPr>
        <w:t xml:space="preserve"> , allowing regulators to track supplier agreements and map supply-chain risks, ensuring that data protection standards are maintained through every subcontracting tier.</w:t>
      </w:r>
      <w:r w:rsidDel="00000000" w:rsidR="00000000" w:rsidRPr="00000000">
        <w:rPr>
          <w:b w:val="1"/>
          <w:bCs w:val="1"/>
          <w:rtl w:val="0"/>
        </w:rPr>
        <w:t xml:space="preserve">Automated Rule &amp; Decision Engine</w:t>
      </w:r>
      <w:r w:rsidDel="00000000" w:rsidR="00000000" w:rsidRPr="00000000">
        <w:rPr>
          <w:rtl w:val="0"/>
        </w:rPr>
        <w:t xml:space="preserve">  The platform moves beyond subjective manual scoring by implementing deterministic automated logic. As controllers submit data, the engine calculates base compliance scores in real-time. Based on the sensitivity and classification of the data involved, the engine triggers automated routing triggers. High-risk activities are automatically escalated to Legal or Data Protection Officer (DPO) reviews, ensuring that human expertise is deployed surgically where the system identifies the greatest potential for harm.</w:t>
      </w:r>
      <w:r w:rsidDel="00000000" w:rsidR="00000000" w:rsidRPr="00000000">
        <w:rPr>
          <w:b w:val="1"/>
          <w:bCs w:val="1"/>
          <w:rtl w:val="0"/>
        </w:rPr>
        <w:t xml:space="preserve">Data Breach &amp; Incident Management</w:t>
      </w:r>
      <w:r w:rsidDel="00000000" w:rsidR="00000000" w:rsidRPr="00000000">
        <w:rPr>
          <w:rtl w:val="0"/>
        </w:rPr>
        <w:t xml:space="preserve">  The platform provides a standardized intake portal for mandatory breach reporting. Upon submission, the system provides automated severity classification based on predefined regulatory thresholds. All incident data is captured in chronologically locked logs within the MongoDB store, providing a transparent and tamper-proof timeline for supervisory review and eventual enforcement.</w:t>
      </w:r>
      <w:r w:rsidDel="00000000" w:rsidR="00000000" w:rsidRPr="00000000">
        <w:rPr>
          <w:b w:val="1"/>
          <w:bCs w:val="1"/>
          <w:rtl w:val="0"/>
        </w:rPr>
        <w:t xml:space="preserve">Audit, Inspection, &amp; Investigation</w:t>
      </w:r>
      <w:r w:rsidDel="00000000" w:rsidR="00000000" w:rsidRPr="00000000">
        <w:rPr>
          <w:rtl w:val="0"/>
        </w:rPr>
        <w:t xml:space="preserve">  This module provides the core mechanism for regulatory field work and internal investigations. It includes  </w:t>
      </w:r>
      <w:r w:rsidDel="00000000" w:rsidR="00000000" w:rsidRPr="00000000">
        <w:rPr>
          <w:b w:val="1"/>
          <w:bCs w:val="1"/>
          <w:rtl w:val="0"/>
        </w:rPr>
        <w:t xml:space="preserve">Deletion Orchestration</w:t>
      </w:r>
      <w:r w:rsidDel="00000000" w:rsidR="00000000" w:rsidRPr="00000000">
        <w:rPr>
          <w:rtl w:val="0"/>
        </w:rPr>
        <w:t xml:space="preserve"> , a specific mechanism designed to verify "Right to be Forgotten" (Data Erasure) requests. Rather than relying on a controller’s verbal confirmation, the system orchestrates and logs the verification of these deletions. All investigative actions and regulatory findings are captured through immutable evidence logging, creating a forensic audit trail that links every supervisory action to a specific piece of evidence.</w:t>
      </w:r>
    </w:p>
    <w:p w:rsidR="00000000" w:rsidDel="00000000" w:rsidP="00000000" w:rsidRDefault="00000000" w:rsidRPr="00000000" w14:paraId="0000000A">
      <w:pPr>
        <w:pStyle w:val="Heading5"/>
        <w:rPr/>
      </w:pPr>
      <w:bookmarkStart w:colFirst="0" w:colLast="0" w:name="_s25uz0ffgdrw" w:id="4"/>
      <w:bookmarkEnd w:id="4"/>
      <w:r w:rsidDel="00000000" w:rsidR="00000000" w:rsidRPr="00000000">
        <w:rPr>
          <w:rtl w:val="0"/>
        </w:rPr>
        <w:t xml:space="preserve">4. Advanced Roadmap: Intelligence &amp; Predictive Analytics (Phase 2)</w:t>
      </w:r>
    </w:p>
    <w:p w:rsidR="00000000" w:rsidDel="00000000" w:rsidP="00000000" w:rsidRDefault="00000000" w:rsidRPr="00000000" w14:paraId="0000000B">
      <w:pPr>
        <w:rPr/>
      </w:pPr>
      <w:r w:rsidDel="00000000" w:rsidR="00000000" w:rsidRPr="00000000">
        <w:rPr>
          <w:rtl w:val="0"/>
        </w:rPr>
        <w:t xml:space="preserve">Phase 2 transitions the platform from a rule-based environment to an intelligent infrastructure capable of predictive foresight.</w:t>
      </w:r>
      <w:r w:rsidDel="00000000" w:rsidR="00000000" w:rsidRPr="00000000">
        <w:rPr>
          <w:b w:val="1"/>
          <w:bCs w:val="1"/>
          <w:rtl w:val="0"/>
        </w:rPr>
        <w:t xml:space="preserve">ML-Driven Risk &amp; Anomaly Detection</w:t>
      </w:r>
      <w:r w:rsidDel="00000000" w:rsidR="00000000" w:rsidRPr="00000000">
        <w:rPr>
          <w:rtl w:val="0"/>
        </w:rPr>
        <w:t xml:space="preserve">  As the system matures, it will implement ML-driven predictive risk models. These models perform advanced analytics by ingesting structured metadata from PostgreSQL and unstructured logs from MongoDB. By analyzing historical "training" data and real-time "inference" streams, the system can identify unusual data-sharing patterns, detect "repeat offenders" across different jurisdictions, and highlight sector-wide compliance anomalies that are invisible to deterministic, rule-based filters.</w:t>
      </w:r>
      <w:r w:rsidDel="00000000" w:rsidR="00000000" w:rsidRPr="00000000">
        <w:rPr>
          <w:b w:val="1"/>
          <w:bCs w:val="1"/>
          <w:rtl w:val="0"/>
        </w:rPr>
        <w:t xml:space="preserve">Regulatory Sandbox for AI</w:t>
      </w:r>
      <w:r w:rsidDel="00000000" w:rsidR="00000000" w:rsidRPr="00000000">
        <w:rPr>
          <w:rtl w:val="0"/>
        </w:rPr>
        <w:t xml:space="preserve">  The sandbox is a virtualized environment designed for the proactive evaluation of AI and ML systems before they reach the market. This module is architecturally isolated from production data to ensure security. It provides tools for testing LLM/ML models against fairness, transparency, and data minimization protocols. Regulators can observe how a model processes data in a controlled setting, ensuring that AI deployments align with national ethical and legal standards.</w:t>
      </w:r>
      <w:r w:rsidDel="00000000" w:rsidR="00000000" w:rsidRPr="00000000">
        <w:rPr>
          <w:b w:val="1"/>
          <w:bCs w:val="1"/>
          <w:rtl w:val="0"/>
        </w:rPr>
        <w:t xml:space="preserve">Full Spectrum DSR Management</w:t>
      </w:r>
      <w:r w:rsidDel="00000000" w:rsidR="00000000" w:rsidRPr="00000000">
        <w:rPr>
          <w:rtl w:val="0"/>
        </w:rPr>
        <w:t xml:space="preserve">  Building on the Phase 1 deletion tools, this module automates the oversight of the entire lifecycle of Data Subject Rights (DSR), including  </w:t>
      </w:r>
      <w:r w:rsidDel="00000000" w:rsidR="00000000" w:rsidRPr="00000000">
        <w:rPr>
          <w:b w:val="1"/>
          <w:bCs w:val="1"/>
          <w:rtl w:val="0"/>
        </w:rPr>
        <w:t xml:space="preserve">Subject Access Requests (SARs)</w:t>
      </w:r>
      <w:r w:rsidDel="00000000" w:rsidR="00000000" w:rsidRPr="00000000">
        <w:rPr>
          <w:rtl w:val="0"/>
        </w:rPr>
        <w:t xml:space="preserve"> ,  </w:t>
      </w:r>
      <w:r w:rsidDel="00000000" w:rsidR="00000000" w:rsidRPr="00000000">
        <w:rPr>
          <w:b w:val="1"/>
          <w:bCs w:val="1"/>
          <w:rtl w:val="0"/>
        </w:rPr>
        <w:t xml:space="preserve">Data Portability</w:t>
      </w:r>
      <w:r w:rsidDel="00000000" w:rsidR="00000000" w:rsidRPr="00000000">
        <w:rPr>
          <w:rtl w:val="0"/>
        </w:rPr>
        <w:t xml:space="preserve"> , and  </w:t>
      </w:r>
      <w:r w:rsidDel="00000000" w:rsidR="00000000" w:rsidRPr="00000000">
        <w:rPr>
          <w:b w:val="1"/>
          <w:bCs w:val="1"/>
          <w:rtl w:val="0"/>
        </w:rPr>
        <w:t xml:space="preserve">Rectification</w:t>
      </w:r>
      <w:r w:rsidDel="00000000" w:rsidR="00000000" w:rsidRPr="00000000">
        <w:rPr>
          <w:rtl w:val="0"/>
        </w:rPr>
        <w:t xml:space="preserve"> . The system implements rigorous SLA monitoring; if a data controller fails to respond to a citizen's request within the statutory timeframe, automated escalation triggers notify the regulator immediately, facilitating swift administrative intervention.</w:t>
      </w:r>
      <w:r w:rsidDel="00000000" w:rsidR="00000000" w:rsidRPr="00000000">
        <w:rPr>
          <w:b w:val="1"/>
          <w:bCs w:val="1"/>
          <w:rtl w:val="0"/>
        </w:rPr>
        <w:t xml:space="preserve">Sector Benchmarking &amp; Maturity Scorecards</w:t>
      </w:r>
      <w:r w:rsidDel="00000000" w:rsidR="00000000" w:rsidRPr="00000000">
        <w:rPr>
          <w:rtl w:val="0"/>
        </w:rPr>
        <w:t xml:space="preserve">  By aggregating anonymized data across the platform, the system generates real-time maturity scorecards. These tools allow entities to benchmark their compliance posture against industry peers (e.g., a healthcare provider comparing their data security scores against the national healthcare sector average). For the regulator, this provides a macro-view of risk concentrations within specific economic sectors, allowing for targeted policy adjustments.</w:t>
      </w:r>
    </w:p>
    <w:p w:rsidR="00000000" w:rsidDel="00000000" w:rsidP="00000000" w:rsidRDefault="00000000" w:rsidRPr="00000000" w14:paraId="0000000C">
      <w:pPr>
        <w:pStyle w:val="Heading5"/>
        <w:rPr/>
      </w:pPr>
      <w:bookmarkStart w:colFirst="0" w:colLast="0" w:name="_2pp0j5vlwfkf" w:id="5"/>
      <w:bookmarkEnd w:id="5"/>
      <w:r w:rsidDel="00000000" w:rsidR="00000000" w:rsidRPr="00000000">
        <w:rPr>
          <w:rtl w:val="0"/>
        </w:rPr>
        <w:t xml:space="preserve">5. Field Operations &amp; Mobile Infrastructure</w:t>
      </w:r>
    </w:p>
    <w:p w:rsidR="00000000" w:rsidDel="00000000" w:rsidP="00000000" w:rsidRDefault="00000000" w:rsidRPr="00000000" w14:paraId="0000000D">
      <w:pPr>
        <w:rPr/>
      </w:pPr>
      <w:r w:rsidDel="00000000" w:rsidR="00000000" w:rsidRPr="00000000">
        <w:rPr>
          <w:rtl w:val="0"/>
        </w:rPr>
        <w:t xml:space="preserve">Effective oversight requires mobility and tools that function in the "last mile" of regulatory enforcement.</w:t>
      </w:r>
      <w:r w:rsidDel="00000000" w:rsidR="00000000" w:rsidRPr="00000000">
        <w:rPr>
          <w:b w:val="1"/>
          <w:bCs w:val="1"/>
          <w:rtl w:val="0"/>
        </w:rPr>
        <w:t xml:space="preserve">Offline-First Mobile Application</w:t>
      </w:r>
      <w:r w:rsidDel="00000000" w:rsidR="00000000" w:rsidRPr="00000000">
        <w:rPr>
          <w:rtl w:val="0"/>
        </w:rPr>
        <w:t xml:space="preserve">  Recognizing that inspectors often operate in data centers or remote facilities with intermittent connectivity, the platform utilizes an "offline-first" mobile architecture. Inspectors can perform digital checklists and capture evidence locally on the device. The application ensures local data persistence and integrity; once a secure connection is re-established, the data undergoes an automated synchronization process to the core MongoDB evidence store, ensuring no loss of forensic data during on-site inspections.</w:t>
      </w:r>
      <w:r w:rsidDel="00000000" w:rsidR="00000000" w:rsidRPr="00000000">
        <w:rPr>
          <w:b w:val="1"/>
          <w:bCs w:val="1"/>
          <w:rtl w:val="0"/>
        </w:rPr>
        <w:t xml:space="preserve">Pre-Audit Self-Assessment Tools</w:t>
      </w:r>
      <w:r w:rsidDel="00000000" w:rsidR="00000000" w:rsidRPr="00000000">
        <w:rPr>
          <w:rtl w:val="0"/>
        </w:rPr>
        <w:t xml:space="preserve">  To foster a culture of proactive compliance, the platform provides gap-analysis tools directly to data controllers. These tools allow organizations to run internal simulations of a regulatory audit. By identifying and remediating findings through these self-assessments prior to a formal inspection, controllers can maintain a higher baseline of compliance, reducing the burden on both the entity and the supervisor.</w:t>
      </w:r>
    </w:p>
    <w:p w:rsidR="00000000" w:rsidDel="00000000" w:rsidP="00000000" w:rsidRDefault="00000000" w:rsidRPr="00000000" w14:paraId="0000000E">
      <w:pPr>
        <w:pStyle w:val="Heading5"/>
        <w:rPr/>
      </w:pPr>
      <w:bookmarkStart w:colFirst="0" w:colLast="0" w:name="_wjctjcjjeg49" w:id="6"/>
      <w:bookmarkEnd w:id="6"/>
      <w:r w:rsidDel="00000000" w:rsidR="00000000" w:rsidRPr="00000000">
        <w:rPr>
          <w:rtl w:val="0"/>
        </w:rPr>
        <w:t xml:space="preserve">6. External System Orchestration &amp; Ecosystem Integration</w:t>
      </w:r>
    </w:p>
    <w:p w:rsidR="00000000" w:rsidDel="00000000" w:rsidP="00000000" w:rsidRDefault="00000000" w:rsidRPr="00000000" w14:paraId="0000000F">
      <w:pPr>
        <w:rPr/>
      </w:pPr>
      <w:r w:rsidDel="00000000" w:rsidR="00000000" w:rsidRPr="00000000">
        <w:rPr>
          <w:rtl w:val="0"/>
        </w:rPr>
        <w:t xml:space="preserve">The platform functions as the central node in the national digital infrastructure, utilizing five critical external integrations to validate data and automate workflows: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Government Identity Systems (OAuth/SAML):</w:t>
      </w:r>
      <w:r w:rsidDel="00000000" w:rsidR="00000000" w:rsidRPr="00000000">
        <w:rPr>
          <w:rtl w:val="0"/>
        </w:rPr>
        <w:t xml:space="preserve">  This integration allows for the cryptographic verification of the legal identities of DPOs and organizational executives. This ensures non-repudiation and high-assurance authentication for all legal filings and approvals.</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National Payment Systems:</w:t>
      </w:r>
      <w:r w:rsidDel="00000000" w:rsidR="00000000" w:rsidRPr="00000000">
        <w:rPr>
          <w:rtl w:val="0"/>
        </w:rPr>
        <w:t xml:space="preserve">  Through secure API gateways, the platform facilitates the direct settlement of licensing fees and administrative fines. This integration closes the loop between enforcement and revenue collection, automating the financial aspects of regulatory compliance.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SIEM / Cybersecurity Monitoring:</w:t>
      </w:r>
      <w:r w:rsidDel="00000000" w:rsidR="00000000" w:rsidRPr="00000000">
        <w:rPr>
          <w:rtl w:val="0"/>
        </w:rPr>
        <w:t xml:space="preserve">  By utilizing Webhooks, the platform can ingest external threat intelligence. This allows the regulator to cross-reference a controller’s reported breach against known network intrusion data, validating the accuracy and timeliness of the controller's disclosure.</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Communication Gateways:</w:t>
      </w:r>
      <w:r w:rsidDel="00000000" w:rsidR="00000000" w:rsidRPr="00000000">
        <w:rPr>
          <w:rtl w:val="0"/>
        </w:rPr>
        <w:t xml:space="preserve">  Integrated Email and SMS services provide the real-time alerting infrastructure. This ensures that critical breach notifications, overdue SLAs, or license expirations are communicated to the relevant stakeholders instantly, reducing response times across the board.</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Enterprise Data Discovery (OneTrust/TrustArc):</w:t>
      </w:r>
      <w:r w:rsidDel="00000000" w:rsidR="00000000" w:rsidRPr="00000000">
        <w:rPr>
          <w:rtl w:val="0"/>
        </w:rPr>
        <w:t xml:space="preserve">  Direct API connectors to discovery tools allow for  </w:t>
      </w:r>
      <w:r w:rsidDel="00000000" w:rsidR="00000000" w:rsidRPr="00000000">
        <w:rPr>
          <w:b w:val="1"/>
          <w:bCs w:val="1"/>
          <w:rtl w:val="0"/>
        </w:rPr>
        <w:t xml:space="preserve">Automated Evidence Validation</w:t>
      </w:r>
      <w:r w:rsidDel="00000000" w:rsidR="00000000" w:rsidRPr="00000000">
        <w:rPr>
          <w:rtl w:val="0"/>
        </w:rPr>
        <w:t xml:space="preserve"> . The platform cross-references a controller’s self-reported ROPA against their actual enterprise data footprint. This is a critical capability for detecting "Shadow IT"—unregistered databases or processing activities that have not been disclosed to the regulator.</w:t>
      </w:r>
    </w:p>
    <w:p w:rsidR="00000000" w:rsidDel="00000000" w:rsidP="00000000" w:rsidRDefault="00000000" w:rsidRPr="00000000" w14:paraId="00000015">
      <w:pPr>
        <w:pStyle w:val="Heading5"/>
        <w:rPr/>
      </w:pPr>
      <w:bookmarkStart w:colFirst="0" w:colLast="0" w:name="_2ze2p0nb135n" w:id="7"/>
      <w:bookmarkEnd w:id="7"/>
      <w:r w:rsidDel="00000000" w:rsidR="00000000" w:rsidRPr="00000000">
        <w:rPr>
          <w:rtl w:val="0"/>
        </w:rPr>
        <w:t xml:space="preserve">7. Security, Governance, and Legal Admissibility</w:t>
      </w:r>
    </w:p>
    <w:p w:rsidR="00000000" w:rsidDel="00000000" w:rsidP="00000000" w:rsidRDefault="00000000" w:rsidRPr="00000000" w14:paraId="00000016">
      <w:pPr>
        <w:rPr/>
      </w:pPr>
      <w:r w:rsidDel="00000000" w:rsidR="00000000" w:rsidRPr="00000000">
        <w:rPr>
          <w:b w:val="1"/>
          <w:bCs w:val="1"/>
          <w:rtl w:val="0"/>
        </w:rPr>
        <w:t xml:space="preserve">The Immutable Ledger</w:t>
      </w:r>
      <w:r w:rsidDel="00000000" w:rsidR="00000000" w:rsidRPr="00000000">
        <w:rPr>
          <w:rtl w:val="0"/>
        </w:rPr>
        <w:t xml:space="preserve">  At the heart of the platform’s integrity is an immutable ledger. Every decision made by the system, every supervisory approval, and every evidence submission is recorded with a cryptographic timestamp. This ensures a forensic-grade chain-of-custody and prevents the retrospective alteration of records, establishing a permanent and unchangeable history of regulatory interactions.</w:t>
      </w:r>
      <w:r w:rsidDel="00000000" w:rsidR="00000000" w:rsidRPr="00000000">
        <w:rPr>
          <w:b w:val="1"/>
          <w:bCs w:val="1"/>
          <w:rtl w:val="0"/>
        </w:rPr>
        <w:t xml:space="preserve">Data Protection Standards</w:t>
      </w:r>
      <w:r w:rsidDel="00000000" w:rsidR="00000000" w:rsidRPr="00000000">
        <w:rPr>
          <w:rtl w:val="0"/>
        </w:rPr>
        <w:t xml:space="preserve">  The platform adheres to a Zero-Trust security model to protect the confidentiality of sensitive national data. Security controls include: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Strict limiting of data access to the minimum necessary for a user's specific function.</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AES-256 Encryption:</w:t>
      </w:r>
      <w:r w:rsidDel="00000000" w:rsidR="00000000" w:rsidRPr="00000000">
        <w:rPr>
          <w:rtl w:val="0"/>
        </w:rPr>
        <w:t xml:space="preserve">  Applied to all data at rest within PostgreSQL and MongoDB.</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TLS 1.3:</w:t>
      </w:r>
      <w:r w:rsidDel="00000000" w:rsidR="00000000" w:rsidRPr="00000000">
        <w:rPr>
          <w:rtl w:val="0"/>
        </w:rPr>
        <w:t xml:space="preserve">  The mandatory protocol for all data in transit, ensuring that communications between controllers, the platform, and external nodes remain encrypted.</w:t>
      </w:r>
      <w:r w:rsidDel="00000000" w:rsidR="00000000" w:rsidRPr="00000000">
        <w:rPr>
          <w:b w:val="1"/>
          <w:bCs w:val="1"/>
          <w:rtl w:val="0"/>
        </w:rPr>
        <w:t xml:space="preserve">Forensic Soundness &amp; Judicial Review</w:t>
      </w:r>
      <w:r w:rsidDel="00000000" w:rsidR="00000000" w:rsidRPr="00000000">
        <w:rPr>
          <w:rtl w:val="0"/>
        </w:rPr>
        <w:t xml:space="preserve">  The culmination of these architectural measures ensures full  </w:t>
      </w:r>
      <w:r w:rsidDel="00000000" w:rsidR="00000000" w:rsidRPr="00000000">
        <w:rPr>
          <w:b w:val="1"/>
          <w:bCs w:val="1"/>
          <w:rtl w:val="0"/>
        </w:rPr>
        <w:t xml:space="preserve">Legal Admissibility</w:t>
      </w:r>
      <w:r w:rsidDel="00000000" w:rsidR="00000000" w:rsidRPr="00000000">
        <w:rPr>
          <w:rtl w:val="0"/>
        </w:rPr>
        <w:t xml:space="preserve"> . Because every action is captured via immutable evidence logging and secured through advanced encryption, the platform serves as the forensically sound "primary source of truth" for national regulatory enforcement. The logs and evidence gathered are designed to withstand the highest levels of scrutiny, providing a definitive and undeniable basis for judicial review in national enforcement cases and administrative hearings.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