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CA995">
      <w:pPr>
        <w:spacing w:before="2200" w:after="0"/>
      </w:pPr>
    </w:p>
    <w:p w14:paraId="0E4E7F1F">
      <w:pPr>
        <w:spacing w:before="0" w:after="120"/>
        <w:jc w:val="center"/>
      </w:pPr>
      <w:r>
        <w:rPr>
          <w:rFonts w:ascii="Arial" w:hAnsi="Arial" w:eastAsia="Arial" w:cs="Arial"/>
          <w:b/>
          <w:bCs/>
          <w:color w:val="0D2137"/>
          <w:sz w:val="72"/>
          <w:szCs w:val="72"/>
        </w:rPr>
        <w:t>NeuroWorks</w:t>
      </w:r>
    </w:p>
    <w:p w14:paraId="70B9DDA8">
      <w:pPr>
        <w:spacing w:before="0" w:after="80"/>
        <w:jc w:val="center"/>
      </w:pPr>
      <w:r>
        <w:rPr>
          <w:rFonts w:ascii="Arial" w:hAnsi="Arial" w:eastAsia="Arial" w:cs="Arial"/>
          <w:i/>
          <w:iCs/>
          <w:color w:val="1D6FA4"/>
          <w:sz w:val="30"/>
          <w:szCs w:val="30"/>
        </w:rPr>
        <w:t>The Intelligent Organisation Platform</w:t>
      </w:r>
    </w:p>
    <w:p w14:paraId="5098351D">
      <w:pPr>
        <w:spacing w:before="0" w:after="280"/>
        <w:jc w:val="center"/>
      </w:pPr>
      <w:r>
        <w:rPr>
          <w:rFonts w:ascii="Arial" w:hAnsi="Arial" w:eastAsia="Arial" w:cs="Arial"/>
          <w:i/>
          <w:iCs/>
          <w:color w:val="1A3F5C"/>
          <w:sz w:val="22"/>
          <w:szCs w:val="22"/>
        </w:rPr>
        <w:t>Turn job descriptions into AI workers. Design the intelligent organisation. Reorganise intelligence itself.</w:t>
      </w:r>
    </w:p>
    <w:p w14:paraId="2496B597">
      <w:pPr>
        <w:spacing w:before="0" w:after="50"/>
        <w:jc w:val="center"/>
      </w:pPr>
      <w:r>
        <w:rPr>
          <w:rFonts w:ascii="Arial" w:hAnsi="Arial" w:eastAsia="Arial" w:cs="Arial"/>
          <w:b/>
          <w:bCs/>
          <w:color w:val="1A3F5C"/>
          <w:sz w:val="22"/>
          <w:szCs w:val="22"/>
        </w:rPr>
        <w:t xml:space="preserve">Project Title:  </w:t>
      </w:r>
      <w:r>
        <w:rPr>
          <w:rFonts w:ascii="Arial" w:hAnsi="Arial" w:eastAsia="Arial" w:cs="Arial"/>
          <w:color w:val="111111"/>
          <w:sz w:val="22"/>
          <w:szCs w:val="22"/>
        </w:rPr>
        <w:t>NeuroWorks AI Digital Workforce and Intelligent Organisation Platform</w:t>
      </w:r>
    </w:p>
    <w:p w14:paraId="5248CA70">
      <w:pPr>
        <w:spacing w:before="0" w:after="50"/>
        <w:jc w:val="center"/>
      </w:pPr>
      <w:r>
        <w:rPr>
          <w:rFonts w:ascii="Arial" w:hAnsi="Arial" w:eastAsia="Arial" w:cs="Arial"/>
          <w:b/>
          <w:bCs/>
          <w:color w:val="1A3F5C"/>
          <w:sz w:val="22"/>
          <w:szCs w:val="22"/>
        </w:rPr>
        <w:t xml:space="preserve">Track Name:  </w:t>
      </w:r>
      <w:r>
        <w:rPr>
          <w:rFonts w:ascii="Arial" w:hAnsi="Arial" w:eastAsia="Arial" w:cs="Arial"/>
          <w:color w:val="111111"/>
          <w:sz w:val="22"/>
          <w:szCs w:val="22"/>
        </w:rPr>
        <w:t>Track 3 Development</w:t>
      </w:r>
    </w:p>
    <w:p w14:paraId="0441725A">
      <w:pPr>
        <w:spacing w:before="0" w:after="50"/>
        <w:jc w:val="center"/>
        <w:rPr>
          <w:rFonts w:hint="default" w:cs="Arial"/>
          <w:color w:val="111111"/>
          <w:sz w:val="22"/>
          <w:szCs w:val="22"/>
          <w:lang w:val="en-ZA"/>
        </w:rPr>
      </w:pPr>
      <w:r>
        <w:rPr>
          <w:rFonts w:ascii="Arial" w:hAnsi="Arial" w:eastAsia="Arial" w:cs="Arial"/>
          <w:b/>
          <w:bCs/>
          <w:color w:val="1A3F5C"/>
          <w:sz w:val="22"/>
          <w:szCs w:val="22"/>
        </w:rPr>
        <w:t xml:space="preserve">Team Name:  </w:t>
      </w:r>
      <w:r>
        <w:rPr>
          <w:rFonts w:hint="default" w:cs="Arial"/>
          <w:color w:val="111111"/>
          <w:sz w:val="22"/>
          <w:szCs w:val="22"/>
          <w:lang w:val="en-ZA"/>
        </w:rPr>
        <w:t>NeuroWorks</w:t>
      </w:r>
    </w:p>
    <w:p w14:paraId="75BD7236">
      <w:pPr>
        <w:spacing w:before="0" w:after="50"/>
        <w:jc w:val="center"/>
      </w:pPr>
      <w:r>
        <w:rPr>
          <w:rFonts w:ascii="Arial" w:hAnsi="Arial" w:eastAsia="Arial" w:cs="Arial"/>
          <w:b/>
          <w:bCs/>
          <w:color w:val="1A3F5C"/>
          <w:sz w:val="22"/>
          <w:szCs w:val="22"/>
        </w:rPr>
        <w:t xml:space="preserve">Lead Innovator:  </w:t>
      </w:r>
      <w:r>
        <w:rPr>
          <w:rFonts w:hint="default" w:cs="Arial"/>
          <w:color w:val="111111"/>
          <w:sz w:val="22"/>
          <w:szCs w:val="22"/>
          <w:lang w:val="en-ZA"/>
        </w:rPr>
        <w:t>Aiia &amp; Rubiem</w:t>
      </w:r>
      <w:r>
        <w:rPr>
          <w:rFonts w:hint="default" w:cs="Arial"/>
          <w:color w:val="111111"/>
          <w:sz w:val="22"/>
          <w:szCs w:val="22"/>
          <w:lang w:val="en-ZA"/>
        </w:rPr>
        <w:br w:type="textWrapping"/>
      </w:r>
      <w:r>
        <w:rPr>
          <w:rFonts w:ascii="Arial" w:hAnsi="Arial" w:eastAsia="Arial" w:cs="Arial"/>
          <w:b/>
          <w:bCs/>
          <w:color w:val="1A3F5C"/>
          <w:sz w:val="22"/>
          <w:szCs w:val="22"/>
        </w:rPr>
        <w:t xml:space="preserve">Date:  </w:t>
      </w:r>
      <w:r>
        <w:rPr>
          <w:rFonts w:ascii="Arial" w:hAnsi="Arial" w:eastAsia="Arial" w:cs="Arial"/>
          <w:color w:val="111111"/>
          <w:sz w:val="22"/>
          <w:szCs w:val="22"/>
        </w:rPr>
        <w:t>11 July 2026</w:t>
      </w:r>
    </w:p>
    <w:p w14:paraId="22344872">
      <w:pPr>
        <w:spacing w:before="0" w:after="50"/>
        <w:jc w:val="center"/>
      </w:pPr>
      <w:r>
        <w:rPr>
          <w:rFonts w:ascii="Arial" w:hAnsi="Arial" w:eastAsia="Arial" w:cs="Arial"/>
          <w:b/>
          <w:bCs/>
          <w:color w:val="1A3F5C"/>
          <w:sz w:val="22"/>
          <w:szCs w:val="22"/>
        </w:rPr>
        <w:t xml:space="preserve">Repository:  </w:t>
      </w:r>
      <w:r>
        <w:rPr>
          <w:rFonts w:ascii="Arial" w:hAnsi="Arial" w:eastAsia="Arial" w:cs="Arial"/>
          <w:color w:val="111111"/>
          <w:sz w:val="22"/>
          <w:szCs w:val="22"/>
        </w:rPr>
        <w:t xml:space="preserve">github.com/RUBIEM-DEVELOPERS-REPO/neuroworks </w:t>
      </w:r>
      <w:bookmarkStart w:id="0" w:name="_GoBack"/>
      <w:bookmarkEnd w:id="0"/>
    </w:p>
    <w:p w14:paraId="4E7C5500">
      <w:pPr>
        <w:spacing w:before="0" w:after="50"/>
        <w:jc w:val="center"/>
      </w:pPr>
      <w:r>
        <w:rPr>
          <w:rFonts w:ascii="Arial" w:hAnsi="Arial" w:eastAsia="Arial" w:cs="Arial"/>
          <w:b/>
          <w:bCs/>
          <w:color w:val="1A3F5C"/>
          <w:sz w:val="22"/>
          <w:szCs w:val="22"/>
        </w:rPr>
        <w:t xml:space="preserve">Demo:  </w:t>
      </w:r>
      <w:r>
        <w:rPr>
          <w:rFonts w:ascii="Arial" w:hAnsi="Arial" w:eastAsia="Arial" w:cs="Arial"/>
          <w:color w:val="111111"/>
          <w:sz w:val="22"/>
          <w:szCs w:val="22"/>
        </w:rPr>
        <w:t>Live demonstration  Day 5, Friday 31 July 2026</w:t>
      </w:r>
    </w:p>
    <w:p w14:paraId="748C4CA0">
      <w:pPr>
        <w:rPr>
          <w:rFonts w:hint="default"/>
          <w:lang w:val="en-ZA"/>
        </w:rPr>
      </w:pPr>
      <w:r>
        <w:rPr>
          <w:rFonts w:ascii="Arial" w:hAnsi="Arial" w:eastAsia="Arial" w:cs="Arial"/>
          <w:color w:val="111111"/>
          <w:sz w:val="22"/>
          <w:szCs w:val="22"/>
        </w:rPr>
        <w:drawing>
          <wp:anchor distT="0" distB="0" distL="114300" distR="114300" simplePos="0" relativeHeight="251659264" behindDoc="1" locked="0" layoutInCell="1" allowOverlap="1">
            <wp:simplePos x="0" y="0"/>
            <wp:positionH relativeFrom="column">
              <wp:posOffset>1483995</wp:posOffset>
            </wp:positionH>
            <wp:positionV relativeFrom="paragraph">
              <wp:posOffset>320040</wp:posOffset>
            </wp:positionV>
            <wp:extent cx="3237230" cy="2281555"/>
            <wp:effectExtent l="0" t="0" r="8890" b="4445"/>
            <wp:wrapNone/>
            <wp:docPr id="1" name="Picture 1" descr="aiia 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iia plain"/>
                    <pic:cNvPicPr>
                      <a:picLocks noChangeAspect="1"/>
                    </pic:cNvPicPr>
                  </pic:nvPicPr>
                  <pic:blipFill>
                    <a:blip r:embed="rId4"/>
                    <a:stretch>
                      <a:fillRect/>
                    </a:stretch>
                  </pic:blipFill>
                  <pic:spPr>
                    <a:xfrm>
                      <a:off x="0" y="0"/>
                      <a:ext cx="3237230" cy="2281555"/>
                    </a:xfrm>
                    <a:prstGeom prst="rect">
                      <a:avLst/>
                    </a:prstGeom>
                  </pic:spPr>
                </pic:pic>
              </a:graphicData>
            </a:graphic>
          </wp:anchor>
        </w:drawing>
      </w:r>
      <w:r>
        <w:rPr>
          <w:rFonts w:hint="default"/>
          <w:lang w:val="en-ZA"/>
        </w:rPr>
        <w:drawing>
          <wp:anchor distT="0" distB="0" distL="114300" distR="114300" simplePos="0" relativeHeight="251660288" behindDoc="1" locked="0" layoutInCell="1" allowOverlap="1">
            <wp:simplePos x="0" y="0"/>
            <wp:positionH relativeFrom="column">
              <wp:posOffset>1564640</wp:posOffset>
            </wp:positionH>
            <wp:positionV relativeFrom="paragraph">
              <wp:posOffset>2416810</wp:posOffset>
            </wp:positionV>
            <wp:extent cx="3143250" cy="1457325"/>
            <wp:effectExtent l="0" t="0" r="11430" b="5715"/>
            <wp:wrapNone/>
            <wp:docPr id="2" name="Picture 2" descr="rubi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ubiem logo"/>
                    <pic:cNvPicPr>
                      <a:picLocks noChangeAspect="1"/>
                    </pic:cNvPicPr>
                  </pic:nvPicPr>
                  <pic:blipFill>
                    <a:blip r:embed="rId5"/>
                    <a:stretch>
                      <a:fillRect/>
                    </a:stretch>
                  </pic:blipFill>
                  <pic:spPr>
                    <a:xfrm>
                      <a:off x="0" y="0"/>
                      <a:ext cx="3143250" cy="1457325"/>
                    </a:xfrm>
                    <a:prstGeom prst="rect">
                      <a:avLst/>
                    </a:prstGeom>
                  </pic:spPr>
                </pic:pic>
              </a:graphicData>
            </a:graphic>
          </wp:anchor>
        </w:drawing>
      </w:r>
      <w:r>
        <w:br w:type="page"/>
      </w:r>
    </w:p>
    <w:p w14:paraId="67031C38">
      <w:pPr>
        <w:rPr>
          <w:rFonts w:hint="default"/>
          <w:lang w:val="en-ZA"/>
        </w:rPr>
        <w:sectPr>
          <w:pgSz w:w="12240" w:h="15840"/>
          <w:pgMar w:top="1440" w:right="1440" w:bottom="1440" w:left="1440" w:header="708" w:footer="708" w:gutter="0"/>
          <w:cols w:space="720" w:num="1"/>
          <w:docGrid w:linePitch="360" w:charSpace="0"/>
        </w:sectPr>
      </w:pPr>
    </w:p>
    <w:p w14:paraId="0D38EC54">
      <w:pPr>
        <w:pStyle w:val="2"/>
        <w:spacing w:before="280" w:after="120" w:line="276" w:lineRule="auto"/>
      </w:pPr>
      <w:r>
        <w:rPr>
          <w:rFonts w:ascii="Arial" w:hAnsi="Arial" w:eastAsia="Arial" w:cs="Arial"/>
          <w:b/>
          <w:bCs/>
          <w:color w:val="0D2137"/>
          <w:sz w:val="26"/>
          <w:szCs w:val="26"/>
        </w:rPr>
        <w:t>Section 1 Problem Definition and Strategic Alignment</w:t>
      </w:r>
    </w:p>
    <w:p w14:paraId="0908C133">
      <w:pPr>
        <w:pStyle w:val="3"/>
        <w:spacing w:before="180" w:after="80" w:line="276" w:lineRule="auto"/>
      </w:pPr>
      <w:r>
        <w:rPr>
          <w:rFonts w:ascii="Arial" w:hAnsi="Arial" w:eastAsia="Arial" w:cs="Arial"/>
          <w:b/>
          <w:bCs/>
          <w:color w:val="1D6FA4"/>
          <w:sz w:val="22"/>
          <w:szCs w:val="22"/>
        </w:rPr>
        <w:t>1.1 Four Structural Failures Defining the Problem</w:t>
      </w:r>
    </w:p>
    <w:p w14:paraId="00D4894C">
      <w:pPr>
        <w:spacing w:before="80" w:after="80" w:line="276" w:lineRule="auto"/>
      </w:pPr>
      <w:r>
        <w:rPr>
          <w:rFonts w:ascii="Arial" w:hAnsi="Arial" w:eastAsia="Arial" w:cs="Arial"/>
          <w:color w:val="111111"/>
          <w:sz w:val="22"/>
          <w:szCs w:val="22"/>
        </w:rPr>
        <w:t>The organisational capacity crisis in Zimbabwe is not a technology problem or a skills problem in isolation. It is a structural design problem. The organisation itself as a concept was built for the industrial era: fixed headcount, hierarchical org charts, job descriptions tied to qualifications, hiring and scaling measured in months and years. That model is failing four ways simultaneously.</w:t>
      </w:r>
    </w:p>
    <w:p w14:paraId="6975960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2DB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11D1556F">
            <w:pPr>
              <w:spacing w:before="0" w:after="60"/>
            </w:pPr>
            <w:r>
              <w:rPr>
                <w:rFonts w:ascii="Arial" w:hAnsi="Arial" w:eastAsia="Arial" w:cs="Arial"/>
                <w:b/>
                <w:bCs/>
                <w:color w:val="FFFFFF"/>
                <w:sz w:val="20"/>
                <w:szCs w:val="20"/>
              </w:rPr>
              <w:t>1. Intelligent organisation gap</w:t>
            </w:r>
          </w:p>
          <w:p w14:paraId="68E1747A">
            <w:pPr>
              <w:spacing w:before="0" w:after="0" w:line="276" w:lineRule="auto"/>
            </w:pPr>
            <w:r>
              <w:rPr>
                <w:rFonts w:ascii="Arial" w:hAnsi="Arial" w:eastAsia="Arial" w:cs="Arial"/>
                <w:color w:val="D6E9F8"/>
                <w:sz w:val="17"/>
                <w:szCs w:val="17"/>
              </w:rPr>
              <w:t>There is no established model for what an AI-age adaptive intelligent organisation looks like. Institutions are attempting to bolt AI features onto industrial-era structures rather than redesigning the organisation itself.</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77CB143A">
            <w:pPr>
              <w:spacing w:before="0" w:after="60"/>
            </w:pPr>
            <w:r>
              <w:rPr>
                <w:rFonts w:ascii="Arial" w:hAnsi="Arial" w:eastAsia="Arial" w:cs="Arial"/>
                <w:b/>
                <w:bCs/>
                <w:color w:val="FFFFFF"/>
                <w:sz w:val="20"/>
                <w:szCs w:val="20"/>
              </w:rPr>
              <w:t>2. Labour cost and scaling gap</w:t>
            </w:r>
          </w:p>
          <w:p w14:paraId="4A6D40D7">
            <w:pPr>
              <w:spacing w:before="0" w:after="0" w:line="276" w:lineRule="auto"/>
            </w:pPr>
            <w:r>
              <w:rPr>
                <w:rFonts w:ascii="Arial" w:hAnsi="Arial" w:eastAsia="Arial" w:cs="Arial"/>
                <w:color w:val="D6E9F8"/>
                <w:sz w:val="17"/>
                <w:szCs w:val="17"/>
              </w:rPr>
              <w:t>Hiring and scaling human workers is expensive and slow. A rural clinic, an NGO, a government department none can grow their knowledge-work capacity at the speed their mandate requires. The cost of adding one qualified specialist can consume an entire department's discretionary budget.</w:t>
            </w:r>
          </w:p>
        </w:tc>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4E9253DC">
            <w:pPr>
              <w:spacing w:before="0" w:after="60"/>
            </w:pPr>
            <w:r>
              <w:rPr>
                <w:rFonts w:ascii="Arial" w:hAnsi="Arial" w:eastAsia="Arial" w:cs="Arial"/>
                <w:b/>
                <w:bCs/>
                <w:color w:val="FFFFFF"/>
                <w:sz w:val="20"/>
                <w:szCs w:val="20"/>
              </w:rPr>
              <w:t>3. Workforce capacity gap</w:t>
            </w:r>
          </w:p>
          <w:p w14:paraId="3EE4DCD2">
            <w:pPr>
              <w:spacing w:before="0" w:after="0" w:line="276" w:lineRule="auto"/>
            </w:pPr>
            <w:r>
              <w:rPr>
                <w:rFonts w:ascii="Arial" w:hAnsi="Arial" w:eastAsia="Arial" w:cs="Arial"/>
                <w:color w:val="D6E9F8"/>
                <w:sz w:val="17"/>
                <w:szCs w:val="17"/>
              </w:rPr>
              <w:t>The volume of knowledge work researching, drafting, querying, coordinating, reporting, complying</w:t>
            </w:r>
            <w:r>
              <w:rPr>
                <w:rFonts w:hint="default" w:cs="Arial"/>
                <w:color w:val="D6E9F8"/>
                <w:sz w:val="17"/>
                <w:szCs w:val="17"/>
                <w:lang w:val="en-ZA"/>
              </w:rPr>
              <w:t xml:space="preserve"> </w:t>
            </w:r>
            <w:r>
              <w:rPr>
                <w:rFonts w:ascii="Arial" w:hAnsi="Arial" w:eastAsia="Arial" w:cs="Arial"/>
                <w:color w:val="D6E9F8"/>
                <w:sz w:val="17"/>
                <w:szCs w:val="17"/>
              </w:rPr>
              <w:t>structurally exceeds what any affordable number of hires can cover. A single NGO programme officer performs the work of five specialists simultaneously. Quality suffers. Deadlines slip. Compliance fails.</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1DF0ADF6">
            <w:pPr>
              <w:spacing w:before="0" w:after="60"/>
            </w:pPr>
            <w:r>
              <w:rPr>
                <w:rFonts w:ascii="Arial" w:hAnsi="Arial" w:eastAsia="Arial" w:cs="Arial"/>
                <w:b/>
                <w:bCs/>
                <w:color w:val="FFFFFF"/>
                <w:sz w:val="20"/>
                <w:szCs w:val="20"/>
              </w:rPr>
              <w:t>4. Jobs and org structures are industrial-era artefacts</w:t>
            </w:r>
          </w:p>
          <w:p w14:paraId="4FB01539">
            <w:pPr>
              <w:spacing w:before="0" w:after="0" w:line="276" w:lineRule="auto"/>
            </w:pPr>
            <w:r>
              <w:rPr>
                <w:rFonts w:ascii="Arial" w:hAnsi="Arial" w:eastAsia="Arial" w:cs="Arial"/>
                <w:color w:val="D6E9F8"/>
                <w:sz w:val="17"/>
                <w:szCs w:val="17"/>
              </w:rPr>
              <w:t>Job descriptions, qualifications, and org charts were invented to manage industrial labour. The AI age demands a different unit of organisational design: skills, outcomes, and coordinated intelligence not headcount. The organisations that understand this first will operate at an entirely different level.</w:t>
            </w:r>
          </w:p>
        </w:tc>
      </w:tr>
    </w:tbl>
    <w:p w14:paraId="6432F57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32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D6FA4" w:sz="4" w:space="0"/>
              <w:left w:val="single" w:color="1D6FA4" w:sz="18" w:space="0"/>
              <w:bottom w:val="single" w:color="1D6FA4" w:sz="4" w:space="0"/>
              <w:right w:val="nil"/>
            </w:tcBorders>
            <w:shd w:val="clear" w:color="auto" w:fill="D6E9F8"/>
            <w:tcMar>
              <w:top w:w="100" w:type="dxa"/>
              <w:left w:w="180" w:type="dxa"/>
              <w:bottom w:w="100" w:type="dxa"/>
              <w:right w:w="180" w:type="dxa"/>
            </w:tcMar>
          </w:tcPr>
          <w:p w14:paraId="1B3779E1">
            <w:pPr>
              <w:spacing w:before="0" w:after="0" w:line="276" w:lineRule="auto"/>
            </w:pPr>
            <w:r>
              <w:rPr>
                <w:rFonts w:ascii="Arial" w:hAnsi="Arial" w:eastAsia="Arial" w:cs="Arial"/>
                <w:b/>
                <w:bCs/>
                <w:color w:val="111111"/>
                <w:sz w:val="20"/>
                <w:szCs w:val="20"/>
              </w:rPr>
              <w:t>NeuroWorks' answer: design your own man-machine organisation. Define the roles, the policies, the outcomes. NeuroWorks turns job descriptions into AI workers that perform those roles at scale briefed like people, governed by the organisation's own policies, supervised by humans, and learning continuously from the organisation's own data through IntelliNexus.</w:t>
            </w:r>
          </w:p>
        </w:tc>
      </w:tr>
    </w:tbl>
    <w:p w14:paraId="0706BC08">
      <w:pPr>
        <w:spacing w:before="40" w:after="40"/>
      </w:pPr>
    </w:p>
    <w:p w14:paraId="6500D7C2">
      <w:pPr>
        <w:pStyle w:val="3"/>
        <w:spacing w:before="180" w:after="80" w:line="276" w:lineRule="auto"/>
      </w:pPr>
      <w:r>
        <w:rPr>
          <w:rFonts w:ascii="Arial" w:hAnsi="Arial" w:eastAsia="Arial" w:cs="Arial"/>
          <w:b/>
          <w:bCs/>
          <w:color w:val="1D6FA4"/>
          <w:sz w:val="22"/>
          <w:szCs w:val="22"/>
        </w:rPr>
        <w:t>1.2 The Intelligent Organisation</w:t>
      </w:r>
      <w:r>
        <w:rPr>
          <w:rFonts w:hint="default" w:cs="Arial"/>
          <w:b/>
          <w:bCs/>
          <w:color w:val="1D6FA4"/>
          <w:sz w:val="22"/>
          <w:szCs w:val="22"/>
          <w:lang w:val="en-ZA"/>
        </w:rPr>
        <w:t>,</w:t>
      </w:r>
      <w:r>
        <w:rPr>
          <w:rFonts w:ascii="Arial" w:hAnsi="Arial" w:eastAsia="Arial" w:cs="Arial"/>
          <w:b/>
          <w:bCs/>
          <w:color w:val="1D6FA4"/>
          <w:sz w:val="22"/>
          <w:szCs w:val="22"/>
        </w:rPr>
        <w:t xml:space="preserve"> What It Looks Like</w:t>
      </w:r>
    </w:p>
    <w:p w14:paraId="44FB3773">
      <w:pPr>
        <w:spacing w:before="80" w:after="80" w:line="276" w:lineRule="auto"/>
      </w:pPr>
      <w:r>
        <w:rPr>
          <w:rFonts w:ascii="Arial" w:hAnsi="Arial" w:eastAsia="Arial" w:cs="Arial"/>
          <w:color w:val="111111"/>
          <w:sz w:val="22"/>
          <w:szCs w:val="22"/>
        </w:rPr>
        <w:t>The intelligent organisation does not replace humans with AI. It reorganises how intelligence is deployed so that human capacity is directed at judgment, relationships, and decisions that genuinely require it while AI workers handle the information-based, tool-mediated portion of knowledge work that currently consumes most of an organisation's time. It is not a hybrid of the old model and a new tool. It is a different design entirely.</w:t>
      </w:r>
    </w:p>
    <w:p w14:paraId="24B56BD8">
      <w:pPr>
        <w:spacing w:before="40" w:after="40"/>
      </w:pPr>
    </w:p>
    <w:p w14:paraId="5F6FD93F">
      <w:pPr>
        <w:spacing w:before="80" w:after="80" w:line="276" w:lineRule="auto"/>
      </w:pPr>
      <w:r>
        <w:rPr>
          <w:rFonts w:ascii="Arial" w:hAnsi="Arial" w:eastAsia="Arial" w:cs="Arial"/>
          <w:color w:val="111111"/>
          <w:sz w:val="22"/>
          <w:szCs w:val="22"/>
        </w:rPr>
        <w:t>NeuroWorks digital workers are not tools. A tool waits to be used. A NeuroWorks digital worker receives a goal, forms a plan, calls the tools it needs, checks every action against the organisation's uploaded policy constraints, and pauses for human approval before anything consequential executes. The human stays in control of judgment. The worker handles execution. Brief it the way you brief a person.</w:t>
      </w:r>
    </w:p>
    <w:p w14:paraId="753B09AF">
      <w:pPr>
        <w:spacing w:before="40" w:after="40"/>
      </w:pPr>
    </w:p>
    <w:p w14:paraId="3B891ABC">
      <w:pPr>
        <w:pStyle w:val="3"/>
        <w:spacing w:before="180" w:after="80" w:line="276" w:lineRule="auto"/>
      </w:pPr>
      <w:r>
        <w:rPr>
          <w:rFonts w:ascii="Arial" w:hAnsi="Arial" w:eastAsia="Arial" w:cs="Arial"/>
          <w:b/>
          <w:bCs/>
          <w:color w:val="1D6FA4"/>
          <w:sz w:val="22"/>
          <w:szCs w:val="22"/>
        </w:rPr>
        <w:t>1.3 Target Users and Beneficiaries</w:t>
      </w:r>
    </w:p>
    <w:p w14:paraId="1991CF68">
      <w:pPr>
        <w:spacing w:before="80" w:after="80" w:line="276" w:lineRule="auto"/>
      </w:pPr>
      <w:r>
        <w:rPr>
          <w:rFonts w:ascii="Arial" w:hAnsi="Arial" w:eastAsia="Arial" w:cs="Arial"/>
          <w:color w:val="111111"/>
          <w:sz w:val="22"/>
          <w:szCs w:val="22"/>
        </w:rPr>
        <w:t>NeuroWorks is an operational platform, not a consumer product. Its 12 built-in sector context packs name the intended Zimbabwe-market users with real institutional detail:</w:t>
      </w:r>
    </w:p>
    <w:p w14:paraId="71866E4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303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6B36671">
            <w:pPr>
              <w:spacing w:before="0" w:after="0"/>
            </w:pPr>
            <w:r>
              <w:rPr>
                <w:rFonts w:ascii="Arial" w:hAnsi="Arial" w:eastAsia="Arial" w:cs="Arial"/>
                <w:b/>
                <w:bCs/>
                <w:color w:val="FFFFFF"/>
                <w:sz w:val="18"/>
                <w:szCs w:val="18"/>
              </w:rPr>
              <w:t>Sector</w:t>
            </w:r>
          </w:p>
        </w:tc>
        <w:tc>
          <w:tcPr>
            <w:tcW w:w="69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516D624">
            <w:pPr>
              <w:spacing w:before="0" w:after="0"/>
            </w:pPr>
            <w:r>
              <w:rPr>
                <w:rFonts w:ascii="Arial" w:hAnsi="Arial" w:eastAsia="Arial" w:cs="Arial"/>
                <w:b/>
                <w:bCs/>
                <w:color w:val="FFFFFF"/>
                <w:sz w:val="18"/>
                <w:szCs w:val="18"/>
              </w:rPr>
              <w:t>Named target users and institutions</w:t>
            </w:r>
          </w:p>
        </w:tc>
      </w:tr>
      <w:tr w14:paraId="7C50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E30CD2D">
            <w:pPr>
              <w:spacing w:before="0" w:after="0"/>
            </w:pPr>
            <w:r>
              <w:rPr>
                <w:rFonts w:ascii="Arial" w:hAnsi="Arial" w:eastAsia="Arial" w:cs="Arial"/>
                <w:b w:val="0"/>
                <w:bCs w:val="0"/>
                <w:color w:val="111111"/>
                <w:sz w:val="17"/>
                <w:szCs w:val="17"/>
              </w:rPr>
              <w:t>Finance and fintech</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5EF9830">
            <w:pPr>
              <w:spacing w:before="0" w:after="0"/>
            </w:pPr>
            <w:r>
              <w:rPr>
                <w:rFonts w:ascii="Arial" w:hAnsi="Arial" w:eastAsia="Arial" w:cs="Arial"/>
                <w:b w:val="0"/>
                <w:bCs w:val="0"/>
                <w:color w:val="111111"/>
                <w:sz w:val="17"/>
                <w:szCs w:val="17"/>
              </w:rPr>
              <w:t>Reconciliation desks, agent-network managers RBZ framework, EcoCash, OneMoney mobile money infrastructure</w:t>
            </w:r>
          </w:p>
        </w:tc>
      </w:tr>
      <w:tr w14:paraId="267F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DB71182">
            <w:pPr>
              <w:spacing w:before="0" w:after="0"/>
            </w:pPr>
            <w:r>
              <w:rPr>
                <w:rFonts w:ascii="Arial" w:hAnsi="Arial" w:eastAsia="Arial" w:cs="Arial"/>
                <w:b w:val="0"/>
                <w:bCs w:val="0"/>
                <w:color w:val="111111"/>
                <w:sz w:val="17"/>
                <w:szCs w:val="17"/>
              </w:rPr>
              <w:t>Agriculture</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6D5D22E">
            <w:pPr>
              <w:spacing w:before="0" w:after="0"/>
            </w:pPr>
            <w:r>
              <w:rPr>
                <w:rFonts w:ascii="Arial" w:hAnsi="Arial" w:eastAsia="Arial" w:cs="Arial"/>
                <w:b w:val="0"/>
                <w:bCs w:val="0"/>
                <w:color w:val="111111"/>
                <w:sz w:val="17"/>
                <w:szCs w:val="17"/>
              </w:rPr>
              <w:t>Field-reporting teams, input-financing coordinators Pfumvudza/Intwasa government smallholder programme, GMB</w:t>
            </w:r>
          </w:p>
        </w:tc>
      </w:tr>
      <w:tr w14:paraId="209F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B98D683">
            <w:pPr>
              <w:spacing w:before="0" w:after="0"/>
            </w:pPr>
            <w:r>
              <w:rPr>
                <w:rFonts w:ascii="Arial" w:hAnsi="Arial" w:eastAsia="Arial" w:cs="Arial"/>
                <w:b w:val="0"/>
                <w:bCs w:val="0"/>
                <w:color w:val="111111"/>
                <w:sz w:val="17"/>
                <w:szCs w:val="17"/>
              </w:rPr>
              <w:t>Health</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CA9D1DB">
            <w:pPr>
              <w:spacing w:before="0" w:after="0"/>
            </w:pPr>
            <w:r>
              <w:rPr>
                <w:rFonts w:ascii="Arial" w:hAnsi="Arial" w:eastAsia="Arial" w:cs="Arial"/>
                <w:b w:val="0"/>
                <w:bCs w:val="0"/>
                <w:color w:val="111111"/>
                <w:sz w:val="17"/>
                <w:szCs w:val="17"/>
              </w:rPr>
              <w:t>Community health worker coordinators, stock-out analysts MOHCC, DHIS2-integrated facilities</w:t>
            </w:r>
          </w:p>
        </w:tc>
      </w:tr>
      <w:tr w14:paraId="71853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850995E">
            <w:pPr>
              <w:spacing w:before="0" w:after="0"/>
            </w:pPr>
            <w:r>
              <w:rPr>
                <w:rFonts w:ascii="Arial" w:hAnsi="Arial" w:eastAsia="Arial" w:cs="Arial"/>
                <w:b w:val="0"/>
                <w:bCs w:val="0"/>
                <w:color w:val="111111"/>
                <w:sz w:val="17"/>
                <w:szCs w:val="17"/>
              </w:rPr>
              <w:t>Education</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A0C1297">
            <w:pPr>
              <w:spacing w:before="0" w:after="0"/>
            </w:pPr>
            <w:r>
              <w:rPr>
                <w:rFonts w:ascii="Arial" w:hAnsi="Arial" w:eastAsia="Arial" w:cs="Arial"/>
                <w:b w:val="0"/>
                <w:bCs w:val="0"/>
                <w:color w:val="111111"/>
                <w:sz w:val="17"/>
                <w:szCs w:val="17"/>
              </w:rPr>
              <w:t>Admin offices, reporting staff ZIMSEC exam board, 2-7-4-2-4 curriculum institutions</w:t>
            </w:r>
          </w:p>
        </w:tc>
      </w:tr>
      <w:tr w14:paraId="7CDB6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8E11484">
            <w:pPr>
              <w:spacing w:before="0" w:after="0"/>
            </w:pPr>
            <w:r>
              <w:rPr>
                <w:rFonts w:ascii="Arial" w:hAnsi="Arial" w:eastAsia="Arial" w:cs="Arial"/>
                <w:b w:val="0"/>
                <w:bCs w:val="0"/>
                <w:color w:val="111111"/>
                <w:sz w:val="17"/>
                <w:szCs w:val="17"/>
              </w:rPr>
              <w:t>Tourism</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99751E0">
            <w:pPr>
              <w:spacing w:before="0" w:after="0"/>
            </w:pPr>
            <w:r>
              <w:rPr>
                <w:rFonts w:ascii="Arial" w:hAnsi="Arial" w:eastAsia="Arial" w:cs="Arial"/>
                <w:b w:val="0"/>
                <w:bCs w:val="0"/>
                <w:color w:val="111111"/>
                <w:sz w:val="17"/>
                <w:szCs w:val="17"/>
              </w:rPr>
              <w:t>Booking desks, intelligence teams ZTA (Zimbabwe Tourism Authority), UNIVISA/KAZA cross-border scheme</w:t>
            </w:r>
          </w:p>
        </w:tc>
      </w:tr>
      <w:tr w14:paraId="0ABF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299524C">
            <w:pPr>
              <w:spacing w:before="0" w:after="0"/>
            </w:pPr>
            <w:r>
              <w:rPr>
                <w:rFonts w:ascii="Arial" w:hAnsi="Arial" w:eastAsia="Arial" w:cs="Arial"/>
                <w:b w:val="0"/>
                <w:bCs w:val="0"/>
                <w:color w:val="111111"/>
                <w:sz w:val="17"/>
                <w:szCs w:val="17"/>
              </w:rPr>
              <w:t>Public services</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56F7EE3">
            <w:pPr>
              <w:spacing w:before="0" w:after="0"/>
            </w:pPr>
            <w:r>
              <w:rPr>
                <w:rFonts w:ascii="Arial" w:hAnsi="Arial" w:eastAsia="Arial" w:cs="Arial"/>
                <w:b w:val="0"/>
                <w:bCs w:val="0"/>
                <w:color w:val="111111"/>
                <w:sz w:val="17"/>
                <w:szCs w:val="17"/>
              </w:rPr>
              <w:t>Procurement compliance, records management PRAZ, devolution-agenda departments, ZIMRA</w:t>
            </w:r>
          </w:p>
        </w:tc>
      </w:tr>
      <w:tr w14:paraId="0423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F55260B">
            <w:pPr>
              <w:spacing w:before="0" w:after="0"/>
            </w:pPr>
            <w:r>
              <w:rPr>
                <w:rFonts w:ascii="Arial" w:hAnsi="Arial" w:eastAsia="Arial" w:cs="Arial"/>
                <w:b w:val="0"/>
                <w:bCs w:val="0"/>
                <w:color w:val="111111"/>
                <w:sz w:val="17"/>
                <w:szCs w:val="17"/>
              </w:rPr>
              <w:t>Informal economy / retail</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B6492CC">
            <w:pPr>
              <w:spacing w:before="0" w:after="0"/>
            </w:pPr>
            <w:r>
              <w:rPr>
                <w:rFonts w:ascii="Arial" w:hAnsi="Arial" w:eastAsia="Arial" w:cs="Arial"/>
                <w:b w:val="0"/>
                <w:bCs w:val="0"/>
                <w:color w:val="111111"/>
                <w:sz w:val="17"/>
                <w:szCs w:val="17"/>
              </w:rPr>
              <w:t>Market operators Mbare Musika, kopje trading, USD/ZWL dual pricing, high-density delivery logistics</w:t>
            </w:r>
          </w:p>
        </w:tc>
      </w:tr>
      <w:tr w14:paraId="256C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8E231BE">
            <w:pPr>
              <w:spacing w:before="0" w:after="0"/>
            </w:pPr>
            <w:r>
              <w:rPr>
                <w:rFonts w:ascii="Arial" w:hAnsi="Arial" w:eastAsia="Arial" w:cs="Arial"/>
                <w:b w:val="0"/>
                <w:bCs w:val="0"/>
                <w:color w:val="111111"/>
                <w:sz w:val="17"/>
                <w:szCs w:val="17"/>
              </w:rPr>
              <w:t>Development / NGO</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8D91AFF">
            <w:pPr>
              <w:spacing w:before="0" w:after="0"/>
            </w:pPr>
            <w:r>
              <w:rPr>
                <w:rFonts w:ascii="Arial" w:hAnsi="Arial" w:eastAsia="Arial" w:cs="Arial"/>
                <w:b w:val="0"/>
                <w:bCs w:val="0"/>
                <w:color w:val="111111"/>
                <w:sz w:val="17"/>
                <w:szCs w:val="17"/>
              </w:rPr>
              <w:t>Grant reporting, donor coordination WFP, WHO, UNICEF, UNDP reporting cadences</w:t>
            </w:r>
          </w:p>
        </w:tc>
      </w:tr>
    </w:tbl>
    <w:p w14:paraId="089ED77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35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45309" w:sz="4" w:space="0"/>
              <w:left w:val="single" w:color="B45309" w:sz="18" w:space="0"/>
              <w:bottom w:val="single" w:color="B45309" w:sz="4" w:space="0"/>
              <w:right w:val="nil"/>
            </w:tcBorders>
            <w:shd w:val="clear" w:color="auto" w:fill="FFF2CC"/>
            <w:tcMar>
              <w:top w:w="100" w:type="dxa"/>
              <w:left w:w="180" w:type="dxa"/>
              <w:bottom w:w="100" w:type="dxa"/>
              <w:right w:w="180" w:type="dxa"/>
            </w:tcMar>
          </w:tcPr>
          <w:p w14:paraId="4591624B">
            <w:pPr>
              <w:spacing w:before="0" w:after="50"/>
            </w:pPr>
            <w:r>
              <w:rPr>
                <w:rFonts w:ascii="Arial" w:hAnsi="Arial" w:eastAsia="Arial" w:cs="Arial"/>
                <w:b/>
                <w:bCs/>
                <w:color w:val="B45309"/>
                <w:sz w:val="20"/>
                <w:szCs w:val="20"/>
              </w:rPr>
              <w:t>Scope boundary</w:t>
            </w:r>
          </w:p>
          <w:p w14:paraId="29D65CBA">
            <w:pPr>
              <w:spacing w:before="0" w:after="0" w:line="276" w:lineRule="auto"/>
            </w:pPr>
            <w:r>
              <w:rPr>
                <w:rFonts w:ascii="Arial" w:hAnsi="Arial" w:eastAsia="Arial" w:cs="Arial"/>
                <w:b w:val="0"/>
                <w:bCs w:val="0"/>
                <w:color w:val="111111"/>
                <w:sz w:val="20"/>
                <w:szCs w:val="20"/>
              </w:rPr>
              <w:t>Fisheries, future skills, and energy do not have dedicated sector packs today. Stated plainly rather than stretched to fit.</w:t>
            </w:r>
          </w:p>
        </w:tc>
      </w:tr>
    </w:tbl>
    <w:p w14:paraId="0C5E1E7B">
      <w:pPr>
        <w:spacing w:before="40" w:after="40"/>
      </w:pPr>
    </w:p>
    <w:p w14:paraId="244E7A66">
      <w:pPr>
        <w:pStyle w:val="3"/>
        <w:spacing w:before="180" w:after="80" w:line="276" w:lineRule="auto"/>
      </w:pPr>
      <w:r>
        <w:rPr>
          <w:rFonts w:ascii="Arial" w:hAnsi="Arial" w:eastAsia="Arial" w:cs="Arial"/>
          <w:b/>
          <w:bCs/>
          <w:color w:val="1D6FA4"/>
          <w:sz w:val="22"/>
          <w:szCs w:val="22"/>
        </w:rPr>
        <w:t>1.4 Strategic Alignment</w:t>
      </w:r>
    </w:p>
    <w:p w14:paraId="6026478C">
      <w:pPr>
        <w:pStyle w:val="4"/>
        <w:spacing w:before="140" w:after="60" w:line="276" w:lineRule="auto"/>
      </w:pPr>
      <w:r>
        <w:rPr>
          <w:rFonts w:ascii="Arial" w:hAnsi="Arial" w:eastAsia="Arial" w:cs="Arial"/>
          <w:b/>
          <w:bCs/>
          <w:color w:val="1A3F5C"/>
          <w:sz w:val="22"/>
          <w:szCs w:val="22"/>
        </w:rPr>
        <w:t>National AI Strategy</w:t>
      </w:r>
    </w:p>
    <w:p w14:paraId="357E711E">
      <w:pPr>
        <w:spacing w:before="80" w:after="80" w:line="276" w:lineRule="auto"/>
      </w:pPr>
      <w:r>
        <w:rPr>
          <w:rFonts w:ascii="Arial" w:hAnsi="Arial" w:eastAsia="Arial" w:cs="Arial"/>
          <w:color w:val="111111"/>
          <w:sz w:val="22"/>
          <w:szCs w:val="22"/>
        </w:rPr>
        <w:t>Three of the five priorities have direct, evidenced fit. Sovereign AI infrastructure: NeuroWorks runs on Ollama (local, open-weight model) by default zero API keys, no mandatory foreign cloud dependency. Data never leaves the machine in default operation; 62.7% of all LLM calls in the live 10-day window were served free and locally. MSME and informal economy inclusion: the retail sector pack targets informal-market operators specifically; native Paynow Zimbabwe integration lowers the digital-payment barrier. Public sector efficiency: the public-sector pack names PRAZ compliance explicitly; the governance engine blocks a non-compliant action before it executes, not after. National data assets is a partial fit: the IntelliNexus pipeline is architecturally capable of building governed, hash-verified institutional datasets at scale but today operates at single-operator scale. AI skills development is not claimed.</w:t>
      </w:r>
    </w:p>
    <w:p w14:paraId="1189F421">
      <w:pPr>
        <w:spacing w:before="40" w:after="40"/>
      </w:pPr>
    </w:p>
    <w:p w14:paraId="39E0D982">
      <w:pPr>
        <w:pStyle w:val="4"/>
        <w:spacing w:before="140" w:after="60" w:line="276" w:lineRule="auto"/>
      </w:pPr>
      <w:r>
        <w:rPr>
          <w:rFonts w:ascii="Arial" w:hAnsi="Arial" w:eastAsia="Arial" w:cs="Arial"/>
          <w:b/>
          <w:bCs/>
          <w:color w:val="1A3F5C"/>
          <w:sz w:val="22"/>
          <w:szCs w:val="22"/>
        </w:rPr>
        <w:t>NDS2 Pillars</w:t>
      </w:r>
    </w:p>
    <w:p w14:paraId="1ECF97E4">
      <w:pPr>
        <w:spacing w:before="80" w:after="80" w:line="276" w:lineRule="auto"/>
      </w:pPr>
      <w:r>
        <w:rPr>
          <w:rFonts w:ascii="Arial" w:hAnsi="Arial" w:eastAsia="Arial" w:cs="Arial"/>
          <w:color w:val="111111"/>
          <w:sz w:val="22"/>
          <w:szCs w:val="22"/>
        </w:rPr>
        <w:t>Pillar 3 (Governance and Institutions): strongest claim pre-execution policy enforcement, named PRAZ and devolution focus, full audit trail. Pillar 1 (Economic Growth and Stability): real productivity gains in fintech, agriculture, tourism, and public services. Pillar 2 (Social Development): partial fit through health-pack and education-pack admin efficiency. Pillars 4 and 5 are not claimed.</w:t>
      </w:r>
    </w:p>
    <w:p w14:paraId="25B11927">
      <w:pPr>
        <w:spacing w:before="40" w:after="40"/>
      </w:pPr>
    </w:p>
    <w:p w14:paraId="115E58BD">
      <w:pPr>
        <w:pStyle w:val="2"/>
        <w:spacing w:before="280" w:after="120" w:line="276" w:lineRule="auto"/>
      </w:pPr>
      <w:r>
        <w:rPr>
          <w:rFonts w:ascii="Arial" w:hAnsi="Arial" w:eastAsia="Arial" w:cs="Arial"/>
          <w:b/>
          <w:bCs/>
          <w:color w:val="0D2137"/>
          <w:sz w:val="26"/>
          <w:szCs w:val="26"/>
        </w:rPr>
        <w:t>Section 2 Technical Design and Product Logic</w:t>
      </w:r>
    </w:p>
    <w:p w14:paraId="05C0F006">
      <w:pPr>
        <w:pStyle w:val="3"/>
        <w:spacing w:before="180" w:after="80" w:line="276" w:lineRule="auto"/>
      </w:pPr>
      <w:r>
        <w:rPr>
          <w:rFonts w:ascii="Arial" w:hAnsi="Arial" w:eastAsia="Arial" w:cs="Arial"/>
          <w:b/>
          <w:bCs/>
          <w:color w:val="1D6FA4"/>
          <w:sz w:val="22"/>
          <w:szCs w:val="22"/>
        </w:rPr>
        <w:t>2.1 System Architecture</w:t>
      </w:r>
    </w:p>
    <w:p w14:paraId="453C9A5E">
      <w:pPr>
        <w:spacing w:before="80" w:after="80" w:line="276" w:lineRule="auto"/>
      </w:pPr>
      <w:r>
        <w:rPr>
          <w:rFonts w:ascii="Arial" w:hAnsi="Arial" w:eastAsia="Arial" w:cs="Arial"/>
          <w:color w:val="111111"/>
          <w:sz w:val="22"/>
          <w:szCs w:val="22"/>
        </w:rPr>
        <w:t>NeuroWorks operates as three layers. At the bottom: tools databases, email, GitHub, payment systems, file stores. In the middle: HERMES, the MCP tool-governance layer an allowlisted set of approximately 90 primitives defining exactly what agents can and cannot do. At the top: digital workers LLM-powered agents that receive goals, form plans, and call tools through HERMES under mandatory human oversight at every consequential step.</w:t>
      </w:r>
    </w:p>
    <w:p w14:paraId="2163398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08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38DEB33F">
            <w:pPr>
              <w:spacing w:before="0" w:after="0"/>
            </w:pPr>
            <w:r>
              <w:rPr>
                <w:rFonts w:ascii="Arial" w:hAnsi="Arial" w:eastAsia="Arial" w:cs="Arial"/>
                <w:b/>
                <w:bCs/>
                <w:color w:val="1A3F5C"/>
                <w:sz w:val="18"/>
                <w:szCs w:val="18"/>
              </w:rPr>
              <w:t>Backend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068DD02">
            <w:pPr>
              <w:spacing w:before="0" w:after="0"/>
            </w:pPr>
            <w:r>
              <w:rPr>
                <w:rFonts w:ascii="Arial" w:hAnsi="Arial" w:eastAsia="Arial" w:cs="Arial"/>
                <w:b w:val="0"/>
                <w:bCs w:val="0"/>
                <w:color w:val="111111"/>
                <w:sz w:val="18"/>
                <w:szCs w:val="18"/>
              </w:rPr>
              <w:t>Node.js / TypeScript, Express 28 live routers, lib/ (85 business-logic files), routes/ (46 handlers). Every route has a real handler; no scaffolding stubs.</w:t>
            </w:r>
          </w:p>
        </w:tc>
      </w:tr>
      <w:tr w14:paraId="3148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69CD2C5E">
            <w:pPr>
              <w:spacing w:before="0" w:after="0"/>
            </w:pPr>
            <w:r>
              <w:rPr>
                <w:rFonts w:ascii="Arial" w:hAnsi="Arial" w:eastAsia="Arial" w:cs="Arial"/>
                <w:b/>
                <w:bCs/>
                <w:color w:val="1A3F5C"/>
                <w:sz w:val="18"/>
                <w:szCs w:val="18"/>
              </w:rPr>
              <w:t>Frontend</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BAF73E3">
            <w:pPr>
              <w:spacing w:before="0" w:after="0"/>
            </w:pPr>
            <w:r>
              <w:rPr>
                <w:rFonts w:ascii="Arial" w:hAnsi="Arial" w:eastAsia="Arial" w:cs="Arial"/>
                <w:b w:val="0"/>
                <w:bCs w:val="0"/>
                <w:color w:val="111111"/>
                <w:sz w:val="18"/>
                <w:szCs w:val="18"/>
              </w:rPr>
              <w:t>Next.js 14, React, TypeScript 37 pages: operator console, Mission Control, Knowledge Packs browser, cost dashboard, governance policy manager.</w:t>
            </w:r>
          </w:p>
        </w:tc>
      </w:tr>
      <w:tr w14:paraId="076D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297344BD">
            <w:pPr>
              <w:spacing w:before="0" w:after="0"/>
            </w:pPr>
            <w:r>
              <w:rPr>
                <w:rFonts w:ascii="Arial" w:hAnsi="Arial" w:eastAsia="Arial" w:cs="Arial"/>
                <w:b/>
                <w:bCs/>
                <w:color w:val="1A3F5C"/>
                <w:sz w:val="18"/>
                <w:szCs w:val="18"/>
              </w:rPr>
              <w:t>Agent orchestration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38C688E">
            <w:pPr>
              <w:spacing w:before="0" w:after="0"/>
            </w:pPr>
            <w:r>
              <w:rPr>
                <w:rFonts w:ascii="Arial" w:hAnsi="Arial" w:eastAsia="Arial" w:cs="Arial"/>
                <w:b w:val="0"/>
                <w:bCs w:val="0"/>
                <w:color w:val="111111"/>
                <w:sz w:val="18"/>
                <w:szCs w:val="18"/>
              </w:rPr>
              <w:t>LangGraph</w:t>
            </w:r>
            <w:r>
              <w:rPr>
                <w:rFonts w:hint="default" w:cs="Arial"/>
                <w:b w:val="0"/>
                <w:bCs w:val="0"/>
                <w:color w:val="111111"/>
                <w:sz w:val="18"/>
                <w:szCs w:val="18"/>
                <w:lang w:val="en-ZA"/>
              </w:rPr>
              <w:t>,</w:t>
            </w:r>
            <w:r>
              <w:rPr>
                <w:rFonts w:ascii="Arial" w:hAnsi="Arial" w:eastAsia="Arial" w:cs="Arial"/>
                <w:b w:val="0"/>
                <w:bCs w:val="0"/>
                <w:color w:val="111111"/>
                <w:sz w:val="18"/>
                <w:szCs w:val="18"/>
              </w:rPr>
              <w:t xml:space="preserve"> multi-agent via EXECUTOR inter-agent communication, HITL gate management, structured audit logging on every action.</w:t>
            </w:r>
          </w:p>
        </w:tc>
      </w:tr>
      <w:tr w14:paraId="12D5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7AC1043E">
            <w:pPr>
              <w:spacing w:before="0" w:after="0"/>
            </w:pPr>
            <w:r>
              <w:rPr>
                <w:rFonts w:ascii="Arial" w:hAnsi="Arial" w:eastAsia="Arial" w:cs="Arial"/>
                <w:b/>
                <w:bCs/>
                <w:color w:val="1A3F5C"/>
                <w:sz w:val="18"/>
                <w:szCs w:val="18"/>
              </w:rPr>
              <w:t>Local inference</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AB96DB6">
            <w:pPr>
              <w:spacing w:before="0" w:after="0"/>
            </w:pPr>
            <w:r>
              <w:rPr>
                <w:rFonts w:ascii="Arial" w:hAnsi="Arial" w:eastAsia="Arial" w:cs="Arial"/>
                <w:b w:val="0"/>
                <w:bCs w:val="0"/>
                <w:color w:val="111111"/>
                <w:sz w:val="18"/>
                <w:szCs w:val="18"/>
              </w:rPr>
              <w:t>Ollama</w:t>
            </w:r>
            <w:r>
              <w:rPr>
                <w:rFonts w:hint="default" w:cs="Arial"/>
                <w:b w:val="0"/>
                <w:bCs w:val="0"/>
                <w:color w:val="111111"/>
                <w:sz w:val="18"/>
                <w:szCs w:val="18"/>
                <w:lang w:val="en-ZA"/>
              </w:rPr>
              <w:t xml:space="preserve">, </w:t>
            </w:r>
            <w:r>
              <w:rPr>
                <w:rFonts w:ascii="Arial" w:hAnsi="Arial" w:eastAsia="Arial" w:cs="Arial"/>
                <w:b w:val="0"/>
                <w:bCs w:val="0"/>
                <w:color w:val="111111"/>
                <w:sz w:val="18"/>
                <w:szCs w:val="18"/>
              </w:rPr>
              <w:t>always-on, zero API key. Default path. No data leaves the machine. Planning, synthesis, extraction all local.</w:t>
            </w:r>
          </w:p>
        </w:tc>
      </w:tr>
      <w:tr w14:paraId="519E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54DB793E">
            <w:pPr>
              <w:spacing w:before="0" w:after="0"/>
            </w:pPr>
            <w:r>
              <w:rPr>
                <w:rFonts w:ascii="Arial" w:hAnsi="Arial" w:eastAsia="Arial" w:cs="Arial"/>
                <w:b/>
                <w:bCs/>
                <w:color w:val="1A3F5C"/>
                <w:sz w:val="18"/>
                <w:szCs w:val="18"/>
              </w:rPr>
              <w:t>Cloud inference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800C8D3">
            <w:pPr>
              <w:spacing w:before="0" w:after="0"/>
            </w:pPr>
            <w:r>
              <w:rPr>
                <w:rFonts w:ascii="Arial" w:hAnsi="Arial" w:eastAsia="Arial" w:cs="Arial"/>
                <w:b w:val="0"/>
                <w:bCs w:val="0"/>
                <w:color w:val="111111"/>
                <w:sz w:val="18"/>
                <w:szCs w:val="18"/>
              </w:rPr>
              <w:t>OpenRouter + circuit breaker + billing-exhaustion fallback to Ollama. Claude / Anthropic cost-tiered. Opt-in only.</w:t>
            </w:r>
          </w:p>
        </w:tc>
      </w:tr>
      <w:tr w14:paraId="0600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1D23D57D">
            <w:pPr>
              <w:spacing w:before="0" w:after="0"/>
            </w:pPr>
            <w:r>
              <w:rPr>
                <w:rFonts w:ascii="Arial" w:hAnsi="Arial" w:eastAsia="Arial" w:cs="Arial"/>
                <w:b/>
                <w:bCs/>
                <w:color w:val="1A3F5C"/>
                <w:sz w:val="18"/>
                <w:szCs w:val="18"/>
              </w:rPr>
              <w:t>Vector store (RAG)</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DD539F4">
            <w:pPr>
              <w:spacing w:before="0" w:after="0"/>
            </w:pPr>
            <w:r>
              <w:rPr>
                <w:rFonts w:ascii="Arial" w:hAnsi="Arial" w:eastAsia="Arial" w:cs="Arial"/>
                <w:b w:val="0"/>
                <w:bCs w:val="0"/>
                <w:color w:val="111111"/>
                <w:sz w:val="18"/>
                <w:szCs w:val="18"/>
              </w:rPr>
              <w:t>Qdrant</w:t>
            </w:r>
            <w:r>
              <w:rPr>
                <w:rFonts w:hint="default" w:cs="Arial"/>
                <w:b w:val="0"/>
                <w:bCs w:val="0"/>
                <w:color w:val="111111"/>
                <w:sz w:val="18"/>
                <w:szCs w:val="18"/>
                <w:lang w:val="en-ZA"/>
              </w:rPr>
              <w:t xml:space="preserve">. </w:t>
            </w:r>
            <w:r>
              <w:rPr>
                <w:rFonts w:ascii="Arial" w:hAnsi="Arial" w:eastAsia="Arial" w:cs="Arial"/>
                <w:b w:val="0"/>
                <w:bCs w:val="0"/>
                <w:color w:val="111111"/>
                <w:sz w:val="18"/>
                <w:szCs w:val="18"/>
              </w:rPr>
              <w:t>organisation-isolated collections, HNSW indexing, snapshot export for portability.</w:t>
            </w:r>
          </w:p>
        </w:tc>
      </w:tr>
      <w:tr w14:paraId="0DAB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520EDD47">
            <w:pPr>
              <w:spacing w:before="0" w:after="0"/>
            </w:pPr>
            <w:r>
              <w:rPr>
                <w:rFonts w:ascii="Arial" w:hAnsi="Arial" w:eastAsia="Arial" w:cs="Arial"/>
                <w:b/>
                <w:bCs/>
                <w:color w:val="1A3F5C"/>
                <w:sz w:val="18"/>
                <w:szCs w:val="18"/>
              </w:rPr>
              <w:t>Relational database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558D231">
            <w:pPr>
              <w:spacing w:before="0" w:after="0"/>
            </w:pPr>
            <w:r>
              <w:rPr>
                <w:rFonts w:ascii="Arial" w:hAnsi="Arial" w:eastAsia="Arial" w:cs="Arial"/>
                <w:b w:val="0"/>
                <w:bCs w:val="0"/>
                <w:color w:val="111111"/>
                <w:sz w:val="18"/>
                <w:szCs w:val="18"/>
              </w:rPr>
              <w:t>PostgreSQL —</w:t>
            </w:r>
            <w:r>
              <w:rPr>
                <w:rFonts w:hint="default" w:cs="Arial"/>
                <w:b w:val="0"/>
                <w:bCs w:val="0"/>
                <w:color w:val="111111"/>
                <w:sz w:val="18"/>
                <w:szCs w:val="18"/>
                <w:lang w:val="en-ZA"/>
              </w:rPr>
              <w:t xml:space="preserve"> </w:t>
            </w:r>
            <w:r>
              <w:rPr>
                <w:rFonts w:ascii="Arial" w:hAnsi="Arial" w:eastAsia="Arial" w:cs="Arial"/>
                <w:b w:val="0"/>
                <w:bCs w:val="0"/>
                <w:color w:val="111111"/>
                <w:sz w:val="18"/>
                <w:szCs w:val="18"/>
              </w:rPr>
              <w:t>users, orgs, job definitions, audit logs, billing, connector configs.</w:t>
            </w:r>
          </w:p>
        </w:tc>
      </w:tr>
      <w:tr w14:paraId="781D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319B40CE">
            <w:pPr>
              <w:spacing w:before="0" w:after="0"/>
            </w:pPr>
            <w:r>
              <w:rPr>
                <w:rFonts w:ascii="Arial" w:hAnsi="Arial" w:eastAsia="Arial" w:cs="Arial"/>
                <w:b/>
                <w:bCs/>
                <w:color w:val="1A3F5C"/>
                <w:sz w:val="18"/>
                <w:szCs w:val="18"/>
              </w:rPr>
              <w:t>Cache / agent state</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6A01549">
            <w:pPr>
              <w:spacing w:before="0" w:after="0"/>
            </w:pPr>
            <w:r>
              <w:rPr>
                <w:rFonts w:ascii="Arial" w:hAnsi="Arial" w:eastAsia="Arial" w:cs="Arial"/>
                <w:b w:val="0"/>
                <w:bCs w:val="0"/>
                <w:color w:val="111111"/>
                <w:sz w:val="18"/>
                <w:szCs w:val="18"/>
              </w:rPr>
              <w:t>Redis — working memory and job queues during execution; persisted to PostgreSQL on mission completion.</w:t>
            </w:r>
          </w:p>
        </w:tc>
      </w:tr>
      <w:tr w14:paraId="08FB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359300DC">
            <w:pPr>
              <w:spacing w:before="0" w:after="0"/>
            </w:pPr>
            <w:r>
              <w:rPr>
                <w:rFonts w:ascii="Arial" w:hAnsi="Arial" w:eastAsia="Arial" w:cs="Arial"/>
                <w:b/>
                <w:bCs/>
                <w:color w:val="1A3F5C"/>
                <w:sz w:val="18"/>
                <w:szCs w:val="18"/>
              </w:rPr>
              <w:t>Secrets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DEC929E">
            <w:pPr>
              <w:spacing w:before="0" w:after="0"/>
            </w:pPr>
            <w:r>
              <w:rPr>
                <w:rFonts w:ascii="Arial" w:hAnsi="Arial" w:eastAsia="Arial" w:cs="Arial"/>
                <w:b w:val="0"/>
                <w:bCs w:val="0"/>
                <w:color w:val="111111"/>
                <w:sz w:val="18"/>
                <w:szCs w:val="18"/>
              </w:rPr>
              <w:t>AES-256-GCM encrypted .neuroworks store (secret-box.ts). Credentials never logged or passed by value into agent context.</w:t>
            </w:r>
          </w:p>
        </w:tc>
      </w:tr>
      <w:tr w14:paraId="7315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0DBC26B3">
            <w:pPr>
              <w:spacing w:before="0" w:after="0"/>
            </w:pPr>
            <w:r>
              <w:rPr>
                <w:rFonts w:ascii="Arial" w:hAnsi="Arial" w:eastAsia="Arial" w:cs="Arial"/>
                <w:b/>
                <w:bCs/>
                <w:color w:val="1A3F5C"/>
                <w:sz w:val="18"/>
                <w:szCs w:val="18"/>
              </w:rPr>
              <w:t xml:space="preserve">IntelliNexus </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FA49E29">
            <w:pPr>
              <w:spacing w:before="0" w:after="0"/>
            </w:pPr>
            <w:r>
              <w:rPr>
                <w:rFonts w:ascii="Arial" w:hAnsi="Arial" w:eastAsia="Arial" w:cs="Arial"/>
                <w:b w:val="0"/>
                <w:bCs w:val="0"/>
                <w:color w:val="111111"/>
                <w:sz w:val="18"/>
                <w:szCs w:val="18"/>
              </w:rPr>
              <w:t>7-stage data pipeline: normalise → SHA-256 hash (Merkle root per batch) → confidence score → HITL review queue → entity resolution → publish (4 artifact formats) → vault-index for agent RAG retrieval. Synchronised human and machine learning from the same institutional data.</w:t>
            </w:r>
          </w:p>
        </w:tc>
      </w:tr>
      <w:tr w14:paraId="05D9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176FA7F6">
            <w:pPr>
              <w:spacing w:before="0" w:after="0"/>
            </w:pPr>
            <w:r>
              <w:rPr>
                <w:rFonts w:ascii="Arial" w:hAnsi="Arial" w:eastAsia="Arial" w:cs="Arial"/>
                <w:b/>
                <w:bCs/>
                <w:color w:val="1A3F5C"/>
                <w:sz w:val="18"/>
                <w:szCs w:val="18"/>
              </w:rPr>
              <w:t>Payment rails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E839636">
            <w:pPr>
              <w:spacing w:before="0" w:after="0"/>
            </w:pPr>
            <w:r>
              <w:rPr>
                <w:rFonts w:ascii="Arial" w:hAnsi="Arial" w:eastAsia="Arial" w:cs="Arial"/>
                <w:b w:val="0"/>
                <w:bCs w:val="0"/>
                <w:color w:val="111111"/>
                <w:sz w:val="18"/>
                <w:szCs w:val="18"/>
              </w:rPr>
              <w:t>Stripe (global) and Paynow Zimbabwe (local) — both live-tested. Only platform with a Zimbabwe-market local payment rail already wired.</w:t>
            </w:r>
          </w:p>
        </w:tc>
      </w:tr>
    </w:tbl>
    <w:p w14:paraId="54E63335">
      <w:pPr>
        <w:spacing w:before="40" w:after="40"/>
      </w:pPr>
    </w:p>
    <w:p w14:paraId="07F54E98">
      <w:pPr>
        <w:pStyle w:val="3"/>
        <w:spacing w:before="180" w:after="80" w:line="276" w:lineRule="auto"/>
      </w:pPr>
      <w:r>
        <w:rPr>
          <w:rFonts w:ascii="Arial" w:hAnsi="Arial" w:eastAsia="Arial" w:cs="Arial"/>
          <w:b/>
          <w:bCs/>
          <w:color w:val="1D6FA4"/>
          <w:sz w:val="22"/>
          <w:szCs w:val="22"/>
        </w:rPr>
        <w:t>2.2 AI Models and Justification</w:t>
      </w:r>
    </w:p>
    <w:p w14:paraId="589DA31F">
      <w:pPr>
        <w:spacing w:before="80" w:after="80" w:line="276" w:lineRule="auto"/>
      </w:pPr>
      <w:r>
        <w:rPr>
          <w:rFonts w:ascii="Arial" w:hAnsi="Arial" w:eastAsia="Arial" w:cs="Arial"/>
          <w:color w:val="111111"/>
          <w:sz w:val="22"/>
          <w:szCs w:val="22"/>
        </w:rPr>
        <w:t>The tasks NeuroWorks performs are genuinely irreducible to simpler logic: synthesising a reconciliation report from 24 database tables cross-checked against a natural-language policy document; interpreting donor reporting requirements from an uploaded PDF and drafting a compliant narrative; responding to a customer query in Shona within the organisation's service-policy boundaries. None of these are achievable with SQL or rule-based logic. They require language understanding, multi-step planning, and context retention.</w:t>
      </w:r>
    </w:p>
    <w:p w14:paraId="5615B06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760"/>
      </w:tblGrid>
      <w:tr w14:paraId="26C2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2DF95B6">
            <w:pPr>
              <w:spacing w:before="0" w:after="0"/>
            </w:pPr>
            <w:r>
              <w:rPr>
                <w:rFonts w:ascii="Arial" w:hAnsi="Arial" w:eastAsia="Arial" w:cs="Arial"/>
                <w:b/>
                <w:bCs/>
                <w:color w:val="FFFFFF"/>
                <w:sz w:val="18"/>
                <w:szCs w:val="18"/>
              </w:rPr>
              <w:t>Model / method</w:t>
            </w:r>
          </w:p>
        </w:tc>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91A74A8">
            <w:pPr>
              <w:spacing w:before="0" w:after="0"/>
            </w:pPr>
            <w:r>
              <w:rPr>
                <w:rFonts w:ascii="Arial" w:hAnsi="Arial" w:eastAsia="Arial" w:cs="Arial"/>
                <w:b/>
                <w:bCs/>
                <w:color w:val="FFFFFF"/>
                <w:sz w:val="18"/>
                <w:szCs w:val="18"/>
              </w:rPr>
              <w:t>Role</w:t>
            </w:r>
          </w:p>
        </w:tc>
        <w:tc>
          <w:tcPr>
            <w:tcW w:w="37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3EF05D3">
            <w:pPr>
              <w:spacing w:before="0" w:after="0"/>
            </w:pPr>
            <w:r>
              <w:rPr>
                <w:rFonts w:ascii="Arial" w:hAnsi="Arial" w:eastAsia="Arial" w:cs="Arial"/>
                <w:b/>
                <w:bCs/>
                <w:color w:val="FFFFFF"/>
                <w:sz w:val="18"/>
                <w:szCs w:val="18"/>
              </w:rPr>
              <w:t>Why</w:t>
            </w:r>
          </w:p>
        </w:tc>
      </w:tr>
      <w:tr w14:paraId="4987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04EB57D">
            <w:pPr>
              <w:spacing w:before="0" w:after="0"/>
            </w:pPr>
            <w:r>
              <w:rPr>
                <w:rFonts w:ascii="Arial" w:hAnsi="Arial" w:eastAsia="Arial" w:cs="Arial"/>
                <w:b w:val="0"/>
                <w:bCs w:val="0"/>
                <w:color w:val="111111"/>
                <w:sz w:val="17"/>
                <w:szCs w:val="17"/>
              </w:rPr>
              <w:t>Ollama — Llama 3.2 3B / Qwen 2.5 7B (local)</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2E6CCEC">
            <w:pPr>
              <w:spacing w:before="0" w:after="0"/>
            </w:pPr>
            <w:r>
              <w:rPr>
                <w:rFonts w:ascii="Arial" w:hAnsi="Arial" w:eastAsia="Arial" w:cs="Arial"/>
                <w:b w:val="0"/>
                <w:bCs w:val="0"/>
                <w:color w:val="111111"/>
                <w:sz w:val="17"/>
                <w:szCs w:val="17"/>
              </w:rPr>
              <w:t>Default: planning, synthesis, extraction, drafting</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FA43734">
            <w:pPr>
              <w:spacing w:before="0" w:after="0"/>
            </w:pPr>
            <w:r>
              <w:rPr>
                <w:rFonts w:ascii="Arial" w:hAnsi="Arial" w:eastAsia="Arial" w:cs="Arial"/>
                <w:b w:val="0"/>
                <w:bCs w:val="0"/>
                <w:color w:val="111111"/>
                <w:sz w:val="17"/>
                <w:szCs w:val="17"/>
              </w:rPr>
              <w:t>Zero cost, zero network transmission, runs on consumer GPU. Covers 62.7% of all calls.</w:t>
            </w:r>
          </w:p>
        </w:tc>
      </w:tr>
      <w:tr w14:paraId="5AA6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A4A54F3">
            <w:pPr>
              <w:spacing w:before="0" w:after="0"/>
            </w:pPr>
            <w:r>
              <w:rPr>
                <w:rFonts w:ascii="Arial" w:hAnsi="Arial" w:eastAsia="Arial" w:cs="Arial"/>
                <w:b w:val="0"/>
                <w:bCs w:val="0"/>
                <w:color w:val="111111"/>
                <w:sz w:val="17"/>
                <w:szCs w:val="17"/>
              </w:rPr>
              <w:t>Ollama — Llama 3.3 70B quantised (local, optional)</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F1363E4">
            <w:pPr>
              <w:spacing w:before="0" w:after="0"/>
            </w:pPr>
            <w:r>
              <w:rPr>
                <w:rFonts w:ascii="Arial" w:hAnsi="Arial" w:eastAsia="Arial" w:cs="Arial"/>
                <w:b w:val="0"/>
                <w:bCs w:val="0"/>
                <w:color w:val="111111"/>
                <w:sz w:val="17"/>
                <w:szCs w:val="17"/>
              </w:rPr>
              <w:t>High-complexity local reasoning</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3078C1A">
            <w:pPr>
              <w:spacing w:before="0" w:after="0"/>
            </w:pPr>
            <w:r>
              <w:rPr>
                <w:rFonts w:ascii="Arial" w:hAnsi="Arial" w:eastAsia="Arial" w:cs="Arial"/>
                <w:b w:val="0"/>
                <w:bCs w:val="0"/>
                <w:color w:val="111111"/>
                <w:sz w:val="17"/>
                <w:szCs w:val="17"/>
              </w:rPr>
              <w:t>Full-capability local model for 48GB+ VRAM. No foreign transmission.</w:t>
            </w:r>
          </w:p>
        </w:tc>
      </w:tr>
      <w:tr w14:paraId="526F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06DCE25">
            <w:pPr>
              <w:spacing w:before="0" w:after="0"/>
            </w:pPr>
            <w:r>
              <w:rPr>
                <w:rFonts w:ascii="Arial" w:hAnsi="Arial" w:eastAsia="Arial" w:cs="Arial"/>
                <w:b w:val="0"/>
                <w:bCs w:val="0"/>
                <w:color w:val="111111"/>
                <w:sz w:val="17"/>
                <w:szCs w:val="17"/>
              </w:rPr>
              <w:t>Claude Sonnet 5 / Haiku 4.5 (cloud, opt-in)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1FCAAB9">
            <w:pPr>
              <w:spacing w:before="0" w:after="0"/>
            </w:pPr>
            <w:r>
              <w:rPr>
                <w:rFonts w:ascii="Arial" w:hAnsi="Arial" w:eastAsia="Arial" w:cs="Arial"/>
                <w:b w:val="0"/>
                <w:bCs w:val="0"/>
                <w:color w:val="111111"/>
                <w:sz w:val="17"/>
                <w:szCs w:val="17"/>
              </w:rPr>
              <w:t>Complex multi-step planning, policy interpretation</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2D13C52">
            <w:pPr>
              <w:spacing w:before="0" w:after="0"/>
            </w:pPr>
            <w:r>
              <w:rPr>
                <w:rFonts w:ascii="Arial" w:hAnsi="Arial" w:eastAsia="Arial" w:cs="Arial"/>
                <w:b w:val="0"/>
                <w:bCs w:val="0"/>
                <w:color w:val="111111"/>
                <w:sz w:val="17"/>
                <w:szCs w:val="17"/>
              </w:rPr>
              <w:t>Strongest reasoning for tasks that genuinely need it. Operator opt-in; logged in audit trail.</w:t>
            </w:r>
          </w:p>
        </w:tc>
      </w:tr>
      <w:tr w14:paraId="175C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30C1782">
            <w:pPr>
              <w:spacing w:before="0" w:after="0"/>
            </w:pPr>
            <w:r>
              <w:rPr>
                <w:rFonts w:ascii="Arial" w:hAnsi="Arial" w:eastAsia="Arial" w:cs="Arial"/>
                <w:b w:val="0"/>
                <w:bCs w:val="0"/>
                <w:color w:val="111111"/>
                <w:sz w:val="17"/>
                <w:szCs w:val="17"/>
              </w:rPr>
              <w:t>OpenRouter fallback (cloud, opt-in)</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0C204A6">
            <w:pPr>
              <w:spacing w:before="0" w:after="0"/>
            </w:pPr>
            <w:r>
              <w:rPr>
                <w:rFonts w:ascii="Arial" w:hAnsi="Arial" w:eastAsia="Arial" w:cs="Arial"/>
                <w:b w:val="0"/>
                <w:bCs w:val="0"/>
                <w:color w:val="111111"/>
                <w:sz w:val="17"/>
                <w:szCs w:val="17"/>
              </w:rPr>
              <w:t>LLM Router failover when primary cloud unavailable</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973F2F0">
            <w:pPr>
              <w:spacing w:before="0" w:after="0"/>
            </w:pPr>
            <w:r>
              <w:rPr>
                <w:rFonts w:ascii="Arial" w:hAnsi="Arial" w:eastAsia="Arial" w:cs="Arial"/>
                <w:b w:val="0"/>
                <w:bCs w:val="0"/>
                <w:color w:val="111111"/>
                <w:sz w:val="17"/>
                <w:szCs w:val="17"/>
              </w:rPr>
              <w:t>Prevents service interruption. Operator notified of routing decision.</w:t>
            </w:r>
          </w:p>
        </w:tc>
      </w:tr>
      <w:tr w14:paraId="2BA5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AFDEA3C">
            <w:pPr>
              <w:spacing w:before="0" w:after="0"/>
            </w:pPr>
            <w:r>
              <w:rPr>
                <w:rFonts w:ascii="Arial" w:hAnsi="Arial" w:eastAsia="Arial" w:cs="Arial"/>
                <w:b w:val="0"/>
                <w:bCs w:val="0"/>
                <w:color w:val="111111"/>
                <w:sz w:val="17"/>
                <w:szCs w:val="17"/>
              </w:rPr>
              <w:t>CLIP (open weights, MIT)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BE5A017">
            <w:pPr>
              <w:spacing w:before="0" w:after="0"/>
            </w:pPr>
            <w:r>
              <w:rPr>
                <w:rFonts w:ascii="Arial" w:hAnsi="Arial" w:eastAsia="Arial" w:cs="Arial"/>
                <w:b w:val="0"/>
                <w:bCs w:val="0"/>
                <w:color w:val="111111"/>
                <w:sz w:val="17"/>
                <w:szCs w:val="17"/>
              </w:rPr>
              <w:t>Image understanding in multimodal RAG</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2D5C48F">
            <w:pPr>
              <w:spacing w:before="0" w:after="0"/>
            </w:pPr>
            <w:r>
              <w:rPr>
                <w:rFonts w:ascii="Arial" w:hAnsi="Arial" w:eastAsia="Arial" w:cs="Arial"/>
                <w:b w:val="0"/>
                <w:bCs w:val="0"/>
                <w:color w:val="111111"/>
                <w:sz w:val="17"/>
                <w:szCs w:val="17"/>
              </w:rPr>
              <w:t>Open-weight, runs locally alongside Ollama. No API cost.</w:t>
            </w:r>
          </w:p>
        </w:tc>
      </w:tr>
      <w:tr w14:paraId="207B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91E58E0">
            <w:pPr>
              <w:spacing w:before="0" w:after="0"/>
            </w:pPr>
            <w:r>
              <w:rPr>
                <w:rFonts w:ascii="Arial" w:hAnsi="Arial" w:eastAsia="Arial" w:cs="Arial"/>
                <w:b w:val="0"/>
                <w:bCs w:val="0"/>
                <w:color w:val="111111"/>
                <w:sz w:val="17"/>
                <w:szCs w:val="17"/>
              </w:rPr>
              <w:t>Whisper (open weights, MIT)</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76E7AB7">
            <w:pPr>
              <w:spacing w:before="0" w:after="0"/>
            </w:pPr>
            <w:r>
              <w:rPr>
                <w:rFonts w:ascii="Arial" w:hAnsi="Arial" w:eastAsia="Arial" w:cs="Arial"/>
                <w:b w:val="0"/>
                <w:bCs w:val="0"/>
                <w:color w:val="111111"/>
                <w:sz w:val="17"/>
                <w:szCs w:val="17"/>
              </w:rPr>
              <w:t>Audio/video transcription in multimodal RAG</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0C89F86">
            <w:pPr>
              <w:spacing w:before="0" w:after="0"/>
            </w:pPr>
            <w:r>
              <w:rPr>
                <w:rFonts w:ascii="Arial" w:hAnsi="Arial" w:eastAsia="Arial" w:cs="Arial"/>
                <w:b w:val="0"/>
                <w:bCs w:val="0"/>
                <w:color w:val="111111"/>
                <w:sz w:val="17"/>
                <w:szCs w:val="17"/>
              </w:rPr>
              <w:t>Open-weight, local. Enables agents to query spoken content.</w:t>
            </w:r>
          </w:p>
        </w:tc>
      </w:tr>
      <w:tr w14:paraId="1FAA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F692C44">
            <w:pPr>
              <w:spacing w:before="0" w:after="0"/>
            </w:pPr>
            <w:r>
              <w:rPr>
                <w:rFonts w:ascii="Arial" w:hAnsi="Arial" w:eastAsia="Arial" w:cs="Arial"/>
                <w:b w:val="0"/>
                <w:bCs w:val="0"/>
                <w:color w:val="111111"/>
                <w:sz w:val="17"/>
                <w:szCs w:val="17"/>
              </w:rPr>
              <w:t>IntelliNexus  — graphify CLI</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C44698A">
            <w:pPr>
              <w:spacing w:before="0" w:after="0"/>
            </w:pPr>
            <w:r>
              <w:rPr>
                <w:rFonts w:ascii="Arial" w:hAnsi="Arial" w:eastAsia="Arial" w:cs="Arial"/>
                <w:b w:val="0"/>
                <w:bCs w:val="0"/>
                <w:color w:val="111111"/>
                <w:sz w:val="17"/>
                <w:szCs w:val="17"/>
              </w:rPr>
              <w:t>Knowledge graph construction, entity extraction</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115ADA4">
            <w:pPr>
              <w:spacing w:before="0" w:after="0"/>
            </w:pPr>
            <w:r>
              <w:rPr>
                <w:rFonts w:ascii="Arial" w:hAnsi="Arial" w:eastAsia="Arial" w:cs="Arial"/>
                <w:b w:val="0"/>
                <w:bCs w:val="0"/>
                <w:color w:val="111111"/>
                <w:sz w:val="17"/>
                <w:szCs w:val="17"/>
              </w:rPr>
              <w:t>Local CLI; no external service. Enables knowledge.graph_query primitive.</w:t>
            </w:r>
          </w:p>
        </w:tc>
      </w:tr>
    </w:tbl>
    <w:p w14:paraId="7B19BCD8">
      <w:pPr>
        <w:spacing w:before="40" w:after="40"/>
      </w:pPr>
    </w:p>
    <w:p w14:paraId="0EB9DD42">
      <w:pPr>
        <w:pStyle w:val="3"/>
        <w:spacing w:before="180" w:after="80" w:line="276" w:lineRule="auto"/>
      </w:pPr>
      <w:r>
        <w:rPr>
          <w:rFonts w:ascii="Arial" w:hAnsi="Arial" w:eastAsia="Arial" w:cs="Arial"/>
          <w:b/>
          <w:bCs/>
          <w:color w:val="1D6FA4"/>
          <w:sz w:val="22"/>
          <w:szCs w:val="22"/>
        </w:rPr>
        <w:t>2.3 API Layer, Integrations, and IntelliNexus</w:t>
      </w:r>
    </w:p>
    <w:p w14:paraId="6703DAA2">
      <w:pPr>
        <w:spacing w:before="80" w:after="80" w:line="276" w:lineRule="auto"/>
      </w:pPr>
      <w:r>
        <w:rPr>
          <w:rFonts w:ascii="Arial" w:hAnsi="Arial" w:eastAsia="Arial" w:cs="Arial"/>
          <w:color w:val="111111"/>
          <w:sz w:val="22"/>
          <w:szCs w:val="22"/>
        </w:rPr>
        <w:t>All external integrations are exposed as named primitives in the HERMES MCP allowlist. No agent can call outside this allowlist. Write operations and all communications require explicit HITL approval. IntelliNexus feeds the knowledge layer every dataset published through the pipeline is indexed automatically for agent RAG retrieval, enabling the synchronised human-and-machine learning model that is core to the intelligent organisation concept.</w:t>
      </w:r>
    </w:p>
    <w:p w14:paraId="57AF9E2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600"/>
        <w:gridCol w:w="3360"/>
      </w:tblGrid>
      <w:tr w14:paraId="0520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54457A01">
            <w:pPr>
              <w:spacing w:before="0" w:after="0"/>
            </w:pPr>
            <w:r>
              <w:rPr>
                <w:rFonts w:ascii="Arial" w:hAnsi="Arial" w:eastAsia="Arial" w:cs="Arial"/>
                <w:b/>
                <w:bCs/>
                <w:color w:val="FFFFFF"/>
                <w:sz w:val="18"/>
                <w:szCs w:val="18"/>
              </w:rPr>
              <w:t>Namespace</w:t>
            </w:r>
          </w:p>
        </w:tc>
        <w:tc>
          <w:tcPr>
            <w:tcW w:w="46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593708F5">
            <w:pPr>
              <w:spacing w:before="0" w:after="0"/>
            </w:pPr>
            <w:r>
              <w:rPr>
                <w:rFonts w:ascii="Arial" w:hAnsi="Arial" w:eastAsia="Arial" w:cs="Arial"/>
                <w:b/>
                <w:bCs/>
                <w:color w:val="FFFFFF"/>
                <w:sz w:val="18"/>
                <w:szCs w:val="18"/>
              </w:rPr>
              <w:t>Key primitives</w:t>
            </w:r>
          </w:p>
        </w:tc>
        <w:tc>
          <w:tcPr>
            <w:tcW w:w="33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2F35F5A5">
            <w:pPr>
              <w:spacing w:before="0" w:after="0"/>
            </w:pPr>
            <w:r>
              <w:rPr>
                <w:rFonts w:ascii="Arial" w:hAnsi="Arial" w:eastAsia="Arial" w:cs="Arial"/>
                <w:b/>
                <w:bCs/>
                <w:color w:val="FFFFFF"/>
                <w:sz w:val="18"/>
                <w:szCs w:val="18"/>
              </w:rPr>
              <w:t>Status</w:t>
            </w:r>
          </w:p>
        </w:tc>
      </w:tr>
      <w:tr w14:paraId="49E1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01AFF3C">
            <w:pPr>
              <w:spacing w:before="0" w:after="0"/>
            </w:pPr>
            <w:r>
              <w:rPr>
                <w:rFonts w:ascii="Arial" w:hAnsi="Arial" w:eastAsia="Arial" w:cs="Arial"/>
                <w:b w:val="0"/>
                <w:bCs w:val="0"/>
                <w:color w:val="111111"/>
                <w:sz w:val="17"/>
                <w:szCs w:val="17"/>
              </w:rPr>
              <w:t>vault.*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DD8307A">
            <w:pPr>
              <w:spacing w:before="0" w:after="0"/>
            </w:pPr>
            <w:r>
              <w:rPr>
                <w:rFonts w:ascii="Arial" w:hAnsi="Arial" w:eastAsia="Arial" w:cs="Arial"/>
                <w:b w:val="0"/>
                <w:bCs w:val="0"/>
                <w:color w:val="111111"/>
                <w:sz w:val="17"/>
                <w:szCs w:val="17"/>
              </w:rPr>
              <w:t>search, read, list, write, edit, append, create_zettel, find_by_tag, scan_docs, write_pdf</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BA2D6DD">
            <w:pPr>
              <w:spacing w:before="0" w:after="0"/>
            </w:pPr>
            <w:r>
              <w:rPr>
                <w:rFonts w:ascii="Arial" w:hAnsi="Arial" w:eastAsia="Arial" w:cs="Arial"/>
                <w:b w:val="0"/>
                <w:bCs w:val="0"/>
                <w:color w:val="111111"/>
                <w:sz w:val="17"/>
                <w:szCs w:val="17"/>
              </w:rPr>
              <w:t>Live</w:t>
            </w:r>
          </w:p>
        </w:tc>
      </w:tr>
      <w:tr w14:paraId="3913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DC26CF1">
            <w:pPr>
              <w:spacing w:before="0" w:after="0"/>
            </w:pPr>
            <w:r>
              <w:rPr>
                <w:rFonts w:ascii="Arial" w:hAnsi="Arial" w:eastAsia="Arial" w:cs="Arial"/>
                <w:b w:val="0"/>
                <w:bCs w:val="0"/>
                <w:color w:val="111111"/>
                <w:sz w:val="17"/>
                <w:szCs w:val="17"/>
              </w:rPr>
              <w:t>db.*</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6FFCFFE">
            <w:pPr>
              <w:spacing w:before="0" w:after="0"/>
            </w:pPr>
            <w:r>
              <w:rPr>
                <w:rFonts w:ascii="Arial" w:hAnsi="Arial" w:eastAsia="Arial" w:cs="Arial"/>
                <w:b w:val="0"/>
                <w:bCs w:val="0"/>
                <w:color w:val="111111"/>
                <w:sz w:val="17"/>
                <w:szCs w:val="17"/>
              </w:rPr>
              <w:t>list_sources, list_tables, describe_table, query, write (HITL-gated), schema 1 production DB connected</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66153BF">
            <w:pPr>
              <w:spacing w:before="0" w:after="0"/>
            </w:pPr>
            <w:r>
              <w:rPr>
                <w:rFonts w:ascii="Arial" w:hAnsi="Arial" w:eastAsia="Arial" w:cs="Arial"/>
                <w:b w:val="0"/>
                <w:bCs w:val="0"/>
                <w:color w:val="111111"/>
                <w:sz w:val="17"/>
                <w:szCs w:val="17"/>
              </w:rPr>
              <w:t>Live</w:t>
            </w:r>
          </w:p>
        </w:tc>
      </w:tr>
      <w:tr w14:paraId="7513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4AE88CD">
            <w:pPr>
              <w:spacing w:before="0" w:after="0"/>
            </w:pPr>
            <w:r>
              <w:rPr>
                <w:rFonts w:ascii="Arial" w:hAnsi="Arial" w:eastAsia="Arial" w:cs="Arial"/>
                <w:b w:val="0"/>
                <w:bCs w:val="0"/>
                <w:color w:val="111111"/>
                <w:sz w:val="17"/>
                <w:szCs w:val="17"/>
              </w:rPr>
              <w:t>web.*</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087C9B4">
            <w:pPr>
              <w:spacing w:before="0" w:after="0"/>
            </w:pPr>
            <w:r>
              <w:rPr>
                <w:rFonts w:ascii="Arial" w:hAnsi="Arial" w:eastAsia="Arial" w:cs="Arial"/>
                <w:b w:val="0"/>
                <w:bCs w:val="0"/>
                <w:color w:val="111111"/>
                <w:sz w:val="17"/>
                <w:szCs w:val="17"/>
              </w:rPr>
              <w:t>fetch, scrape, interact, search 3-tier: direct fetch → Playwright → Firecrawl</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F076B7F">
            <w:pPr>
              <w:spacing w:before="0" w:after="0"/>
            </w:pPr>
            <w:r>
              <w:rPr>
                <w:rFonts w:ascii="Arial" w:hAnsi="Arial" w:eastAsia="Arial" w:cs="Arial"/>
                <w:b w:val="0"/>
                <w:bCs w:val="0"/>
                <w:color w:val="111111"/>
                <w:sz w:val="17"/>
                <w:szCs w:val="17"/>
              </w:rPr>
              <w:t>Live</w:t>
            </w:r>
          </w:p>
        </w:tc>
      </w:tr>
      <w:tr w14:paraId="66E8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8815CE2">
            <w:pPr>
              <w:spacing w:before="0" w:after="0"/>
            </w:pPr>
            <w:r>
              <w:rPr>
                <w:rFonts w:ascii="Arial" w:hAnsi="Arial" w:eastAsia="Arial" w:cs="Arial"/>
                <w:b w:val="0"/>
                <w:bCs w:val="0"/>
                <w:color w:val="111111"/>
                <w:sz w:val="17"/>
                <w:szCs w:val="17"/>
              </w:rPr>
              <w:t>github.*</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39D38D7">
            <w:pPr>
              <w:spacing w:before="0" w:after="0"/>
            </w:pPr>
            <w:r>
              <w:rPr>
                <w:rFonts w:ascii="Arial" w:hAnsi="Arial" w:eastAsia="Arial" w:cs="Arial"/>
                <w:b w:val="0"/>
                <w:bCs w:val="0"/>
                <w:color w:val="111111"/>
                <w:sz w:val="17"/>
                <w:szCs w:val="17"/>
              </w:rPr>
              <w:t>list_repos, read_repo, get_file, create_issue, comment, update, request_review, list_issues (Octokit)</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1448E68">
            <w:pPr>
              <w:spacing w:before="0" w:after="0"/>
            </w:pPr>
            <w:r>
              <w:rPr>
                <w:rFonts w:ascii="Arial" w:hAnsi="Arial" w:eastAsia="Arial" w:cs="Arial"/>
                <w:b w:val="0"/>
                <w:bCs w:val="0"/>
                <w:color w:val="111111"/>
                <w:sz w:val="17"/>
                <w:szCs w:val="17"/>
              </w:rPr>
              <w:t>Live</w:t>
            </w:r>
          </w:p>
        </w:tc>
      </w:tr>
      <w:tr w14:paraId="1E27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DA31074">
            <w:pPr>
              <w:spacing w:before="0" w:after="0"/>
            </w:pPr>
            <w:r>
              <w:rPr>
                <w:rFonts w:ascii="Arial" w:hAnsi="Arial" w:eastAsia="Arial" w:cs="Arial"/>
                <w:b w:val="0"/>
                <w:bCs w:val="0"/>
                <w:color w:val="111111"/>
                <w:sz w:val="17"/>
                <w:szCs w:val="17"/>
              </w:rPr>
              <w:t>comms.*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B2B3F14">
            <w:pPr>
              <w:spacing w:before="0" w:after="0"/>
            </w:pPr>
            <w:r>
              <w:rPr>
                <w:rFonts w:ascii="Arial" w:hAnsi="Arial" w:eastAsia="Arial" w:cs="Arial"/>
                <w:b w:val="0"/>
                <w:bCs w:val="0"/>
                <w:color w:val="111111"/>
                <w:sz w:val="17"/>
                <w:szCs w:val="17"/>
              </w:rPr>
              <w:t>email.send (Mailjet, multi-recipient, attachments), slack.post, telegram.post, msteams.post, webhook.post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51BE2F1">
            <w:pPr>
              <w:spacing w:before="0" w:after="0"/>
            </w:pPr>
            <w:r>
              <w:rPr>
                <w:rFonts w:ascii="Arial" w:hAnsi="Arial" w:eastAsia="Arial" w:cs="Arial"/>
                <w:b w:val="0"/>
                <w:bCs w:val="0"/>
                <w:color w:val="111111"/>
                <w:sz w:val="17"/>
                <w:szCs w:val="17"/>
              </w:rPr>
              <w:t>Mailjet live; others env-gated</w:t>
            </w:r>
          </w:p>
        </w:tc>
      </w:tr>
      <w:tr w14:paraId="3571A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57AA394">
            <w:pPr>
              <w:spacing w:before="0" w:after="0"/>
            </w:pPr>
            <w:r>
              <w:rPr>
                <w:rFonts w:ascii="Arial" w:hAnsi="Arial" w:eastAsia="Arial" w:cs="Arial"/>
                <w:b w:val="0"/>
                <w:bCs w:val="0"/>
                <w:color w:val="111111"/>
                <w:sz w:val="17"/>
                <w:szCs w:val="17"/>
              </w:rPr>
              <w:t>payments.*</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837F497">
            <w:pPr>
              <w:spacing w:before="0" w:after="0"/>
            </w:pPr>
            <w:r>
              <w:rPr>
                <w:rFonts w:ascii="Arial" w:hAnsi="Arial" w:eastAsia="Arial" w:cs="Arial"/>
                <w:b w:val="0"/>
                <w:bCs w:val="0"/>
                <w:color w:val="111111"/>
                <w:sz w:val="17"/>
                <w:szCs w:val="17"/>
              </w:rPr>
              <w:t>payment.link (Stripe), payment.paynow_link, paynow_poll, status, list</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48E513B">
            <w:pPr>
              <w:spacing w:before="0" w:after="0"/>
            </w:pPr>
            <w:r>
              <w:rPr>
                <w:rFonts w:ascii="Arial" w:hAnsi="Arial" w:eastAsia="Arial" w:cs="Arial"/>
                <w:b w:val="0"/>
                <w:bCs w:val="0"/>
                <w:color w:val="111111"/>
                <w:sz w:val="17"/>
                <w:szCs w:val="17"/>
              </w:rPr>
              <w:t>Stripe and Paynow ZW — both live</w:t>
            </w:r>
          </w:p>
        </w:tc>
      </w:tr>
      <w:tr w14:paraId="0974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31F7ABA">
            <w:pPr>
              <w:spacing w:before="0" w:after="0"/>
            </w:pPr>
            <w:r>
              <w:rPr>
                <w:rFonts w:ascii="Arial" w:hAnsi="Arial" w:eastAsia="Arial" w:cs="Arial"/>
                <w:b w:val="0"/>
                <w:bCs w:val="0"/>
                <w:color w:val="111111"/>
                <w:sz w:val="17"/>
                <w:szCs w:val="17"/>
              </w:rPr>
              <w:t>research.*</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86B548C">
            <w:pPr>
              <w:spacing w:before="0" w:after="0"/>
            </w:pPr>
            <w:r>
              <w:rPr>
                <w:rFonts w:ascii="Arial" w:hAnsi="Arial" w:eastAsia="Arial" w:cs="Arial"/>
                <w:b w:val="0"/>
                <w:bCs w:val="0"/>
                <w:color w:val="111111"/>
                <w:sz w:val="17"/>
                <w:szCs w:val="17"/>
              </w:rPr>
              <w:t>research.deep, research.multiperspective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6AA1A86">
            <w:pPr>
              <w:spacing w:before="0" w:after="0"/>
            </w:pPr>
            <w:r>
              <w:rPr>
                <w:rFonts w:ascii="Arial" w:hAnsi="Arial" w:eastAsia="Arial" w:cs="Arial"/>
                <w:b w:val="0"/>
                <w:bCs w:val="0"/>
                <w:color w:val="111111"/>
                <w:sz w:val="17"/>
                <w:szCs w:val="17"/>
              </w:rPr>
              <w:t>Live</w:t>
            </w:r>
          </w:p>
        </w:tc>
      </w:tr>
      <w:tr w14:paraId="17A3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1E4476E">
            <w:pPr>
              <w:spacing w:before="0" w:after="0"/>
            </w:pPr>
            <w:r>
              <w:rPr>
                <w:rFonts w:ascii="Arial" w:hAnsi="Arial" w:eastAsia="Arial" w:cs="Arial"/>
                <w:b w:val="0"/>
                <w:bCs w:val="0"/>
                <w:color w:val="111111"/>
                <w:sz w:val="17"/>
                <w:szCs w:val="17"/>
              </w:rPr>
              <w:t>quality.*</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26E9856">
            <w:pPr>
              <w:spacing w:before="0" w:after="0"/>
            </w:pPr>
            <w:r>
              <w:rPr>
                <w:rFonts w:ascii="Arial" w:hAnsi="Arial" w:eastAsia="Arial" w:cs="Arial"/>
                <w:b w:val="0"/>
                <w:bCs w:val="0"/>
                <w:color w:val="111111"/>
                <w:sz w:val="17"/>
                <w:szCs w:val="17"/>
              </w:rPr>
              <w:t>quality.check, security.scan, peer.review, peer.delegate, hermes.delegate</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C5699D8">
            <w:pPr>
              <w:spacing w:before="0" w:after="0"/>
            </w:pPr>
            <w:r>
              <w:rPr>
                <w:rFonts w:ascii="Arial" w:hAnsi="Arial" w:eastAsia="Arial" w:cs="Arial"/>
                <w:b w:val="0"/>
                <w:bCs w:val="0"/>
                <w:color w:val="111111"/>
                <w:sz w:val="17"/>
                <w:szCs w:val="17"/>
              </w:rPr>
              <w:t>Live</w:t>
            </w:r>
          </w:p>
        </w:tc>
      </w:tr>
      <w:tr w14:paraId="078B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DEC9A84">
            <w:pPr>
              <w:spacing w:before="0" w:after="0"/>
            </w:pPr>
            <w:r>
              <w:rPr>
                <w:rFonts w:ascii="Arial" w:hAnsi="Arial" w:eastAsia="Arial" w:cs="Arial"/>
                <w:b w:val="0"/>
                <w:bCs w:val="0"/>
                <w:color w:val="111111"/>
                <w:sz w:val="17"/>
                <w:szCs w:val="17"/>
              </w:rPr>
              <w:t>knowledge.*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3AF580D">
            <w:pPr>
              <w:spacing w:before="0" w:after="0"/>
            </w:pPr>
            <w:r>
              <w:rPr>
                <w:rFonts w:ascii="Arial" w:hAnsi="Arial" w:eastAsia="Arial" w:cs="Arial"/>
                <w:b w:val="0"/>
                <w:bCs w:val="0"/>
                <w:color w:val="111111"/>
                <w:sz w:val="17"/>
                <w:szCs w:val="17"/>
              </w:rPr>
              <w:t>knowledge.graph_query (graphify / IntelliNexus), data.publish, data.list_datasets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E5E73C5">
            <w:pPr>
              <w:spacing w:before="0" w:after="0"/>
            </w:pPr>
            <w:r>
              <w:rPr>
                <w:rFonts w:ascii="Arial" w:hAnsi="Arial" w:eastAsia="Arial" w:cs="Arial"/>
                <w:b w:val="0"/>
                <w:bCs w:val="0"/>
                <w:color w:val="111111"/>
                <w:sz w:val="17"/>
                <w:szCs w:val="17"/>
              </w:rPr>
              <w:t>Live</w:t>
            </w:r>
          </w:p>
        </w:tc>
      </w:tr>
      <w:tr w14:paraId="1C0F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1C83B5E">
            <w:pPr>
              <w:spacing w:before="0" w:after="0"/>
            </w:pPr>
            <w:r>
              <w:rPr>
                <w:rFonts w:ascii="Arial" w:hAnsi="Arial" w:eastAsia="Arial" w:cs="Arial"/>
                <w:b w:val="0"/>
                <w:bCs w:val="0"/>
                <w:color w:val="111111"/>
                <w:sz w:val="17"/>
                <w:szCs w:val="17"/>
              </w:rPr>
              <w:t>memory.*</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5812C41">
            <w:pPr>
              <w:spacing w:before="0" w:after="0"/>
            </w:pPr>
            <w:r>
              <w:rPr>
                <w:rFonts w:ascii="Arial" w:hAnsi="Arial" w:eastAsia="Arial" w:cs="Arial"/>
                <w:b w:val="0"/>
                <w:bCs w:val="0"/>
                <w:color w:val="111111"/>
                <w:sz w:val="17"/>
                <w:szCs w:val="17"/>
              </w:rPr>
              <w:t>memory.note, memory.recall, memory.search, calendar.activity, calendar.plan_day</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A82E9EF">
            <w:pPr>
              <w:spacing w:before="0" w:after="0"/>
            </w:pPr>
            <w:r>
              <w:rPr>
                <w:rFonts w:ascii="Arial" w:hAnsi="Arial" w:eastAsia="Arial" w:cs="Arial"/>
                <w:b w:val="0"/>
                <w:bCs w:val="0"/>
                <w:color w:val="111111"/>
                <w:sz w:val="17"/>
                <w:szCs w:val="17"/>
              </w:rPr>
              <w:t>Live</w:t>
            </w:r>
          </w:p>
        </w:tc>
      </w:tr>
      <w:tr w14:paraId="7025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F1BFCD5">
            <w:pPr>
              <w:spacing w:before="0" w:after="0"/>
            </w:pPr>
            <w:r>
              <w:rPr>
                <w:rFonts w:ascii="Arial" w:hAnsi="Arial" w:eastAsia="Arial" w:cs="Arial"/>
                <w:b w:val="0"/>
                <w:bCs w:val="0"/>
                <w:color w:val="111111"/>
                <w:sz w:val="17"/>
                <w:szCs w:val="17"/>
              </w:rPr>
              <w:t>org.*</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458E12F">
            <w:pPr>
              <w:spacing w:before="0" w:after="0"/>
            </w:pPr>
            <w:r>
              <w:rPr>
                <w:rFonts w:ascii="Arial" w:hAnsi="Arial" w:eastAsia="Arial" w:cs="Arial"/>
                <w:b w:val="0"/>
                <w:bCs w:val="0"/>
                <w:color w:val="111111"/>
                <w:sz w:val="17"/>
                <w:szCs w:val="17"/>
              </w:rPr>
              <w:t>org.lookup, org.escalation_path, human.request (HITL pause/resume)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887FA74">
            <w:pPr>
              <w:spacing w:before="0" w:after="0"/>
            </w:pPr>
            <w:r>
              <w:rPr>
                <w:rFonts w:ascii="Arial" w:hAnsi="Arial" w:eastAsia="Arial" w:cs="Arial"/>
                <w:b w:val="0"/>
                <w:bCs w:val="0"/>
                <w:color w:val="111111"/>
                <w:sz w:val="17"/>
                <w:szCs w:val="17"/>
              </w:rPr>
              <w:t>Live</w:t>
            </w:r>
          </w:p>
        </w:tc>
      </w:tr>
      <w:tr w14:paraId="3EA2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83E10DE">
            <w:pPr>
              <w:spacing w:before="0" w:after="0"/>
            </w:pPr>
            <w:r>
              <w:rPr>
                <w:rFonts w:ascii="Arial" w:hAnsi="Arial" w:eastAsia="Arial" w:cs="Arial"/>
                <w:b w:val="0"/>
                <w:bCs w:val="0"/>
                <w:color w:val="111111"/>
                <w:sz w:val="17"/>
                <w:szCs w:val="17"/>
              </w:rPr>
              <w:t>skills.*</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1866F78">
            <w:pPr>
              <w:spacing w:before="0" w:after="0"/>
            </w:pPr>
            <w:r>
              <w:rPr>
                <w:rFonts w:ascii="Arial" w:hAnsi="Arial" w:eastAsia="Arial" w:cs="Arial"/>
                <w:b w:val="0"/>
                <w:bCs w:val="0"/>
                <w:color w:val="111111"/>
                <w:sz w:val="17"/>
                <w:szCs w:val="17"/>
              </w:rPr>
              <w:t>skill.list, skill.load, skill.suggest, skill.draft, skill.fetch_remote — 141 playbooks</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8458374">
            <w:pPr>
              <w:spacing w:before="0" w:after="0"/>
            </w:pPr>
            <w:r>
              <w:rPr>
                <w:rFonts w:ascii="Arial" w:hAnsi="Arial" w:eastAsia="Arial" w:cs="Arial"/>
                <w:b w:val="0"/>
                <w:bCs w:val="0"/>
                <w:color w:val="111111"/>
                <w:sz w:val="17"/>
                <w:szCs w:val="17"/>
              </w:rPr>
              <w:t>Live</w:t>
            </w:r>
          </w:p>
        </w:tc>
      </w:tr>
    </w:tbl>
    <w:p w14:paraId="7F77D99A">
      <w:pPr>
        <w:spacing w:before="40" w:after="40"/>
      </w:pPr>
    </w:p>
    <w:p w14:paraId="5F0ABA5B">
      <w:pPr>
        <w:pStyle w:val="3"/>
        <w:spacing w:before="180" w:after="80" w:line="276" w:lineRule="auto"/>
      </w:pPr>
      <w:r>
        <w:rPr>
          <w:rFonts w:ascii="Arial" w:hAnsi="Arial" w:eastAsia="Arial" w:cs="Arial"/>
          <w:b/>
          <w:bCs/>
          <w:color w:val="1D6FA4"/>
          <w:sz w:val="22"/>
          <w:szCs w:val="22"/>
        </w:rPr>
        <w:t>2.4 Governance Engine and Policy Enforcement</w:t>
      </w:r>
    </w:p>
    <w:p w14:paraId="6C2EB35E">
      <w:pPr>
        <w:spacing w:before="80" w:after="80" w:line="276" w:lineRule="auto"/>
      </w:pPr>
      <w:r>
        <w:rPr>
          <w:rFonts w:ascii="Arial" w:hAnsi="Arial" w:eastAsia="Arial" w:cs="Arial"/>
          <w:color w:val="111111"/>
          <w:sz w:val="22"/>
          <w:szCs w:val="22"/>
        </w:rPr>
        <w:t>Operators upload policy documents (PDF, Word, or plain text). A local LLM processes each into a structured constraint set: what agents may do, may not do, must do in defined situations, and what data they may include in external outputs. Constraints are displayed for operator review marked hard (must never violate) or soft (should prefer). Confirmed constraints are injected into agent system prompts and enforced at the HITL gate before any action executes. The current implementation pre-execution enforces 20 categories of consequential tool calls against accepted policies. This is the mechanism that makes the intelligent organisation governable.</w:t>
      </w:r>
    </w:p>
    <w:p w14:paraId="7A864C49">
      <w:pPr>
        <w:spacing w:before="40" w:after="40"/>
      </w:pPr>
    </w:p>
    <w:p w14:paraId="36FC98A4">
      <w:pPr>
        <w:pStyle w:val="2"/>
        <w:spacing w:before="280" w:after="120" w:line="276" w:lineRule="auto"/>
      </w:pPr>
      <w:r>
        <w:rPr>
          <w:rFonts w:ascii="Arial" w:hAnsi="Arial" w:eastAsia="Arial" w:cs="Arial"/>
          <w:b/>
          <w:bCs/>
          <w:color w:val="0D2137"/>
          <w:sz w:val="26"/>
          <w:szCs w:val="26"/>
        </w:rPr>
        <w:t>Section 3 Deliverables and CCE Implementation Roadmap</w:t>
      </w:r>
    </w:p>
    <w:p w14:paraId="439817EC">
      <w:pPr>
        <w:pStyle w:val="3"/>
        <w:spacing w:before="180" w:after="80" w:line="276" w:lineRule="auto"/>
      </w:pPr>
      <w:r>
        <w:rPr>
          <w:rFonts w:ascii="Arial" w:hAnsi="Arial" w:eastAsia="Arial" w:cs="Arial"/>
          <w:b/>
          <w:bCs/>
          <w:color w:val="1D6FA4"/>
          <w:sz w:val="22"/>
          <w:szCs w:val="22"/>
        </w:rPr>
        <w:t>3.1 Current Build Status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A1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D32" w:sz="4" w:space="0"/>
              <w:left w:val="single" w:color="2E7D32" w:sz="18" w:space="0"/>
              <w:bottom w:val="single" w:color="2E7D32" w:sz="4" w:space="0"/>
              <w:right w:val="nil"/>
            </w:tcBorders>
            <w:shd w:val="clear" w:color="auto" w:fill="E2EFDA"/>
            <w:tcMar>
              <w:top w:w="100" w:type="dxa"/>
              <w:left w:w="180" w:type="dxa"/>
              <w:bottom w:w="100" w:type="dxa"/>
              <w:right w:w="180" w:type="dxa"/>
            </w:tcMar>
          </w:tcPr>
          <w:p w14:paraId="06F1C142">
            <w:pPr>
              <w:spacing w:before="0" w:after="50"/>
            </w:pPr>
            <w:r>
              <w:rPr>
                <w:rFonts w:ascii="Arial" w:hAnsi="Arial" w:eastAsia="Arial" w:cs="Arial"/>
                <w:b/>
                <w:bCs/>
                <w:color w:val="2E7D32"/>
                <w:sz w:val="20"/>
                <w:szCs w:val="20"/>
              </w:rPr>
              <w:t>What is built and demonstrable today</w:t>
            </w:r>
          </w:p>
          <w:p w14:paraId="54427E7D">
            <w:pPr>
              <w:spacing w:before="0" w:after="0" w:line="276" w:lineRule="auto"/>
            </w:pPr>
            <w:r>
              <w:rPr>
                <w:rFonts w:ascii="Arial" w:hAnsi="Arial" w:eastAsia="Arial" w:cs="Arial"/>
                <w:b w:val="0"/>
                <w:bCs w:val="0"/>
                <w:color w:val="111111"/>
                <w:sz w:val="20"/>
                <w:szCs w:val="20"/>
              </w:rPr>
              <w:t>28 live API routers, all with real handlers and no scaffolding stubs. ~90 agent primitives across 12 namespaces. 141 skill playbooks, no orphans. Two IntelliNexus-published datasets with verifiable root hashes. One production PostgreSQL connected live and read-only. Paynow Zimbabwe and Mailjet both live-tested. Governance engine enforcing 20 categories pre-execution. Secret-pattern vault scanner. Real-token cost tracker. 118 unit tests passing.</w:t>
            </w:r>
          </w:p>
        </w:tc>
      </w:tr>
    </w:tbl>
    <w:p w14:paraId="1979A42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300"/>
        <w:gridCol w:w="3860"/>
      </w:tblGrid>
      <w:tr w14:paraId="3DA8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32F00AE">
            <w:pPr>
              <w:spacing w:before="0" w:after="0"/>
            </w:pPr>
            <w:r>
              <w:rPr>
                <w:rFonts w:ascii="Arial" w:hAnsi="Arial" w:eastAsia="Arial" w:cs="Arial"/>
                <w:b/>
                <w:bCs/>
                <w:color w:val="FFFFFF"/>
                <w:sz w:val="18"/>
                <w:szCs w:val="18"/>
              </w:rPr>
              <w:t>Capability</w:t>
            </w:r>
          </w:p>
        </w:tc>
        <w:tc>
          <w:tcPr>
            <w:tcW w:w="13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561EEE0">
            <w:pPr>
              <w:spacing w:before="0" w:after="0"/>
            </w:pPr>
            <w:r>
              <w:rPr>
                <w:rFonts w:ascii="Arial" w:hAnsi="Arial" w:eastAsia="Arial" w:cs="Arial"/>
                <w:b/>
                <w:bCs/>
                <w:color w:val="FFFFFF"/>
                <w:sz w:val="18"/>
                <w:szCs w:val="18"/>
              </w:rPr>
              <w:t>Status</w:t>
            </w:r>
          </w:p>
        </w:tc>
        <w:tc>
          <w:tcPr>
            <w:tcW w:w="38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66C0EC82">
            <w:pPr>
              <w:spacing w:before="0" w:after="0"/>
            </w:pPr>
            <w:r>
              <w:rPr>
                <w:rFonts w:ascii="Arial" w:hAnsi="Arial" w:eastAsia="Arial" w:cs="Arial"/>
                <w:b/>
                <w:bCs/>
                <w:color w:val="FFFFFF"/>
                <w:sz w:val="18"/>
                <w:szCs w:val="18"/>
              </w:rPr>
              <w:t>Verify at</w:t>
            </w:r>
          </w:p>
        </w:tc>
      </w:tr>
      <w:tr w14:paraId="045B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83780BF">
            <w:pPr>
              <w:spacing w:before="0" w:after="0"/>
            </w:pPr>
            <w:r>
              <w:rPr>
                <w:rFonts w:ascii="Arial" w:hAnsi="Arial" w:eastAsia="Arial" w:cs="Arial"/>
                <w:b w:val="0"/>
                <w:bCs w:val="0"/>
                <w:color w:val="111111"/>
                <w:sz w:val="17"/>
                <w:szCs w:val="17"/>
              </w:rPr>
              <w:t>28 live API routers, all with real handlers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2BF72F9A">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9BB9A6E">
            <w:pPr>
              <w:spacing w:before="0" w:after="0"/>
            </w:pPr>
            <w:r>
              <w:rPr>
                <w:rFonts w:ascii="Arial" w:hAnsi="Arial" w:eastAsia="Arial" w:cs="Arial"/>
                <w:b w:val="0"/>
                <w:bCs w:val="0"/>
                <w:color w:val="111111"/>
                <w:sz w:val="17"/>
                <w:szCs w:val="17"/>
              </w:rPr>
              <w:t>GET /api/status — browse routes/ directory</w:t>
            </w:r>
          </w:p>
        </w:tc>
      </w:tr>
      <w:tr w14:paraId="17D4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25B426B">
            <w:pPr>
              <w:spacing w:before="0" w:after="0"/>
            </w:pPr>
            <w:r>
              <w:rPr>
                <w:rFonts w:ascii="Arial" w:hAnsi="Arial" w:eastAsia="Arial" w:cs="Arial"/>
                <w:b w:val="0"/>
                <w:bCs w:val="0"/>
                <w:color w:val="111111"/>
                <w:sz w:val="17"/>
                <w:szCs w:val="17"/>
              </w:rPr>
              <w:t>~90 primitives, 12 namespaces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10EA065D">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724624E">
            <w:pPr>
              <w:spacing w:before="0" w:after="0"/>
            </w:pPr>
            <w:r>
              <w:rPr>
                <w:rFonts w:ascii="Arial" w:hAnsi="Arial" w:eastAsia="Arial" w:cs="Arial"/>
                <w:b w:val="0"/>
                <w:bCs w:val="0"/>
                <w:color w:val="111111"/>
                <w:sz w:val="17"/>
                <w:szCs w:val="17"/>
              </w:rPr>
              <w:t>server/src/lib/primitives.ts</w:t>
            </w:r>
          </w:p>
        </w:tc>
      </w:tr>
      <w:tr w14:paraId="2477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BE66D31">
            <w:pPr>
              <w:spacing w:before="0" w:after="0"/>
            </w:pPr>
            <w:r>
              <w:rPr>
                <w:rFonts w:ascii="Arial" w:hAnsi="Arial" w:eastAsia="Arial" w:cs="Arial"/>
                <w:b w:val="0"/>
                <w:bCs w:val="0"/>
                <w:color w:val="111111"/>
                <w:sz w:val="17"/>
                <w:szCs w:val="17"/>
              </w:rPr>
              <w:t>141 skill playbooks, no orphans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7BABBEF1">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217280C">
            <w:pPr>
              <w:spacing w:before="0" w:after="0"/>
            </w:pPr>
            <w:r>
              <w:rPr>
                <w:rFonts w:ascii="Arial" w:hAnsi="Arial" w:eastAsia="Arial" w:cs="Arial"/>
                <w:b w:val="0"/>
                <w:bCs w:val="0"/>
                <w:color w:val="111111"/>
                <w:sz w:val="17"/>
                <w:szCs w:val="17"/>
              </w:rPr>
              <w:t>GET /api/skills — skill.list primitive</w:t>
            </w:r>
          </w:p>
        </w:tc>
      </w:tr>
      <w:tr w14:paraId="1D6E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04ED647">
            <w:pPr>
              <w:spacing w:before="0" w:after="0"/>
            </w:pPr>
            <w:r>
              <w:rPr>
                <w:rFonts w:ascii="Arial" w:hAnsi="Arial" w:eastAsia="Arial" w:cs="Arial"/>
                <w:b w:val="0"/>
                <w:bCs w:val="0"/>
                <w:color w:val="111111"/>
                <w:sz w:val="17"/>
                <w:szCs w:val="17"/>
              </w:rPr>
              <w:t>Production PostgreSQL connected live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6AD98F0">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8C469DB">
            <w:pPr>
              <w:spacing w:before="0" w:after="0"/>
            </w:pPr>
            <w:r>
              <w:rPr>
                <w:rFonts w:ascii="Arial" w:hAnsi="Arial" w:eastAsia="Arial" w:cs="Arial"/>
                <w:b w:val="0"/>
                <w:bCs w:val="0"/>
                <w:color w:val="111111"/>
                <w:sz w:val="17"/>
                <w:szCs w:val="17"/>
              </w:rPr>
              <w:t>GET /api/data-sources — connected 11 Jul 2026</w:t>
            </w:r>
          </w:p>
        </w:tc>
      </w:tr>
      <w:tr w14:paraId="528A7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164CFE6">
            <w:pPr>
              <w:spacing w:before="0" w:after="0"/>
            </w:pPr>
            <w:r>
              <w:rPr>
                <w:rFonts w:ascii="Arial" w:hAnsi="Arial" w:eastAsia="Arial" w:cs="Arial"/>
                <w:b w:val="0"/>
                <w:bCs w:val="0"/>
                <w:color w:val="111111"/>
                <w:sz w:val="17"/>
                <w:szCs w:val="17"/>
              </w:rPr>
              <w:t>IntelliNexus pipeline — 682-record dataset</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38796DAA">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8776C7F">
            <w:pPr>
              <w:spacing w:before="0" w:after="0"/>
            </w:pPr>
            <w:r>
              <w:rPr>
                <w:rFonts w:ascii="Arial" w:hAnsi="Arial" w:eastAsia="Arial" w:cs="Arial"/>
                <w:b w:val="0"/>
                <w:bCs w:val="0"/>
                <w:color w:val="111111"/>
                <w:sz w:val="17"/>
                <w:szCs w:val="17"/>
              </w:rPr>
              <w:t>GET /api/datasets — root hash eb1b0fe4a363a372…</w:t>
            </w:r>
          </w:p>
        </w:tc>
      </w:tr>
      <w:tr w14:paraId="6FB1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5614268">
            <w:pPr>
              <w:spacing w:before="0" w:after="0"/>
            </w:pPr>
            <w:r>
              <w:rPr>
                <w:rFonts w:ascii="Arial" w:hAnsi="Arial" w:eastAsia="Arial" w:cs="Arial"/>
                <w:b w:val="0"/>
                <w:bCs w:val="0"/>
                <w:color w:val="111111"/>
                <w:sz w:val="17"/>
                <w:szCs w:val="17"/>
              </w:rPr>
              <w:t>Governance engine, pre-execution gate (20 categories)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39F019F1">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BE79E00">
            <w:pPr>
              <w:spacing w:before="0" w:after="0"/>
            </w:pPr>
            <w:r>
              <w:rPr>
                <w:rFonts w:ascii="Arial" w:hAnsi="Arial" w:eastAsia="Arial" w:cs="Arial"/>
                <w:b w:val="0"/>
                <w:bCs w:val="0"/>
                <w:color w:val="111111"/>
                <w:sz w:val="17"/>
                <w:szCs w:val="17"/>
              </w:rPr>
              <w:t>/api/governance</w:t>
            </w:r>
          </w:p>
        </w:tc>
      </w:tr>
      <w:tr w14:paraId="0F3F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C13BE22">
            <w:pPr>
              <w:spacing w:before="0" w:after="0"/>
            </w:pPr>
            <w:r>
              <w:rPr>
                <w:rFonts w:ascii="Arial" w:hAnsi="Arial" w:eastAsia="Arial" w:cs="Arial"/>
                <w:b w:val="0"/>
                <w:bCs w:val="0"/>
                <w:color w:val="111111"/>
                <w:sz w:val="17"/>
                <w:szCs w:val="17"/>
              </w:rPr>
              <w:t>Mailjet email, Paynow Zimbabwe, Stripe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17D13A91">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B039982">
            <w:pPr>
              <w:spacing w:before="0" w:after="0"/>
            </w:pPr>
            <w:r>
              <w:rPr>
                <w:rFonts w:ascii="Arial" w:hAnsi="Arial" w:eastAsia="Arial" w:cs="Arial"/>
                <w:b w:val="0"/>
                <w:bCs w:val="0"/>
                <w:color w:val="111111"/>
                <w:sz w:val="17"/>
                <w:szCs w:val="17"/>
              </w:rPr>
              <w:t>email.send, payment.paynow_link, payment.link — all tested</w:t>
            </w:r>
          </w:p>
        </w:tc>
      </w:tr>
      <w:tr w14:paraId="2F541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4596614">
            <w:pPr>
              <w:spacing w:before="0" w:after="0"/>
            </w:pPr>
            <w:r>
              <w:rPr>
                <w:rFonts w:ascii="Arial" w:hAnsi="Arial" w:eastAsia="Arial" w:cs="Arial"/>
                <w:b w:val="0"/>
                <w:bCs w:val="0"/>
                <w:color w:val="111111"/>
                <w:sz w:val="17"/>
                <w:szCs w:val="17"/>
              </w:rPr>
              <w:t>GitHub Octokit read and write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94846DD">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939DC52">
            <w:pPr>
              <w:spacing w:before="0" w:after="0"/>
            </w:pPr>
            <w:r>
              <w:rPr>
                <w:rFonts w:ascii="Arial" w:hAnsi="Arial" w:eastAsia="Arial" w:cs="Arial"/>
                <w:b w:val="0"/>
                <w:bCs w:val="0"/>
                <w:color w:val="111111"/>
                <w:sz w:val="17"/>
                <w:szCs w:val="17"/>
              </w:rPr>
              <w:t>create_issue, comment, request_review</w:t>
            </w:r>
          </w:p>
        </w:tc>
      </w:tr>
      <w:tr w14:paraId="4EAE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CAD7F41">
            <w:pPr>
              <w:spacing w:before="0" w:after="0"/>
            </w:pPr>
            <w:r>
              <w:rPr>
                <w:rFonts w:ascii="Arial" w:hAnsi="Arial" w:eastAsia="Arial" w:cs="Arial"/>
                <w:b w:val="0"/>
                <w:bCs w:val="0"/>
                <w:color w:val="111111"/>
                <w:sz w:val="17"/>
                <w:szCs w:val="17"/>
              </w:rPr>
              <w:t>Quality, security and peer-review gates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12B8EACF">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DCC60A9">
            <w:pPr>
              <w:spacing w:before="0" w:after="0"/>
            </w:pPr>
            <w:r>
              <w:rPr>
                <w:rFonts w:ascii="Arial" w:hAnsi="Arial" w:eastAsia="Arial" w:cs="Arial"/>
                <w:b w:val="0"/>
                <w:bCs w:val="0"/>
                <w:color w:val="111111"/>
                <w:sz w:val="17"/>
                <w:szCs w:val="17"/>
              </w:rPr>
              <w:t>quality.check, security.scan, peer.review</w:t>
            </w:r>
          </w:p>
        </w:tc>
      </w:tr>
      <w:tr w14:paraId="5A0D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CD864CD">
            <w:pPr>
              <w:spacing w:before="0" w:after="0"/>
            </w:pPr>
            <w:r>
              <w:rPr>
                <w:rFonts w:ascii="Arial" w:hAnsi="Arial" w:eastAsia="Arial" w:cs="Arial"/>
                <w:b w:val="0"/>
                <w:bCs w:val="0"/>
                <w:color w:val="111111"/>
                <w:sz w:val="17"/>
                <w:szCs w:val="17"/>
              </w:rPr>
              <w:t>Cost tracker on real billed tokens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CB24A06">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1572880">
            <w:pPr>
              <w:spacing w:before="0" w:after="0"/>
            </w:pPr>
            <w:r>
              <w:rPr>
                <w:rFonts w:ascii="Arial" w:hAnsi="Arial" w:eastAsia="Arial" w:cs="Arial"/>
                <w:b w:val="0"/>
                <w:bCs w:val="0"/>
                <w:color w:val="111111"/>
                <w:sz w:val="17"/>
                <w:szCs w:val="17"/>
              </w:rPr>
              <w:t>/api/cost — reads provider usage response</w:t>
            </w:r>
          </w:p>
        </w:tc>
      </w:tr>
      <w:tr w14:paraId="0EAD9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055D920">
            <w:pPr>
              <w:spacing w:before="0" w:after="0"/>
            </w:pPr>
            <w:r>
              <w:rPr>
                <w:rFonts w:ascii="Arial" w:hAnsi="Arial" w:eastAsia="Arial" w:cs="Arial"/>
                <w:b w:val="0"/>
                <w:bCs w:val="0"/>
                <w:color w:val="111111"/>
                <w:sz w:val="17"/>
                <w:szCs w:val="17"/>
              </w:rPr>
              <w:t>Shona and Ndebele chat support</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2FF260A5">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B1D6323">
            <w:pPr>
              <w:spacing w:before="0" w:after="0"/>
            </w:pPr>
            <w:r>
              <w:rPr>
                <w:rFonts w:ascii="Arial" w:hAnsi="Arial" w:eastAsia="Arial" w:cs="Arial"/>
                <w:b w:val="0"/>
                <w:bCs w:val="0"/>
                <w:color w:val="111111"/>
                <w:sz w:val="17"/>
                <w:szCs w:val="17"/>
              </w:rPr>
              <w:t>Chat interface — glossary-based, no external API</w:t>
            </w:r>
          </w:p>
        </w:tc>
      </w:tr>
      <w:tr w14:paraId="0463A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31B8636">
            <w:pPr>
              <w:spacing w:before="0" w:after="0"/>
            </w:pPr>
            <w:r>
              <w:rPr>
                <w:rFonts w:ascii="Arial" w:hAnsi="Arial" w:eastAsia="Arial" w:cs="Arial"/>
                <w:b w:val="0"/>
                <w:bCs w:val="0"/>
                <w:color w:val="111111"/>
                <w:sz w:val="17"/>
                <w:szCs w:val="17"/>
              </w:rPr>
              <w:t>118 unit tests passing</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273273C4">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86A8917">
            <w:pPr>
              <w:spacing w:before="0" w:after="0"/>
            </w:pPr>
            <w:r>
              <w:rPr>
                <w:rFonts w:ascii="Arial" w:hAnsi="Arial" w:eastAsia="Arial" w:cs="Arial"/>
                <w:b w:val="0"/>
                <w:bCs w:val="0"/>
                <w:color w:val="111111"/>
                <w:sz w:val="17"/>
                <w:szCs w:val="17"/>
              </w:rPr>
              <w:t>npm test from repo root</w:t>
            </w:r>
          </w:p>
        </w:tc>
      </w:tr>
    </w:tbl>
    <w:p w14:paraId="3D43210E">
      <w:pPr>
        <w:spacing w:before="40" w:after="40"/>
      </w:pPr>
    </w:p>
    <w:p w14:paraId="7F24483F">
      <w:pPr>
        <w:pStyle w:val="3"/>
        <w:spacing w:before="180" w:after="80" w:line="276" w:lineRule="auto"/>
      </w:pPr>
      <w:r>
        <w:rPr>
          <w:rFonts w:ascii="Arial" w:hAnsi="Arial" w:eastAsia="Arial" w:cs="Arial"/>
          <w:b/>
          <w:bCs/>
          <w:color w:val="1D6FA4"/>
          <w:sz w:val="22"/>
          <w:szCs w:val="22"/>
        </w:rPr>
        <w:t>3.2 Delivery Streams and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900"/>
        <w:gridCol w:w="3900"/>
        <w:gridCol w:w="2860"/>
      </w:tblGrid>
      <w:tr w14:paraId="75A9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6ED6C2A6">
            <w:pPr>
              <w:spacing w:before="0" w:after="0"/>
            </w:pPr>
            <w:r>
              <w:rPr>
                <w:rFonts w:ascii="Arial" w:hAnsi="Arial" w:eastAsia="Arial" w:cs="Arial"/>
                <w:b/>
                <w:bCs/>
                <w:color w:val="FFFFFF"/>
                <w:sz w:val="18"/>
                <w:szCs w:val="18"/>
              </w:rPr>
              <w:t>Stream</w:t>
            </w:r>
          </w:p>
        </w:tc>
        <w:tc>
          <w:tcPr>
            <w:tcW w:w="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29294A3">
            <w:pPr>
              <w:spacing w:before="0" w:after="0"/>
            </w:pPr>
            <w:r>
              <w:rPr>
                <w:rFonts w:ascii="Arial" w:hAnsi="Arial" w:eastAsia="Arial" w:cs="Arial"/>
                <w:b/>
                <w:bCs/>
                <w:color w:val="FFFFFF"/>
                <w:sz w:val="18"/>
                <w:szCs w:val="18"/>
              </w:rPr>
              <w:t>Weeks</w:t>
            </w:r>
          </w:p>
        </w:tc>
        <w:tc>
          <w:tcPr>
            <w:tcW w:w="3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24F06553">
            <w:pPr>
              <w:spacing w:before="0" w:after="0"/>
            </w:pPr>
            <w:r>
              <w:rPr>
                <w:rFonts w:ascii="Arial" w:hAnsi="Arial" w:eastAsia="Arial" w:cs="Arial"/>
                <w:b/>
                <w:bCs/>
                <w:color w:val="FFFFFF"/>
                <w:sz w:val="18"/>
                <w:szCs w:val="18"/>
              </w:rPr>
              <w:t>Deliverable</w:t>
            </w:r>
          </w:p>
        </w:tc>
        <w:tc>
          <w:tcPr>
            <w:tcW w:w="28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D922DF5">
            <w:pPr>
              <w:spacing w:before="0" w:after="0"/>
            </w:pPr>
            <w:r>
              <w:rPr>
                <w:rFonts w:ascii="Arial" w:hAnsi="Arial" w:eastAsia="Arial" w:cs="Arial"/>
                <w:b/>
                <w:bCs/>
                <w:color w:val="FFFFFF"/>
                <w:sz w:val="18"/>
                <w:szCs w:val="18"/>
              </w:rPr>
              <w:t>Builds on (live)</w:t>
            </w:r>
          </w:p>
        </w:tc>
      </w:tr>
      <w:tr w14:paraId="2D66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FC4DD90">
            <w:pPr>
              <w:spacing w:before="0" w:after="0"/>
            </w:pPr>
            <w:r>
              <w:rPr>
                <w:rFonts w:ascii="Arial" w:hAnsi="Arial" w:eastAsia="Arial" w:cs="Arial"/>
                <w:b w:val="0"/>
                <w:bCs w:val="0"/>
                <w:color w:val="111111"/>
                <w:sz w:val="17"/>
                <w:szCs w:val="17"/>
              </w:rPr>
              <w:t>B — Onboarding UX</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11BDAC3">
            <w:pPr>
              <w:spacing w:before="0" w:after="0"/>
            </w:pPr>
            <w:r>
              <w:rPr>
                <w:rFonts w:ascii="Arial" w:hAnsi="Arial" w:eastAsia="Arial" w:cs="Arial"/>
                <w:b w:val="0"/>
                <w:bCs w:val="0"/>
                <w:color w:val="111111"/>
                <w:sz w:val="17"/>
                <w:szCs w:val="17"/>
              </w:rPr>
              <w:t>1–3</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80E493B">
            <w:pPr>
              <w:spacing w:before="0" w:after="0"/>
            </w:pPr>
            <w:r>
              <w:rPr>
                <w:rFonts w:ascii="Arial" w:hAnsi="Arial" w:eastAsia="Arial" w:cs="Arial"/>
                <w:b w:val="0"/>
                <w:bCs w:val="0"/>
                <w:color w:val="111111"/>
                <w:sz w:val="17"/>
                <w:szCs w:val="17"/>
              </w:rPr>
              <w:t>Sector/language selection, personalised dashboard, Zimbabwe Context panel, Shona/Ndebele i18n strings. Onboarding flow that makes the intelligent organisation concept legible to a first-time operator.</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E091AEF">
            <w:pPr>
              <w:spacing w:before="0" w:after="0"/>
            </w:pPr>
            <w:r>
              <w:rPr>
                <w:rFonts w:ascii="Arial" w:hAnsi="Arial" w:eastAsia="Arial" w:cs="Arial"/>
                <w:b w:val="0"/>
                <w:bCs w:val="0"/>
                <w:color w:val="111111"/>
                <w:sz w:val="17"/>
                <w:szCs w:val="17"/>
              </w:rPr>
              <w:t>/api/onboarding, Shona/Ndebele glossary</w:t>
            </w:r>
          </w:p>
        </w:tc>
      </w:tr>
      <w:tr w14:paraId="6211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1D71094">
            <w:pPr>
              <w:spacing w:before="0" w:after="0"/>
            </w:pPr>
            <w:r>
              <w:rPr>
                <w:rFonts w:ascii="Arial" w:hAnsi="Arial" w:eastAsia="Arial" w:cs="Arial"/>
                <w:b w:val="0"/>
                <w:bCs w:val="0"/>
                <w:color w:val="111111"/>
                <w:sz w:val="17"/>
                <w:szCs w:val="17"/>
              </w:rPr>
              <w:t>C — Governance UI</w:t>
            </w:r>
          </w:p>
        </w:tc>
        <w:tc>
          <w:tcPr>
            <w:tcW w:w="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D4347CB">
            <w:pPr>
              <w:spacing w:before="0" w:after="0"/>
            </w:pPr>
            <w:r>
              <w:rPr>
                <w:rFonts w:ascii="Arial" w:hAnsi="Arial" w:eastAsia="Arial" w:cs="Arial"/>
                <w:b w:val="0"/>
                <w:bCs w:val="0"/>
                <w:color w:val="111111"/>
                <w:sz w:val="17"/>
                <w:szCs w:val="17"/>
              </w:rPr>
              <w:t>3–4</w:t>
            </w:r>
          </w:p>
        </w:tc>
        <w:tc>
          <w:tcPr>
            <w:tcW w:w="3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7E51F8D">
            <w:pPr>
              <w:spacing w:before="0" w:after="0"/>
            </w:pPr>
            <w:r>
              <w:rPr>
                <w:rFonts w:ascii="Arial" w:hAnsi="Arial" w:eastAsia="Arial" w:cs="Arial"/>
                <w:b w:val="0"/>
                <w:bCs w:val="0"/>
                <w:color w:val="111111"/>
                <w:sz w:val="17"/>
                <w:szCs w:val="17"/>
              </w:rPr>
              <w:t>Policy document upload interface. Constraint review and confirmation screen. Hard/soft marking. HITL gate violation flagging in approval interface. Policy Management page.</w:t>
            </w:r>
          </w:p>
        </w:tc>
        <w:tc>
          <w:tcPr>
            <w:tcW w:w="2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0D50B23">
            <w:pPr>
              <w:spacing w:before="0" w:after="0"/>
            </w:pPr>
            <w:r>
              <w:rPr>
                <w:rFonts w:ascii="Arial" w:hAnsi="Arial" w:eastAsia="Arial" w:cs="Arial"/>
                <w:b w:val="0"/>
                <w:bCs w:val="0"/>
                <w:color w:val="111111"/>
                <w:sz w:val="17"/>
                <w:szCs w:val="17"/>
              </w:rPr>
              <w:t>/api/governance, governance engine</w:t>
            </w:r>
          </w:p>
        </w:tc>
      </w:tr>
      <w:tr w14:paraId="4E09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F45C7B1">
            <w:pPr>
              <w:spacing w:before="0" w:after="0"/>
            </w:pPr>
            <w:r>
              <w:rPr>
                <w:rFonts w:ascii="Arial" w:hAnsi="Arial" w:eastAsia="Arial" w:cs="Arial"/>
                <w:b w:val="0"/>
                <w:bCs w:val="0"/>
                <w:color w:val="111111"/>
                <w:sz w:val="17"/>
                <w:szCs w:val="17"/>
              </w:rPr>
              <w:t>D — Localisation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2F5ED0B">
            <w:pPr>
              <w:spacing w:before="0" w:after="0"/>
            </w:pPr>
            <w:r>
              <w:rPr>
                <w:rFonts w:ascii="Arial" w:hAnsi="Arial" w:eastAsia="Arial" w:cs="Arial"/>
                <w:b w:val="0"/>
                <w:bCs w:val="0"/>
                <w:color w:val="111111"/>
                <w:sz w:val="17"/>
                <w:szCs w:val="17"/>
              </w:rPr>
              <w:t>5–6</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172390D">
            <w:pPr>
              <w:spacing w:before="0" w:after="0"/>
            </w:pPr>
            <w:r>
              <w:rPr>
                <w:rFonts w:ascii="Arial" w:hAnsi="Arial" w:eastAsia="Arial" w:cs="Arial"/>
                <w:b w:val="0"/>
                <w:bCs w:val="0"/>
                <w:color w:val="111111"/>
                <w:sz w:val="17"/>
                <w:szCs w:val="17"/>
              </w:rPr>
              <w:t>Shona/Ndebele LLM agent prompt templates. Five Zimbabwe sector knowledge packs: Tourism, Agriculture, NGO/Civil Society, Health, Government — ingested via IntelliNexus.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7DDA99D">
            <w:pPr>
              <w:spacing w:before="0" w:after="0"/>
            </w:pPr>
            <w:r>
              <w:rPr>
                <w:rFonts w:ascii="Arial" w:hAnsi="Arial" w:eastAsia="Arial" w:cs="Arial"/>
                <w:b w:val="0"/>
                <w:bCs w:val="0"/>
                <w:color w:val="111111"/>
                <w:sz w:val="17"/>
                <w:szCs w:val="17"/>
              </w:rPr>
              <w:t>/api/knowledge-packs, ADRS/IntelliNexus, Qdrant</w:t>
            </w:r>
          </w:p>
        </w:tc>
      </w:tr>
      <w:tr w14:paraId="1A4C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FEDA7B9">
            <w:pPr>
              <w:spacing w:before="0" w:after="0"/>
            </w:pPr>
            <w:r>
              <w:rPr>
                <w:rFonts w:ascii="Arial" w:hAnsi="Arial" w:eastAsia="Arial" w:cs="Arial"/>
                <w:b w:val="0"/>
                <w:bCs w:val="0"/>
                <w:color w:val="111111"/>
                <w:sz w:val="17"/>
                <w:szCs w:val="17"/>
              </w:rPr>
              <w:t>E — Platform integrity</w:t>
            </w:r>
          </w:p>
        </w:tc>
        <w:tc>
          <w:tcPr>
            <w:tcW w:w="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6D70EEF">
            <w:pPr>
              <w:spacing w:before="0" w:after="0"/>
            </w:pPr>
            <w:r>
              <w:rPr>
                <w:rFonts w:ascii="Arial" w:hAnsi="Arial" w:eastAsia="Arial" w:cs="Arial"/>
                <w:b w:val="0"/>
                <w:bCs w:val="0"/>
                <w:color w:val="111111"/>
                <w:sz w:val="17"/>
                <w:szCs w:val="17"/>
              </w:rPr>
              <w:t>7–8</w:t>
            </w:r>
          </w:p>
        </w:tc>
        <w:tc>
          <w:tcPr>
            <w:tcW w:w="3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8594A83">
            <w:pPr>
              <w:spacing w:before="0" w:after="0"/>
            </w:pPr>
            <w:r>
              <w:rPr>
                <w:rFonts w:ascii="Arial" w:hAnsi="Arial" w:eastAsia="Arial" w:cs="Arial"/>
                <w:b w:val="0"/>
                <w:bCs w:val="0"/>
                <w:color w:val="111111"/>
                <w:sz w:val="17"/>
                <w:szCs w:val="17"/>
              </w:rPr>
              <w:t>Cost monitoring dashboard. Full mission audit log with replay. SkillForge operator code-review step.</w:t>
            </w:r>
          </w:p>
        </w:tc>
        <w:tc>
          <w:tcPr>
            <w:tcW w:w="2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CCA9587">
            <w:pPr>
              <w:spacing w:before="0" w:after="0"/>
            </w:pPr>
            <w:r>
              <w:rPr>
                <w:rFonts w:ascii="Arial" w:hAnsi="Arial" w:eastAsia="Arial" w:cs="Arial"/>
                <w:b w:val="0"/>
                <w:bCs w:val="0"/>
                <w:color w:val="111111"/>
                <w:sz w:val="17"/>
                <w:szCs w:val="17"/>
              </w:rPr>
              <w:t>cost-tracker.ts, /api/audit, /api/skill-forge</w:t>
            </w:r>
          </w:p>
        </w:tc>
      </w:tr>
      <w:tr w14:paraId="1B25E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F03C447">
            <w:pPr>
              <w:spacing w:before="0" w:after="0"/>
            </w:pPr>
            <w:r>
              <w:rPr>
                <w:rFonts w:ascii="Arial" w:hAnsi="Arial" w:eastAsia="Arial" w:cs="Arial"/>
                <w:b w:val="0"/>
                <w:bCs w:val="0"/>
                <w:color w:val="111111"/>
                <w:sz w:val="17"/>
                <w:szCs w:val="17"/>
              </w:rPr>
              <w:t>F — Polish and docs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A3472FB">
            <w:pPr>
              <w:spacing w:before="0" w:after="0"/>
            </w:pPr>
            <w:r>
              <w:rPr>
                <w:rFonts w:ascii="Arial" w:hAnsi="Arial" w:eastAsia="Arial" w:cs="Arial"/>
                <w:b w:val="0"/>
                <w:bCs w:val="0"/>
                <w:color w:val="111111"/>
                <w:sz w:val="17"/>
                <w:szCs w:val="17"/>
              </w:rPr>
              <w:t>9–12</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58F8FF0">
            <w:pPr>
              <w:spacing w:before="0" w:after="0"/>
            </w:pPr>
            <w:r>
              <w:rPr>
                <w:rFonts w:ascii="Arial" w:hAnsi="Arial" w:eastAsia="Arial" w:cs="Arial"/>
                <w:b w:val="0"/>
                <w:bCs w:val="0"/>
                <w:color w:val="111111"/>
                <w:sz w:val="17"/>
                <w:szCs w:val="17"/>
              </w:rPr>
              <w:t>Mobile-responsive console. Ethics and governance framework document. Pilot plan. Compliance documentation.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8DA15BE">
            <w:pPr>
              <w:spacing w:before="0" w:after="0"/>
            </w:pPr>
            <w:r>
              <w:rPr>
                <w:rFonts w:ascii="Arial" w:hAnsi="Arial" w:eastAsia="Arial" w:cs="Arial"/>
                <w:b w:val="0"/>
                <w:bCs w:val="0"/>
                <w:color w:val="111111"/>
                <w:sz w:val="17"/>
                <w:szCs w:val="17"/>
              </w:rPr>
              <w:t>Next.js console (37 pages live)</w:t>
            </w:r>
          </w:p>
        </w:tc>
      </w:tr>
    </w:tbl>
    <w:p w14:paraId="0303E87B">
      <w:pPr>
        <w:spacing w:before="40" w:after="40"/>
      </w:pPr>
    </w:p>
    <w:p w14:paraId="75F1371B">
      <w:pPr>
        <w:pStyle w:val="3"/>
        <w:spacing w:before="180" w:after="80" w:line="276" w:lineRule="auto"/>
      </w:pPr>
      <w:r>
        <w:rPr>
          <w:rFonts w:ascii="Arial" w:hAnsi="Arial" w:eastAsia="Arial" w:cs="Arial"/>
          <w:b/>
          <w:bCs/>
          <w:color w:val="1D6FA4"/>
          <w:sz w:val="22"/>
          <w:szCs w:val="22"/>
        </w:rPr>
        <w:t>3.3 Milestone Plan and Compute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2600"/>
        <w:gridCol w:w="1360"/>
      </w:tblGrid>
      <w:tr w14:paraId="1505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55CCE7BF">
            <w:pPr>
              <w:spacing w:before="0" w:after="0"/>
            </w:pPr>
            <w:r>
              <w:rPr>
                <w:rFonts w:ascii="Arial" w:hAnsi="Arial" w:eastAsia="Arial" w:cs="Arial"/>
                <w:b/>
                <w:bCs/>
                <w:color w:val="FFFFFF"/>
                <w:sz w:val="18"/>
                <w:szCs w:val="18"/>
              </w:rPr>
              <w:t>Milestone</w:t>
            </w:r>
          </w:p>
        </w:tc>
        <w:tc>
          <w:tcPr>
            <w:tcW w:w="3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2764B8B">
            <w:pPr>
              <w:spacing w:before="0" w:after="0"/>
            </w:pPr>
            <w:r>
              <w:rPr>
                <w:rFonts w:ascii="Arial" w:hAnsi="Arial" w:eastAsia="Arial" w:cs="Arial"/>
                <w:b/>
                <w:bCs/>
                <w:color w:val="FFFFFF"/>
                <w:sz w:val="18"/>
                <w:szCs w:val="18"/>
              </w:rPr>
              <w:t>Deliverable</w:t>
            </w:r>
          </w:p>
        </w:tc>
        <w:tc>
          <w:tcPr>
            <w:tcW w:w="26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5A3F96ED">
            <w:pPr>
              <w:spacing w:before="0" w:after="0"/>
            </w:pPr>
            <w:r>
              <w:rPr>
                <w:rFonts w:ascii="Arial" w:hAnsi="Arial" w:eastAsia="Arial" w:cs="Arial"/>
                <w:b/>
                <w:bCs/>
                <w:color w:val="FFFFFF"/>
                <w:sz w:val="18"/>
                <w:szCs w:val="18"/>
              </w:rPr>
              <w:t>Compute / dependencies</w:t>
            </w:r>
          </w:p>
        </w:tc>
        <w:tc>
          <w:tcPr>
            <w:tcW w:w="13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67291C5D">
            <w:pPr>
              <w:spacing w:before="0" w:after="0"/>
            </w:pPr>
            <w:r>
              <w:rPr>
                <w:rFonts w:ascii="Arial" w:hAnsi="Arial" w:eastAsia="Arial" w:cs="Arial"/>
                <w:b/>
                <w:bCs/>
                <w:color w:val="FFFFFF"/>
                <w:sz w:val="18"/>
                <w:szCs w:val="18"/>
              </w:rPr>
              <w:t>When</w:t>
            </w:r>
          </w:p>
        </w:tc>
      </w:tr>
      <w:tr w14:paraId="1D4B3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1C243CC">
            <w:pPr>
              <w:spacing w:before="0" w:after="0"/>
            </w:pPr>
            <w:r>
              <w:rPr>
                <w:rFonts w:ascii="Arial" w:hAnsi="Arial" w:eastAsia="Arial" w:cs="Arial"/>
                <w:b w:val="0"/>
                <w:bCs w:val="0"/>
                <w:color w:val="111111"/>
                <w:sz w:val="17"/>
                <w:szCs w:val="17"/>
              </w:rPr>
              <w:t>M0 — Grand Challenge pitch</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8560F58">
            <w:pPr>
              <w:spacing w:before="0" w:after="0"/>
            </w:pPr>
            <w:r>
              <w:rPr>
                <w:rFonts w:ascii="Arial" w:hAnsi="Arial" w:eastAsia="Arial" w:cs="Arial"/>
                <w:b w:val="0"/>
                <w:bCs w:val="0"/>
                <w:color w:val="111111"/>
                <w:sz w:val="17"/>
                <w:szCs w:val="17"/>
              </w:rPr>
              <w:t>Live demo: db.* query on production PostgreSQL, Mailjet send, Paynow flow, Ollama local inference, governance gate firing on a policy violation. 118 tests green.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341C104">
            <w:pPr>
              <w:spacing w:before="0" w:after="0"/>
            </w:pPr>
            <w:r>
              <w:rPr>
                <w:rFonts w:ascii="Arial" w:hAnsi="Arial" w:eastAsia="Arial" w:cs="Arial"/>
                <w:b w:val="0"/>
                <w:bCs w:val="0"/>
                <w:color w:val="111111"/>
                <w:sz w:val="17"/>
                <w:szCs w:val="17"/>
              </w:rPr>
              <w:t>Team hardware: RTX 3060 (12GB VRAM) for Ollama 7B. No ZCHPC CCE required.</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A6C8788">
            <w:pPr>
              <w:spacing w:before="0" w:after="0"/>
            </w:pPr>
            <w:r>
              <w:rPr>
                <w:rFonts w:ascii="Arial" w:hAnsi="Arial" w:eastAsia="Arial" w:cs="Arial"/>
                <w:b w:val="0"/>
                <w:bCs w:val="0"/>
                <w:color w:val="111111"/>
                <w:sz w:val="17"/>
                <w:szCs w:val="17"/>
              </w:rPr>
              <w:t>31 July 2026</w:t>
            </w:r>
          </w:p>
        </w:tc>
      </w:tr>
      <w:tr w14:paraId="41B0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2E7B951">
            <w:pPr>
              <w:spacing w:before="0" w:after="0"/>
            </w:pPr>
            <w:r>
              <w:rPr>
                <w:rFonts w:ascii="Arial" w:hAnsi="Arial" w:eastAsia="Arial" w:cs="Arial"/>
                <w:b w:val="0"/>
                <w:bCs w:val="0"/>
                <w:color w:val="111111"/>
                <w:sz w:val="17"/>
                <w:szCs w:val="17"/>
              </w:rPr>
              <w:t>M1 — Contract signing</w:t>
            </w:r>
          </w:p>
        </w:tc>
        <w:tc>
          <w:tcPr>
            <w:tcW w:w="3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D0F70D9">
            <w:pPr>
              <w:spacing w:before="0" w:after="0"/>
            </w:pPr>
            <w:r>
              <w:rPr>
                <w:rFonts w:ascii="Arial" w:hAnsi="Arial" w:eastAsia="Arial" w:cs="Arial"/>
                <w:b w:val="0"/>
                <w:bCs w:val="0"/>
                <w:color w:val="111111"/>
                <w:sz w:val="17"/>
                <w:szCs w:val="17"/>
              </w:rPr>
              <w:t>Stream B complete: onboarding UX live in staging. package-lock.json dependency manifest locked.</w:t>
            </w:r>
          </w:p>
        </w:tc>
        <w:tc>
          <w:tcPr>
            <w:tcW w:w="2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E841D78">
            <w:pPr>
              <w:spacing w:before="0" w:after="0"/>
            </w:pPr>
            <w:r>
              <w:rPr>
                <w:rFonts w:ascii="Arial" w:hAnsi="Arial" w:eastAsia="Arial" w:cs="Arial"/>
                <w:b w:val="0"/>
                <w:bCs w:val="0"/>
                <w:color w:val="111111"/>
                <w:sz w:val="17"/>
                <w:szCs w:val="17"/>
              </w:rPr>
              <w:t>Same hardware. Qdrant, PostgreSQL, Redis on local or Render free tier.</w:t>
            </w:r>
          </w:p>
        </w:tc>
        <w:tc>
          <w:tcPr>
            <w:tcW w:w="1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F5146FA">
            <w:pPr>
              <w:spacing w:before="0" w:after="0"/>
            </w:pPr>
            <w:r>
              <w:rPr>
                <w:rFonts w:ascii="Arial" w:hAnsi="Arial" w:eastAsia="Arial" w:cs="Arial"/>
                <w:b w:val="0"/>
                <w:bCs w:val="0"/>
                <w:color w:val="111111"/>
                <w:sz w:val="17"/>
                <w:szCs w:val="17"/>
              </w:rPr>
              <w:t>Week 1 post-award</w:t>
            </w:r>
          </w:p>
        </w:tc>
      </w:tr>
      <w:tr w14:paraId="1A9D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F5A4CFC">
            <w:pPr>
              <w:spacing w:before="0" w:after="0"/>
            </w:pPr>
            <w:r>
              <w:rPr>
                <w:rFonts w:ascii="Arial" w:hAnsi="Arial" w:eastAsia="Arial" w:cs="Arial"/>
                <w:b w:val="0"/>
                <w:bCs w:val="0"/>
                <w:color w:val="111111"/>
                <w:sz w:val="17"/>
                <w:szCs w:val="17"/>
              </w:rPr>
              <w:t>M2 — First tranche</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2797C20">
            <w:pPr>
              <w:spacing w:before="0" w:after="0"/>
            </w:pPr>
            <w:r>
              <w:rPr>
                <w:rFonts w:ascii="Arial" w:hAnsi="Arial" w:eastAsia="Arial" w:cs="Arial"/>
                <w:b w:val="0"/>
                <w:bCs w:val="0"/>
                <w:color w:val="111111"/>
                <w:sz w:val="17"/>
                <w:szCs w:val="17"/>
              </w:rPr>
              <w:t>Streams C and D: governance UI live; Shona/Ndebele LLM prompts with native speaker review; five sector packs ingested via IntelliNexus.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872C515">
            <w:pPr>
              <w:spacing w:before="0" w:after="0"/>
            </w:pPr>
            <w:r>
              <w:rPr>
                <w:rFonts w:ascii="Arial" w:hAnsi="Arial" w:eastAsia="Arial" w:cs="Arial"/>
                <w:b w:val="0"/>
                <w:bCs w:val="0"/>
                <w:color w:val="111111"/>
                <w:sz w:val="17"/>
                <w:szCs w:val="17"/>
              </w:rPr>
              <w:t>Qdrant cloud (managed) for shared sector packs. OpenRouter key for quality testing.</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2085EF9">
            <w:pPr>
              <w:spacing w:before="0" w:after="0"/>
            </w:pPr>
            <w:r>
              <w:rPr>
                <w:rFonts w:ascii="Arial" w:hAnsi="Arial" w:eastAsia="Arial" w:cs="Arial"/>
                <w:b w:val="0"/>
                <w:bCs w:val="0"/>
                <w:color w:val="111111"/>
                <w:sz w:val="17"/>
                <w:szCs w:val="17"/>
              </w:rPr>
              <w:t>Week 6 post-award</w:t>
            </w:r>
          </w:p>
        </w:tc>
      </w:tr>
      <w:tr w14:paraId="0CBC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E98AF1D">
            <w:pPr>
              <w:spacing w:before="0" w:after="0"/>
            </w:pPr>
            <w:r>
              <w:rPr>
                <w:rFonts w:ascii="Arial" w:hAnsi="Arial" w:eastAsia="Arial" w:cs="Arial"/>
                <w:b w:val="0"/>
                <w:bCs w:val="0"/>
                <w:color w:val="111111"/>
                <w:sz w:val="17"/>
                <w:szCs w:val="17"/>
              </w:rPr>
              <w:t>M3 — Pilot launch</w:t>
            </w:r>
          </w:p>
        </w:tc>
        <w:tc>
          <w:tcPr>
            <w:tcW w:w="3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6BD1248">
            <w:pPr>
              <w:spacing w:before="0" w:after="0"/>
            </w:pPr>
            <w:r>
              <w:rPr>
                <w:rFonts w:ascii="Arial" w:hAnsi="Arial" w:eastAsia="Arial" w:cs="Arial"/>
                <w:b w:val="0"/>
                <w:bCs w:val="0"/>
                <w:color w:val="111111"/>
                <w:sz w:val="17"/>
                <w:szCs w:val="17"/>
              </w:rPr>
              <w:t>10–20 pilot organisations onboarded. First non-technical operator case study. Performance dashboard live.</w:t>
            </w:r>
          </w:p>
        </w:tc>
        <w:tc>
          <w:tcPr>
            <w:tcW w:w="2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A036389">
            <w:pPr>
              <w:spacing w:before="0" w:after="0"/>
            </w:pPr>
            <w:r>
              <w:rPr>
                <w:rFonts w:ascii="Arial" w:hAnsi="Arial" w:eastAsia="Arial" w:cs="Arial"/>
                <w:b w:val="0"/>
                <w:bCs w:val="0"/>
                <w:color w:val="111111"/>
                <w:sz w:val="17"/>
                <w:szCs w:val="17"/>
              </w:rPr>
              <w:t>Hosted: managed PostgreSQL + Redis + Qdrant. Est. USD 40–60/month infrastructure.</w:t>
            </w:r>
          </w:p>
        </w:tc>
        <w:tc>
          <w:tcPr>
            <w:tcW w:w="1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46F1C86">
            <w:pPr>
              <w:spacing w:before="0" w:after="0"/>
            </w:pPr>
            <w:r>
              <w:rPr>
                <w:rFonts w:ascii="Arial" w:hAnsi="Arial" w:eastAsia="Arial" w:cs="Arial"/>
                <w:b w:val="0"/>
                <w:bCs w:val="0"/>
                <w:color w:val="111111"/>
                <w:sz w:val="17"/>
                <w:szCs w:val="17"/>
              </w:rPr>
              <w:t>Weeks 7–12 post-award</w:t>
            </w:r>
          </w:p>
        </w:tc>
      </w:tr>
    </w:tbl>
    <w:p w14:paraId="579D8600">
      <w:pPr>
        <w:spacing w:before="40" w:after="40"/>
      </w:pPr>
    </w:p>
    <w:p w14:paraId="3271F814">
      <w:pPr>
        <w:pStyle w:val="3"/>
        <w:spacing w:before="180" w:after="80" w:line="276" w:lineRule="auto"/>
      </w:pPr>
      <w:r>
        <w:rPr>
          <w:rFonts w:ascii="Arial" w:hAnsi="Arial" w:eastAsia="Arial" w:cs="Arial"/>
          <w:b/>
          <w:bCs/>
          <w:color w:val="1D6FA4"/>
          <w:sz w:val="22"/>
          <w:szCs w:val="22"/>
        </w:rPr>
        <w:t>3.4 CCE / ZCHPC Position</w:t>
      </w:r>
    </w:p>
    <w:p w14:paraId="3627ECD1">
      <w:pPr>
        <w:spacing w:before="80" w:after="80" w:line="276" w:lineRule="auto"/>
      </w:pPr>
      <w:r>
        <w:rPr>
          <w:rFonts w:ascii="Arial" w:hAnsi="Arial" w:eastAsia="Arial" w:cs="Arial"/>
          <w:color w:val="111111"/>
          <w:sz w:val="22"/>
          <w:szCs w:val="22"/>
        </w:rPr>
        <w:t>NeuroWorks does not require the ZCHPC CCE for primary operation. The default inference path uses Ollama on the operator's own hardware</w:t>
      </w:r>
      <w:r>
        <w:rPr>
          <w:rFonts w:hint="default" w:cs="Arial"/>
          <w:color w:val="111111"/>
          <w:sz w:val="22"/>
          <w:szCs w:val="22"/>
          <w:lang w:val="en-ZA"/>
        </w:rPr>
        <w:t>,</w:t>
      </w:r>
      <w:r>
        <w:rPr>
          <w:rFonts w:ascii="Arial" w:hAnsi="Arial" w:eastAsia="Arial" w:cs="Arial"/>
          <w:color w:val="111111"/>
          <w:sz w:val="22"/>
          <w:szCs w:val="22"/>
        </w:rPr>
        <w:t xml:space="preserve"> a consumer GPU (RTX 3060, 12GB VRAM) runs 7B models covering the majority of tasks. For the Grand Challenge demonstration, the team's own hardware will be used. For pilot organisations without GPU hardware, ZCHPC access would provide shared local Ollama inference in a controlled, data-sovereign environment</w:t>
      </w:r>
      <w:r>
        <w:rPr>
          <w:rFonts w:hint="default" w:cs="Arial"/>
          <w:color w:val="111111"/>
          <w:sz w:val="22"/>
          <w:szCs w:val="22"/>
          <w:lang w:val="en-ZA"/>
        </w:rPr>
        <w:t xml:space="preserve"> </w:t>
      </w:r>
      <w:r>
        <w:rPr>
          <w:rFonts w:ascii="Arial" w:hAnsi="Arial" w:eastAsia="Arial" w:cs="Arial"/>
          <w:color w:val="111111"/>
          <w:sz w:val="22"/>
          <w:szCs w:val="22"/>
        </w:rPr>
        <w:t>eliminating cloud model routing and its associated data-transmission risk. CCE requirements if accessed: 1× GPU node (16GB+ VRAM), 32GB RAM, 100GB storage, outbound access for GitHub API and optional OpenRouter fallback. All dependencies declared in package-lock.json at repository root.</w:t>
      </w:r>
    </w:p>
    <w:p w14:paraId="38F408B3">
      <w:pPr>
        <w:spacing w:before="40" w:after="40"/>
      </w:pPr>
    </w:p>
    <w:p w14:paraId="005ED268">
      <w:pPr>
        <w:pStyle w:val="2"/>
        <w:spacing w:before="280" w:after="120" w:line="276" w:lineRule="auto"/>
      </w:pPr>
      <w:r>
        <w:rPr>
          <w:rFonts w:ascii="Arial" w:hAnsi="Arial" w:eastAsia="Arial" w:cs="Arial"/>
          <w:b/>
          <w:bCs/>
          <w:color w:val="0D2137"/>
          <w:sz w:val="26"/>
          <w:szCs w:val="26"/>
        </w:rPr>
        <w:t>Section 4 Compliance and Risk Mitigation</w:t>
      </w:r>
    </w:p>
    <w:p w14:paraId="37267ACB">
      <w:pPr>
        <w:spacing w:before="80" w:after="80" w:line="276" w:lineRule="auto"/>
      </w:pPr>
      <w:r>
        <w:rPr>
          <w:rFonts w:ascii="Arial" w:hAnsi="Arial" w:eastAsia="Arial" w:cs="Arial"/>
          <w:color w:val="111111"/>
          <w:sz w:val="22"/>
          <w:szCs w:val="22"/>
        </w:rPr>
        <w:t>Written candidly. Where a risk is mitigated, the mitigation is named and locatable in the code. Where it is not yet mitigated, that is stated plainly.</w:t>
      </w:r>
    </w:p>
    <w:p w14:paraId="15513533">
      <w:pPr>
        <w:spacing w:before="40" w:after="40"/>
      </w:pPr>
    </w:p>
    <w:p w14:paraId="7065E629">
      <w:pPr>
        <w:pStyle w:val="3"/>
        <w:spacing w:before="180" w:after="80" w:line="276" w:lineRule="auto"/>
      </w:pPr>
      <w:r>
        <w:rPr>
          <w:rFonts w:ascii="Arial" w:hAnsi="Arial" w:eastAsia="Arial" w:cs="Arial"/>
          <w:b/>
          <w:bCs/>
          <w:color w:val="1D6FA4"/>
          <w:sz w:val="22"/>
          <w:szCs w:val="22"/>
        </w:rPr>
        <w:t>4.1 Ethical Safeguards</w:t>
      </w:r>
    </w:p>
    <w:p w14:paraId="0EB8DC2C">
      <w:pPr>
        <w:spacing w:before="80" w:after="80" w:line="276" w:lineRule="auto"/>
      </w:pPr>
      <w:r>
        <w:rPr>
          <w:rFonts w:ascii="Arial" w:hAnsi="Arial" w:eastAsia="Arial" w:cs="Arial"/>
          <w:color w:val="111111"/>
          <w:sz w:val="22"/>
          <w:szCs w:val="22"/>
        </w:rPr>
        <w:t>Hallucination is mitigated at four independent layers: (1) anti-fabrication rules in the synthesis prompt requiring inline evidence citation; (2) quality.check scoring every non-trivial answer on factuality risk with a rescue pass on low scores; (3) peer.review sending low-confidence drafts to a second model; (4) a DATA GAP injection (agent.ts, added 11 July 2026) that forces the model to disclose when a required data source was unavailable rather than answering around it. This fourth layer was discovered necessary during drafting this proposal. Bias has not been independently evaluated the underlying models carry their providers' documented bias characteristics; an open item. Shona and Ndebele support is functionally verified but not yet reviewed by a native linguistic authority for cultural appropriateness at scale. Over-reliance is addressed through HITL gates and requiresApproval: true defaults but cannot be fully eliminated by software.</w:t>
      </w:r>
    </w:p>
    <w:p w14:paraId="32BE70CA">
      <w:pPr>
        <w:spacing w:before="40" w:after="40"/>
      </w:pPr>
    </w:p>
    <w:p w14:paraId="40436BE0">
      <w:pPr>
        <w:pStyle w:val="3"/>
        <w:spacing w:before="180" w:after="80" w:line="276" w:lineRule="auto"/>
      </w:pPr>
      <w:r>
        <w:rPr>
          <w:rFonts w:ascii="Arial" w:hAnsi="Arial" w:eastAsia="Arial" w:cs="Arial"/>
          <w:b/>
          <w:bCs/>
          <w:color w:val="1D6FA4"/>
          <w:sz w:val="22"/>
          <w:szCs w:val="22"/>
        </w:rPr>
        <w:t>4.2 Data Protection Act (Chapter 12:07) Compliance</w:t>
      </w:r>
    </w:p>
    <w:p w14:paraId="3249A979">
      <w:pPr>
        <w:spacing w:before="80" w:after="80" w:line="276" w:lineRule="auto"/>
      </w:pPr>
      <w:r>
        <w:rPr>
          <w:rFonts w:ascii="Arial" w:hAnsi="Arial" w:eastAsia="Arial" w:cs="Arial"/>
          <w:color w:val="111111"/>
          <w:sz w:val="22"/>
          <w:szCs w:val="22"/>
        </w:rPr>
        <w:t>DPA obligations sit with the connecting operator as data controller. NeuroWorks acts as a processor on read-only instructions. Structural contributions to DPA compliance: connections are read-only by default; credentials encrypted at rest in AES-256-GCM (secret-box.ts); no data exported, cached beyond mission scope, or published via IntelliNexus without explicit operator instruction; full audit trail on every query against a connected source. In the default configuration Ollama, local vault, local Qdrant</w:t>
      </w:r>
      <w:r>
        <w:rPr>
          <w:rFonts w:hint="default" w:cs="Arial"/>
          <w:color w:val="111111"/>
          <w:sz w:val="22"/>
          <w:szCs w:val="22"/>
          <w:lang w:val="en-ZA"/>
        </w:rPr>
        <w:t>,</w:t>
      </w:r>
      <w:r>
        <w:rPr>
          <w:rFonts w:ascii="Arial" w:hAnsi="Arial" w:eastAsia="Arial" w:cs="Arial"/>
          <w:color w:val="111111"/>
          <w:sz w:val="22"/>
          <w:szCs w:val="22"/>
        </w:rPr>
        <w:t xml:space="preserve"> personal data never leaves the operator's machine. The intelligent organisation architecture makes data sovereignty the default, not an add-on.</w:t>
      </w:r>
    </w:p>
    <w:p w14:paraId="206FE55B">
      <w:pPr>
        <w:spacing w:before="40" w:after="40"/>
      </w:pPr>
    </w:p>
    <w:p w14:paraId="788E2178">
      <w:pPr>
        <w:pStyle w:val="3"/>
        <w:spacing w:before="180" w:after="80" w:line="276" w:lineRule="auto"/>
      </w:pPr>
      <w:r>
        <w:rPr>
          <w:rFonts w:ascii="Arial" w:hAnsi="Arial" w:eastAsia="Arial" w:cs="Arial"/>
          <w:b/>
          <w:bCs/>
          <w:color w:val="1D6FA4"/>
          <w:sz w:val="22"/>
          <w:szCs w:val="22"/>
        </w:rPr>
        <w:t>4.3 Data-Use Consent and Model Testing</w:t>
      </w:r>
    </w:p>
    <w:p w14:paraId="4A69DA41">
      <w:pPr>
        <w:spacing w:before="80" w:after="80" w:line="276" w:lineRule="auto"/>
      </w:pPr>
      <w:r>
        <w:rPr>
          <w:rFonts w:ascii="Arial" w:hAnsi="Arial" w:eastAsia="Arial" w:cs="Arial"/>
          <w:color w:val="111111"/>
          <w:sz w:val="22"/>
          <w:szCs w:val="22"/>
        </w:rPr>
        <w:t>Two IntelliNexus datasets exist in the current instance: the Awesome curated-software dataset (682 records, CC0 licence verified against source repository metadata before ingestion) and the nightly self-reflection series (NeuroWorks' own operational data). The connected production PostgreSQL is the operator's own data queried live per-request, never copied or published through IntelliNexus without explicit instruction. 118 unit tests pass. Governance gate tested against planted policy violations: fires correctly, surfaces the specific violated rule before any action executes. Secret-pattern scanner detected a planted fake token in under 1ms. Cost tracker audited and corrected 11 July 2026 (19% undercount found in provider-side extended thinking calls).</w:t>
      </w:r>
    </w:p>
    <w:p w14:paraId="29031C80">
      <w:pPr>
        <w:spacing w:before="40" w:after="40"/>
      </w:pPr>
    </w:p>
    <w:p w14:paraId="54FAFD77">
      <w:pPr>
        <w:spacing w:before="80" w:after="80" w:line="276" w:lineRule="auto"/>
      </w:pPr>
      <w:r>
        <w:rPr>
          <w:rFonts w:ascii="Arial" w:hAnsi="Arial" w:eastAsia="Arial" w:cs="Arial"/>
          <w:color w:val="111111"/>
          <w:sz w:val="22"/>
          <w:szCs w:val="22"/>
        </w:rPr>
        <w:t>Security: a real credential incident is disclosed deliberately a GitHub PAT was inadvertently displayed in terminal output during this development cycle. Caught immediately, rotated within the same session, old credential revoked. Disclosed as evidence that operational security discipline is exercised, not merely documented. Origin-guard middleware (origin-guard.ts) defends against DNS rebinding and cross-origin attacks. NEUROWORKS_ENTERPRISE_MODE adds OAuth 2.0 for wide-bind deployments. code.exec is unsandboxed and disabled by default (NEUROWORKS_CODE_EXEC=1 required). SkillForge-generated code runs in E2B isolated sandbox before any operator approval or persistence.</w:t>
      </w:r>
    </w:p>
    <w:p w14:paraId="2E3BDC6E">
      <w:pPr>
        <w:spacing w:before="40" w:after="40"/>
      </w:pPr>
    </w:p>
    <w:p w14:paraId="20DDCBE4">
      <w:pPr>
        <w:pStyle w:val="2"/>
        <w:spacing w:before="280" w:after="120" w:line="276" w:lineRule="auto"/>
      </w:pPr>
      <w:r>
        <w:rPr>
          <w:rFonts w:ascii="Arial" w:hAnsi="Arial" w:eastAsia="Arial" w:cs="Arial"/>
          <w:b/>
          <w:bCs/>
          <w:color w:val="0D2137"/>
          <w:sz w:val="26"/>
          <w:szCs w:val="26"/>
        </w:rPr>
        <w:t>Section 5 Sustainability and Future Adoption</w:t>
      </w:r>
    </w:p>
    <w:p w14:paraId="1830514A">
      <w:pPr>
        <w:pStyle w:val="3"/>
        <w:spacing w:before="180" w:after="80" w:line="276" w:lineRule="auto"/>
      </w:pPr>
      <w:r>
        <w:rPr>
          <w:rFonts w:ascii="Arial" w:hAnsi="Arial" w:eastAsia="Arial" w:cs="Arial"/>
          <w:b/>
          <w:bCs/>
          <w:color w:val="1D6FA4"/>
          <w:sz w:val="22"/>
          <w:szCs w:val="22"/>
        </w:rPr>
        <w:t>5.1 Cost Projections Real Measured Data</w:t>
      </w:r>
    </w:p>
    <w:p w14:paraId="310B0867">
      <w:pPr>
        <w:spacing w:before="80" w:after="80" w:line="276" w:lineRule="auto"/>
      </w:pPr>
      <w:r>
        <w:rPr>
          <w:rFonts w:ascii="Arial" w:hAnsi="Arial" w:eastAsia="Arial" w:cs="Arial"/>
          <w:color w:val="111111"/>
          <w:sz w:val="22"/>
          <w:szCs w:val="22"/>
        </w:rPr>
        <w:t>NeuroWorks tracks real per-call token usage from provider usage-response data not estimates. A 19% undercount bug was found and corrected 11 July 2026. Numbers from the corrected live tracker:</w:t>
      </w:r>
    </w:p>
    <w:p w14:paraId="400CA15B">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900"/>
        <w:gridCol w:w="1700"/>
        <w:gridCol w:w="1460"/>
      </w:tblGrid>
      <w:tr w14:paraId="2845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637C9A0">
            <w:pPr>
              <w:spacing w:before="0" w:after="0"/>
            </w:pPr>
            <w:r>
              <w:rPr>
                <w:rFonts w:ascii="Arial" w:hAnsi="Arial" w:eastAsia="Arial" w:cs="Arial"/>
                <w:b/>
                <w:bCs/>
                <w:color w:val="FFFFFF"/>
                <w:sz w:val="18"/>
                <w:szCs w:val="18"/>
              </w:rPr>
              <w:t>Period</w:t>
            </w:r>
          </w:p>
        </w:tc>
        <w:tc>
          <w:tcPr>
            <w:tcW w:w="15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8AD6DE2">
            <w:pPr>
              <w:spacing w:before="0" w:after="0"/>
            </w:pPr>
            <w:r>
              <w:rPr>
                <w:rFonts w:ascii="Arial" w:hAnsi="Arial" w:eastAsia="Arial" w:cs="Arial"/>
                <w:b/>
                <w:bCs/>
                <w:color w:val="FFFFFF"/>
                <w:sz w:val="18"/>
                <w:szCs w:val="18"/>
              </w:rPr>
              <w:t>Total calls</w:t>
            </w:r>
          </w:p>
        </w:tc>
        <w:tc>
          <w:tcPr>
            <w:tcW w:w="1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5A200CD">
            <w:pPr>
              <w:spacing w:before="0" w:after="0"/>
            </w:pPr>
            <w:r>
              <w:rPr>
                <w:rFonts w:ascii="Arial" w:hAnsi="Arial" w:eastAsia="Arial" w:cs="Arial"/>
                <w:b/>
                <w:bCs/>
                <w:color w:val="FFFFFF"/>
                <w:sz w:val="18"/>
                <w:szCs w:val="18"/>
              </w:rPr>
              <w:t>Free and local</w:t>
            </w:r>
          </w:p>
        </w:tc>
        <w:tc>
          <w:tcPr>
            <w:tcW w:w="17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3762EF7">
            <w:pPr>
              <w:spacing w:before="0" w:after="0"/>
            </w:pPr>
            <w:r>
              <w:rPr>
                <w:rFonts w:ascii="Arial" w:hAnsi="Arial" w:eastAsia="Arial" w:cs="Arial"/>
                <w:b/>
                <w:bCs/>
                <w:color w:val="FFFFFF"/>
                <w:sz w:val="18"/>
                <w:szCs w:val="18"/>
              </w:rPr>
              <w:t>Paid cloud</w:t>
            </w:r>
          </w:p>
        </w:tc>
        <w:tc>
          <w:tcPr>
            <w:tcW w:w="14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5E330441">
            <w:pPr>
              <w:spacing w:before="0" w:after="0"/>
            </w:pPr>
            <w:r>
              <w:rPr>
                <w:rFonts w:ascii="Arial" w:hAnsi="Arial" w:eastAsia="Arial" w:cs="Arial"/>
                <w:b/>
                <w:bCs/>
                <w:color w:val="FFFFFF"/>
                <w:sz w:val="18"/>
                <w:szCs w:val="18"/>
              </w:rPr>
              <w:t>Cloud cost</w:t>
            </w:r>
          </w:p>
        </w:tc>
      </w:tr>
      <w:tr w14:paraId="4018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691FAA0">
            <w:pPr>
              <w:spacing w:before="0" w:after="0"/>
            </w:pPr>
            <w:r>
              <w:rPr>
                <w:rFonts w:ascii="Arial" w:hAnsi="Arial" w:eastAsia="Arial" w:cs="Arial"/>
                <w:b w:val="0"/>
                <w:bCs w:val="0"/>
                <w:color w:val="111111"/>
                <w:sz w:val="17"/>
                <w:szCs w:val="17"/>
              </w:rPr>
              <w:t>10 days — 3 to 11 July 2026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44449D0">
            <w:pPr>
              <w:spacing w:before="0" w:after="0"/>
            </w:pPr>
            <w:r>
              <w:rPr>
                <w:rFonts w:ascii="Arial" w:hAnsi="Arial" w:eastAsia="Arial" w:cs="Arial"/>
                <w:b w:val="0"/>
                <w:bCs w:val="0"/>
                <w:color w:val="111111"/>
                <w:sz w:val="17"/>
                <w:szCs w:val="17"/>
              </w:rPr>
              <w:t>1,021</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13C681B">
            <w:pPr>
              <w:spacing w:before="0" w:after="0"/>
            </w:pPr>
            <w:r>
              <w:rPr>
                <w:rFonts w:ascii="Arial" w:hAnsi="Arial" w:eastAsia="Arial" w:cs="Arial"/>
                <w:b w:val="0"/>
                <w:bCs w:val="0"/>
                <w:color w:val="111111"/>
                <w:sz w:val="17"/>
                <w:szCs w:val="17"/>
              </w:rPr>
              <w:t>640 (62.7%)</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D8F79B7">
            <w:pPr>
              <w:spacing w:before="0" w:after="0"/>
            </w:pPr>
            <w:r>
              <w:rPr>
                <w:rFonts w:ascii="Arial" w:hAnsi="Arial" w:eastAsia="Arial" w:cs="Arial"/>
                <w:b w:val="0"/>
                <w:bCs w:val="0"/>
                <w:color w:val="111111"/>
                <w:sz w:val="17"/>
                <w:szCs w:val="17"/>
              </w:rPr>
              <w:t>381 (37.3%)</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6A62701">
            <w:pPr>
              <w:spacing w:before="0" w:after="0"/>
            </w:pPr>
            <w:r>
              <w:rPr>
                <w:rFonts w:ascii="Arial" w:hAnsi="Arial" w:eastAsia="Arial" w:cs="Arial"/>
                <w:b w:val="0"/>
                <w:bCs w:val="0"/>
                <w:color w:val="111111"/>
                <w:sz w:val="17"/>
                <w:szCs w:val="17"/>
              </w:rPr>
              <w:t>USD 8.31 total</w:t>
            </w:r>
          </w:p>
        </w:tc>
      </w:tr>
      <w:tr w14:paraId="3A7E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E35333B">
            <w:pPr>
              <w:spacing w:before="0" w:after="0"/>
            </w:pPr>
            <w:r>
              <w:rPr>
                <w:rFonts w:ascii="Arial" w:hAnsi="Arial" w:eastAsia="Arial" w:cs="Arial"/>
                <w:b w:val="0"/>
                <w:bCs w:val="0"/>
                <w:color w:val="111111"/>
                <w:sz w:val="17"/>
                <w:szCs w:val="17"/>
              </w:rPr>
              <w:t>Single day — 10 July 2026</w:t>
            </w:r>
          </w:p>
        </w:tc>
        <w:tc>
          <w:tcPr>
            <w:tcW w:w="15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4269913">
            <w:pPr>
              <w:spacing w:before="0" w:after="0"/>
            </w:pPr>
            <w:r>
              <w:rPr>
                <w:rFonts w:ascii="Arial" w:hAnsi="Arial" w:eastAsia="Arial" w:cs="Arial"/>
                <w:b w:val="0"/>
                <w:bCs w:val="0"/>
                <w:color w:val="111111"/>
                <w:sz w:val="17"/>
                <w:szCs w:val="17"/>
              </w:rPr>
              <w:t>~35</w:t>
            </w:r>
          </w:p>
        </w:tc>
        <w:tc>
          <w:tcPr>
            <w:tcW w:w="1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42CCAA3">
            <w:pPr>
              <w:spacing w:before="0" w:after="0"/>
            </w:pPr>
            <w:r>
              <w:rPr>
                <w:rFonts w:ascii="Arial" w:hAnsi="Arial" w:eastAsia="Arial" w:cs="Arial"/>
                <w:b w:val="0"/>
                <w:bCs w:val="0"/>
                <w:color w:val="111111"/>
                <w:sz w:val="17"/>
                <w:szCs w:val="17"/>
              </w:rPr>
              <w:t>~22</w:t>
            </w:r>
          </w:p>
        </w:tc>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B4BF5B7">
            <w:pPr>
              <w:spacing w:before="0" w:after="0"/>
            </w:pPr>
            <w:r>
              <w:rPr>
                <w:rFonts w:ascii="Arial" w:hAnsi="Arial" w:eastAsia="Arial" w:cs="Arial"/>
                <w:b w:val="0"/>
                <w:bCs w:val="0"/>
                <w:color w:val="111111"/>
                <w:sz w:val="17"/>
                <w:szCs w:val="17"/>
              </w:rPr>
              <w:t>~13</w:t>
            </w:r>
          </w:p>
        </w:tc>
        <w:tc>
          <w:tcPr>
            <w:tcW w:w="14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CAAA262">
            <w:pPr>
              <w:spacing w:before="0" w:after="0"/>
            </w:pPr>
            <w:r>
              <w:rPr>
                <w:rFonts w:ascii="Arial" w:hAnsi="Arial" w:eastAsia="Arial" w:cs="Arial"/>
                <w:b w:val="0"/>
                <w:bCs w:val="0"/>
                <w:color w:val="111111"/>
                <w:sz w:val="17"/>
                <w:szCs w:val="17"/>
              </w:rPr>
              <w:t>USD 3.03 (~USD 0.10/task, 29 tasks)</w:t>
            </w:r>
          </w:p>
        </w:tc>
      </w:tr>
    </w:tbl>
    <w:p w14:paraId="7A129736">
      <w:pPr>
        <w:spacing w:before="40" w:after="40"/>
      </w:pPr>
    </w:p>
    <w:p w14:paraId="5B2C38E4">
      <w:pPr>
        <w:spacing w:before="80" w:after="80" w:line="276" w:lineRule="auto"/>
      </w:pPr>
      <w:r>
        <w:rPr>
          <w:rFonts w:ascii="Arial" w:hAnsi="Arial" w:eastAsia="Arial" w:cs="Arial"/>
          <w:color w:val="111111"/>
          <w:sz w:val="22"/>
          <w:szCs w:val="22"/>
        </w:rPr>
        <w:t>The USD 0.10/task figure is from one fully-documented day and is presented as a single honest data point. The 10-day window demonstrates that the free-local-core architecture works in practice and cloud spend, when incurred, is small relative to task output.</w:t>
      </w:r>
    </w:p>
    <w:p w14:paraId="0D31D8DD">
      <w:pPr>
        <w:spacing w:before="40" w:after="40"/>
      </w:pPr>
    </w:p>
    <w:p w14:paraId="379F9E20">
      <w:pPr>
        <w:pStyle w:val="3"/>
        <w:spacing w:before="180" w:after="80" w:line="276" w:lineRule="auto"/>
      </w:pPr>
      <w:r>
        <w:rPr>
          <w:rFonts w:ascii="Arial" w:hAnsi="Arial" w:eastAsia="Arial" w:cs="Arial"/>
          <w:b/>
          <w:bCs/>
          <w:color w:val="1D6FA4"/>
          <w:sz w:val="22"/>
          <w:szCs w:val="22"/>
        </w:rPr>
        <w:t>5.2 Operational Business Model</w:t>
      </w:r>
    </w:p>
    <w:p w14:paraId="7D42214B">
      <w:pPr>
        <w:spacing w:before="80" w:after="80" w:line="276" w:lineRule="auto"/>
      </w:pPr>
      <w:r>
        <w:rPr>
          <w:rFonts w:ascii="Arial" w:hAnsi="Arial" w:eastAsia="Arial" w:cs="Arial"/>
          <w:color w:val="111111"/>
          <w:sz w:val="22"/>
          <w:szCs w:val="22"/>
        </w:rPr>
        <w:t>Every installation runs Ollama by default zero API keys, zero mandatory cloud spend, genuinely free-capable with a working path back to local-only at any time. Cloud models (Claude, Groq, OpenRouter) are an optional escalation billed at cost plus a 10% platform fee, visible to the operator per call. Institutional licence (annual contract for updates, support, deployment assistance) is the primary revenue path for government and health-sector customers. A managed relay for hard-to-self-host pieces is planned but not yet built stated as planned, not claimed as done.</w:t>
      </w:r>
    </w:p>
    <w:p w14:paraId="4736F1B4">
      <w:pPr>
        <w:spacing w:before="40" w:after="40"/>
      </w:pPr>
    </w:p>
    <w:p w14:paraId="58DBE60A">
      <w:pPr>
        <w:pStyle w:val="3"/>
        <w:spacing w:before="180" w:after="80" w:line="276" w:lineRule="auto"/>
      </w:pPr>
      <w:r>
        <w:rPr>
          <w:rFonts w:ascii="Arial" w:hAnsi="Arial" w:eastAsia="Arial" w:cs="Arial"/>
          <w:b/>
          <w:bCs/>
          <w:color w:val="1D6FA4"/>
          <w:sz w:val="22"/>
          <w:szCs w:val="22"/>
        </w:rPr>
        <w:t>5.3 Licensing Registry</w:t>
      </w:r>
    </w:p>
    <w:p w14:paraId="7CBD93DA">
      <w:pPr>
        <w:spacing w:before="80" w:after="80" w:line="276" w:lineRule="auto"/>
      </w:pPr>
      <w:r>
        <w:rPr>
          <w:rFonts w:ascii="Arial" w:hAnsi="Arial" w:eastAsia="Arial" w:cs="Arial"/>
          <w:color w:val="111111"/>
          <w:sz w:val="22"/>
          <w:szCs w:val="22"/>
        </w:rPr>
        <w:t>NeuroWorks' own code is proprietary to AiiA and RUBIEM Developers, all rights reserved, with the full licence at the repository root. POTRAZ is granted a non-exclusive, royalty-free right to evaluate, demonstrate, and pilot the submission for public-interest purposes. Commercial use beyond the Challenge requires a separate agreement. All third-party libraries, models, and APIs are declared with their licence positions in the Asset and Licence Register (docs-vault-ready/06-grand-challenge-2026/ in the repository). Zimbabwe sector knowledge packs will be released under Creative Commons Attribution (CC BY 4.0) to contribute to Zimbabwe's national AI data infrastructure and the IntelliNexus learning commons.</w:t>
      </w:r>
    </w:p>
    <w:p w14:paraId="5F166833">
      <w:pPr>
        <w:spacing w:before="40" w:after="40"/>
      </w:pPr>
    </w:p>
    <w:p w14:paraId="77EA9CA5">
      <w:pPr>
        <w:pStyle w:val="3"/>
        <w:spacing w:before="180" w:after="80" w:line="276" w:lineRule="auto"/>
      </w:pPr>
      <w:r>
        <w:rPr>
          <w:rFonts w:ascii="Arial" w:hAnsi="Arial" w:eastAsia="Arial" w:cs="Arial"/>
          <w:b/>
          <w:bCs/>
          <w:color w:val="1D6FA4"/>
          <w:sz w:val="22"/>
          <w:szCs w:val="22"/>
        </w:rPr>
        <w:t>5.4 Scaling and Sustainability Pathway</w:t>
      </w:r>
    </w:p>
    <w:p w14:paraId="6B017B48">
      <w:pPr>
        <w:spacing w:before="80" w:after="80" w:line="276" w:lineRule="auto"/>
      </w:pPr>
      <w:r>
        <w:rPr>
          <w:rFonts w:ascii="Arial" w:hAnsi="Arial" w:eastAsia="Arial" w:cs="Arial"/>
          <w:color w:val="111111"/>
          <w:sz w:val="22"/>
          <w:szCs w:val="22"/>
        </w:rPr>
        <w:t>One real external system is already connected a production PostgreSQL database live since 11 July 2026. The formal pilot (Weeks 7–12 post-award) targets 10–20 organisations in Mutare and Harare: five SMEs across tourism, agriculture, and informal trade; three NGOs; two government-adjacent institutions; one health facility. Success is measured on task completion rate, time saved versus prior manual process, cloud spend per task, and at least one non-technical operator case study. No signed pilot agreements exist yet</w:t>
      </w:r>
      <w:r>
        <w:rPr>
          <w:rFonts w:hint="default" w:cs="Arial"/>
          <w:color w:val="111111"/>
          <w:sz w:val="22"/>
          <w:szCs w:val="22"/>
          <w:lang w:val="en-ZA"/>
        </w:rPr>
        <w:t xml:space="preserve"> </w:t>
      </w:r>
      <w:r>
        <w:rPr>
          <w:rFonts w:ascii="Arial" w:hAnsi="Arial" w:eastAsia="Arial" w:cs="Arial"/>
          <w:color w:val="111111"/>
          <w:sz w:val="22"/>
          <w:szCs w:val="22"/>
        </w:rPr>
        <w:t>the single biggest gap between technically ready and commercially validated, stated plainly.</w:t>
      </w:r>
    </w:p>
    <w:p w14:paraId="64F2D637">
      <w:pPr>
        <w:spacing w:before="40" w:after="40"/>
      </w:pPr>
    </w:p>
    <w:p w14:paraId="1DD4E47A">
      <w:pPr>
        <w:spacing w:before="80" w:after="80" w:line="276" w:lineRule="auto"/>
      </w:pPr>
      <w:r>
        <w:rPr>
          <w:rFonts w:ascii="Arial" w:hAnsi="Arial" w:eastAsia="Arial" w:cs="Arial"/>
          <w:color w:val="111111"/>
          <w:sz w:val="22"/>
          <w:szCs w:val="22"/>
        </w:rPr>
        <w:t>The long-term vision is the intelligent organisation as the dominant operating model for Zimbabwean and SADC institutions. NeuroWorks is the platform they use to get there. SADC regional expansion follows the same architecture with country-specific language and regulatory packs configuration, not a rebuild. For sovereign government deployments, on-premise with ZCHPC GPU infrastructure provides a pathway that satisfies institutional data-governance requirements without cloud dependency. Self-sustaining at 200 Growth-tier or 70 Institutional-tier paying organisations before external investment is required.</w:t>
      </w:r>
    </w:p>
    <w:p w14:paraId="2FE3FC6F">
      <w:pPr>
        <w:spacing w:before="40" w:after="40"/>
      </w:pPr>
    </w:p>
    <w:p w14:paraId="1949C88C">
      <w:pPr>
        <w:pBdr>
          <w:bottom w:val="single" w:color="CCCCCC" w:sz="4" w:space="1"/>
        </w:pBdr>
        <w:spacing w:before="140" w:after="140"/>
      </w:pPr>
    </w:p>
    <w:p w14:paraId="5CB9B942">
      <w:pPr>
        <w:spacing w:before="120" w:after="80"/>
        <w:jc w:val="center"/>
      </w:pPr>
      <w:r>
        <w:rPr>
          <w:rFonts w:ascii="Arial" w:hAnsi="Arial" w:eastAsia="Arial" w:cs="Arial"/>
          <w:i/>
          <w:iCs/>
          <w:color w:val="999999"/>
          <w:sz w:val="18"/>
          <w:szCs w:val="18"/>
        </w:rPr>
        <w:t>End of proposal  ·  NeuroWorks  ·  [ProjectID]_AI4I_Proposal_Development  ·  AI Grand Challenge 2026</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060400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20" w:line="276" w:lineRule="auto"/>
      <w:outlineLvl w:val="0"/>
    </w:pPr>
    <w:rPr>
      <w:rFonts w:ascii="Arial" w:hAnsi="Arial" w:eastAsia="Arial" w:cs="Arial"/>
      <w:b/>
      <w:bCs/>
      <w:color w:val="0D2137"/>
      <w:sz w:val="26"/>
      <w:szCs w:val="26"/>
    </w:rPr>
  </w:style>
  <w:style w:type="paragraph" w:styleId="3">
    <w:name w:val="heading 2"/>
    <w:next w:val="1"/>
    <w:qFormat/>
    <w:uiPriority w:val="0"/>
    <w:pPr>
      <w:spacing w:before="180" w:after="80" w:line="276" w:lineRule="auto"/>
      <w:outlineLvl w:val="1"/>
    </w:pPr>
    <w:rPr>
      <w:rFonts w:ascii="Arial" w:hAnsi="Arial" w:eastAsia="Arial" w:cs="Arial"/>
      <w:b/>
      <w:bCs/>
      <w:color w:val="1D6FA4"/>
      <w:sz w:val="22"/>
      <w:szCs w:val="22"/>
    </w:rPr>
  </w:style>
  <w:style w:type="paragraph" w:styleId="4">
    <w:name w:val="heading 3"/>
    <w:next w:val="1"/>
    <w:qFormat/>
    <w:uiPriority w:val="0"/>
    <w:pPr>
      <w:spacing w:before="140" w:after="60" w:line="276" w:lineRule="auto"/>
      <w:outlineLvl w:val="2"/>
    </w:pPr>
    <w:rPr>
      <w:rFonts w:ascii="Arial" w:hAnsi="Arial" w:eastAsia="Arial" w:cs="Arial"/>
      <w:b/>
      <w:bCs/>
      <w:color w:val="1A3F5C"/>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322</Words>
  <Characters>1964</Characters>
  <TotalTime>23</TotalTime>
  <ScaleCrop>false</ScaleCrop>
  <LinksUpToDate>false</LinksUpToDate>
  <CharactersWithSpaces>2272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2026-07-12T12:32:00Z</dcterms:created>
  <dc:creator>Un-named</dc:creator>
  <cp:lastModifiedBy>King_Arthur</cp:lastModifiedBy>
  <dcterms:modified xsi:type="dcterms:W3CDTF">2026-07-12T14:08:34Z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eyJoZGlkIjoiZGQyNTgzMmNlYTRiOWI2ZTg4MzNhOTA1MWZkYWE3ZmMiLCJ1c2VySWQiOiIxODU3MjE3MTc0MjU4MiJ9</vt:lpwstr>
  </property>
  <property fmtid="{D5CDD505-2E9C-101B-9397-08002B2CF9AE}" pid="3" name="KSOProductBuildVer">
    <vt:lpwstr>1033-12.1.0.26880</vt:lpwstr>
  </property>
  <property fmtid="{D5CDD505-2E9C-101B-9397-08002B2CF9AE}" pid="4" name="ICV">
    <vt:lpwstr>FF088727C1F847B5A5B34F4017B3A9BC_12</vt:lpwstr>
  </property>
</Properties>
</file>