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20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nil"/>
              <w:left w:val="nil"/>
              <w:bottom w:val="nil"/>
              <w:right w:val="nil"/>
            </w:tcBorders>
            <w:shd w:val="clear" w:color="auto" w:fill="33691E"/>
            <w:tcMar>
              <w:top w:w="200" w:type="dxa"/>
              <w:left w:w="300" w:type="dxa"/>
              <w:bottom w:w="200" w:type="dxa"/>
              <w:right w:w="300" w:type="dxa"/>
            </w:tcMar>
          </w:tcPr>
          <w:p w14:paraId="221874DD">
            <w:pPr>
              <w:jc w:val="center"/>
            </w:pPr>
            <w:r>
              <w:rPr>
                <w:b/>
                <w:bCs/>
                <w:color w:val="FFFFFF"/>
                <w:sz w:val="36"/>
                <w:szCs w:val="36"/>
              </w:rPr>
              <w:t>AFC COMMERCIAL BANK</w:t>
            </w:r>
          </w:p>
          <w:p w14:paraId="6807E578">
            <w:pPr>
              <w:jc w:val="center"/>
            </w:pPr>
            <w:r>
              <w:rPr>
                <w:color w:val="DCEDC8"/>
                <w:sz w:val="24"/>
                <w:szCs w:val="24"/>
              </w:rPr>
              <w:t xml:space="preserve">BANKING PRODUCT </w:t>
            </w:r>
          </w:p>
        </w:tc>
      </w:tr>
    </w:tbl>
    <w:p w14:paraId="7D99602E">
      <w:pPr>
        <w:spacing w:before="160"/>
      </w:pPr>
    </w:p>
    <w:p w14:paraId="652DB374">
      <w:pPr>
        <w:pBdr>
          <w:bottom w:val="single" w:color="7CB342" w:sz="8" w:space="4"/>
        </w:pBdr>
        <w:spacing w:before="300" w:after="80"/>
      </w:pPr>
      <w:r>
        <w:rPr>
          <w:b/>
          <w:bCs/>
          <w:color w:val="33691E"/>
          <w:sz w:val="26"/>
          <w:szCs w:val="26"/>
        </w:rPr>
        <w:t>1.  Product Overview</w:t>
      </w:r>
    </w:p>
    <w:p w14:paraId="12B7CF8D">
      <w:pPr>
        <w:spacing w:before="80"/>
      </w:pPr>
    </w:p>
    <w:p w14:paraId="1B83E6EA">
      <w:pPr>
        <w:pStyle w:val="17"/>
        <w:numPr>
          <w:ilvl w:val="0"/>
          <w:numId w:val="1"/>
        </w:numPr>
        <w:spacing w:before="60" w:after="60"/>
        <w:ind w:left="360"/>
      </w:pPr>
      <w:r>
        <w:rPr>
          <w:b/>
          <w:bCs/>
          <w:color w:val="2E4B2E"/>
        </w:rPr>
        <w:t>Product Name:</w:t>
      </w:r>
      <w:r>
        <w:rPr>
          <w:rFonts w:hint="default"/>
          <w:b/>
          <w:bCs/>
          <w:color w:val="2E4B2E"/>
          <w:lang w:val="en-ZA"/>
        </w:rPr>
        <w:t xml:space="preserve"> Civil Sevarnt account </w:t>
      </w:r>
    </w:p>
    <w:p w14:paraId="3D93063F">
      <w:pPr>
        <w:pStyle w:val="17"/>
        <w:numPr>
          <w:ilvl w:val="0"/>
          <w:numId w:val="1"/>
        </w:numPr>
        <w:spacing w:before="60" w:after="60"/>
        <w:ind w:left="360"/>
      </w:pPr>
      <w:r>
        <w:rPr>
          <w:b/>
          <w:bCs/>
          <w:color w:val="2E4B2E"/>
        </w:rPr>
        <w:t>Product Description:</w:t>
      </w:r>
      <w:r>
        <w:rPr>
          <w:rFonts w:hint="default"/>
          <w:b/>
          <w:bCs/>
          <w:color w:val="2E4B2E"/>
          <w:lang w:val="en-ZA"/>
        </w:rPr>
        <w:t xml:space="preserve"> civil servant account that allows civil servant based loans, as well as additional features that increase the value proposition </w:t>
      </w:r>
    </w:p>
    <w:p w14:paraId="68B7C603">
      <w:pPr>
        <w:pStyle w:val="17"/>
        <w:numPr>
          <w:ilvl w:val="0"/>
          <w:numId w:val="1"/>
        </w:numPr>
        <w:spacing w:before="60" w:after="60"/>
        <w:ind w:left="360"/>
      </w:pPr>
      <w:r>
        <w:rPr>
          <w:b/>
          <w:bCs/>
          <w:color w:val="2E4B2E"/>
        </w:rPr>
        <w:t>Customer Type:</w:t>
      </w:r>
      <w:bookmarkStart w:id="0" w:name="_GoBack"/>
      <w:bookmarkEnd w:id="0"/>
    </w:p>
    <w:p w14:paraId="008E66DD">
      <w:pPr>
        <w:spacing w:before="60" w:after="60"/>
        <w:ind w:left="720"/>
      </w:pPr>
      <w:r>
        <w:rPr>
          <w:color w:val="777777"/>
        </w:rPr>
        <w:t>(Individual)</w:t>
      </w:r>
    </w:p>
    <w:p w14:paraId="052BB8FB">
      <w:pPr>
        <w:pStyle w:val="17"/>
        <w:numPr>
          <w:ilvl w:val="0"/>
          <w:numId w:val="1"/>
        </w:numPr>
        <w:spacing w:before="60" w:after="60"/>
        <w:ind w:left="360"/>
      </w:pPr>
      <w:r>
        <w:rPr>
          <w:b/>
          <w:bCs/>
          <w:color w:val="2E4B2E"/>
        </w:rPr>
        <w:t>Customer Segment:</w:t>
      </w:r>
    </w:p>
    <w:p w14:paraId="7A5394CF">
      <w:pPr>
        <w:spacing w:before="60" w:after="60"/>
        <w:ind w:left="720"/>
      </w:pPr>
      <w:r>
        <w:rPr>
          <w:color w:val="777777"/>
        </w:rPr>
        <w:t>(Civil Servants)</w:t>
      </w:r>
    </w:p>
    <w:p w14:paraId="063759BF">
      <w:pPr>
        <w:pStyle w:val="17"/>
        <w:numPr>
          <w:ilvl w:val="0"/>
          <w:numId w:val="1"/>
        </w:numPr>
        <w:spacing w:before="60" w:after="60"/>
        <w:ind w:left="360"/>
      </w:pPr>
      <w:r>
        <w:rPr>
          <w:b/>
          <w:bCs/>
          <w:color w:val="2E4B2E"/>
        </w:rPr>
        <w:t>Primary Use Case(s):</w:t>
      </w:r>
    </w:p>
    <w:p w14:paraId="67B7B200">
      <w:pPr>
        <w:spacing w:before="60" w:after="60"/>
        <w:ind w:left="720"/>
      </w:pPr>
      <w:r>
        <w:rPr>
          <w:color w:val="777777"/>
        </w:rPr>
        <w:t>(Savings / Transactions / Payments / Lending — multi-select allowed)</w:t>
      </w:r>
    </w:p>
    <w:p w14:paraId="7CEA79FD">
      <w:pPr>
        <w:spacing w:before="160"/>
      </w:pPr>
    </w:p>
    <w:p w14:paraId="32BF8770">
      <w:pPr>
        <w:pBdr>
          <w:bottom w:val="single" w:color="7CB342" w:sz="8" w:space="4"/>
        </w:pBdr>
        <w:spacing w:before="300" w:after="80"/>
      </w:pPr>
      <w:r>
        <w:rPr>
          <w:b/>
          <w:bCs/>
          <w:color w:val="33691E"/>
          <w:sz w:val="26"/>
          <w:szCs w:val="26"/>
        </w:rPr>
        <w:t>2.  Pricing &amp; Financial Conditions</w:t>
      </w:r>
    </w:p>
    <w:p w14:paraId="2831D2BF">
      <w:pPr>
        <w:spacing w:before="80"/>
      </w:pPr>
    </w:p>
    <w:p w14:paraId="165BE188">
      <w:pPr>
        <w:pStyle w:val="17"/>
        <w:numPr>
          <w:ilvl w:val="0"/>
          <w:numId w:val="1"/>
        </w:numPr>
        <w:spacing w:before="60" w:after="60"/>
        <w:ind w:left="360"/>
      </w:pPr>
      <w:r>
        <w:rPr>
          <w:b/>
          <w:bCs/>
          <w:color w:val="2E4B2E"/>
        </w:rPr>
        <w:t>Ledger Fees:</w:t>
      </w:r>
      <w:r>
        <w:rPr>
          <w:rFonts w:hint="default"/>
          <w:b/>
          <w:bCs/>
          <w:color w:val="2E4B2E"/>
          <w:lang w:val="en-ZA"/>
        </w:rPr>
        <w:t xml:space="preserve"> $1.8</w:t>
      </w:r>
    </w:p>
    <w:p w14:paraId="605D1F02">
      <w:pPr>
        <w:pStyle w:val="17"/>
        <w:numPr>
          <w:ilvl w:val="0"/>
          <w:numId w:val="1"/>
        </w:numPr>
        <w:spacing w:before="60" w:after="60"/>
        <w:ind w:left="360"/>
      </w:pPr>
      <w:r>
        <w:rPr>
          <w:b/>
          <w:bCs/>
          <w:color w:val="2E4B2E"/>
        </w:rPr>
        <w:t>Initial Deposit:</w:t>
      </w:r>
      <w:r>
        <w:rPr>
          <w:rFonts w:hint="default"/>
          <w:b/>
          <w:bCs/>
          <w:color w:val="2E4B2E"/>
          <w:lang w:val="en-ZA"/>
        </w:rPr>
        <w:t xml:space="preserve"> $2</w:t>
      </w:r>
    </w:p>
    <w:p w14:paraId="686F4D38">
      <w:pPr>
        <w:pStyle w:val="17"/>
        <w:numPr>
          <w:ilvl w:val="0"/>
          <w:numId w:val="1"/>
        </w:numPr>
        <w:spacing w:before="60" w:after="60"/>
        <w:ind w:left="360"/>
      </w:pPr>
      <w:r>
        <w:rPr>
          <w:b/>
          <w:bCs/>
          <w:color w:val="2E4B2E"/>
        </w:rPr>
        <w:t>Minimum Balance:</w:t>
      </w:r>
      <w:r>
        <w:rPr>
          <w:rFonts w:hint="default"/>
          <w:b/>
          <w:bCs/>
          <w:color w:val="2E4B2E"/>
          <w:lang w:val="en-ZA"/>
        </w:rPr>
        <w:t xml:space="preserve"> $2</w:t>
      </w:r>
    </w:p>
    <w:p w14:paraId="4A5A8EBF">
      <w:pPr>
        <w:pStyle w:val="17"/>
        <w:numPr>
          <w:ilvl w:val="0"/>
          <w:numId w:val="1"/>
        </w:numPr>
        <w:spacing w:before="60" w:after="60"/>
        <w:ind w:left="360"/>
      </w:pPr>
      <w:r>
        <w:rPr>
          <w:b/>
          <w:bCs/>
          <w:color w:val="2E4B2E"/>
        </w:rPr>
        <w:t>Transaction Fees:</w:t>
      </w:r>
      <w:r>
        <w:rPr>
          <w:rFonts w:hint="default"/>
          <w:b/>
          <w:bCs/>
          <w:color w:val="2E4B2E"/>
          <w:lang w:val="en-ZA"/>
        </w:rPr>
        <w:t xml:space="preserve"> internal 1%</w:t>
      </w:r>
    </w:p>
    <w:p w14:paraId="333CA21C">
      <w:pPr>
        <w:pStyle w:val="17"/>
        <w:numPr>
          <w:ilvl w:val="0"/>
          <w:numId w:val="2"/>
        </w:numPr>
        <w:spacing w:before="50" w:after="50"/>
      </w:pPr>
      <w:r>
        <w:rPr>
          <w:b/>
          <w:bCs/>
          <w:color w:val="2E4B2E"/>
          <w:sz w:val="19"/>
          <w:szCs w:val="19"/>
        </w:rPr>
        <w:t>Transfers:</w:t>
      </w:r>
      <w:r>
        <w:rPr>
          <w:rFonts w:hint="default"/>
          <w:b/>
          <w:bCs/>
          <w:color w:val="2E4B2E"/>
          <w:sz w:val="19"/>
          <w:szCs w:val="19"/>
          <w:lang w:val="en-ZA"/>
        </w:rPr>
        <w:t xml:space="preserve"> RTGS 1.5% </w:t>
      </w:r>
    </w:p>
    <w:p w14:paraId="6AF4A256">
      <w:pPr>
        <w:pStyle w:val="17"/>
        <w:numPr>
          <w:ilvl w:val="0"/>
          <w:numId w:val="2"/>
        </w:numPr>
        <w:spacing w:before="50" w:after="50"/>
      </w:pPr>
      <w:r>
        <w:rPr>
          <w:b/>
          <w:bCs/>
          <w:color w:val="2E4B2E"/>
          <w:sz w:val="19"/>
          <w:szCs w:val="19"/>
        </w:rPr>
        <w:t>Cash Withdrawal:</w:t>
      </w:r>
      <w:r>
        <w:rPr>
          <w:rFonts w:hint="default"/>
          <w:b/>
          <w:bCs/>
          <w:color w:val="2E4B2E"/>
          <w:sz w:val="19"/>
          <w:szCs w:val="19"/>
          <w:lang w:val="en-ZA"/>
        </w:rPr>
        <w:t xml:space="preserve"> 2% </w:t>
      </w:r>
    </w:p>
    <w:p w14:paraId="6012642B">
      <w:pPr>
        <w:pStyle w:val="17"/>
        <w:numPr>
          <w:ilvl w:val="0"/>
          <w:numId w:val="2"/>
        </w:numPr>
        <w:spacing w:before="50" w:after="50"/>
      </w:pPr>
      <w:r>
        <w:rPr>
          <w:b/>
          <w:bCs/>
          <w:color w:val="2E4B2E"/>
          <w:sz w:val="19"/>
          <w:szCs w:val="19"/>
        </w:rPr>
        <w:t>Other 1:</w:t>
      </w:r>
      <w:r>
        <w:rPr>
          <w:rFonts w:hint="default"/>
          <w:b/>
          <w:bCs/>
          <w:color w:val="2E4B2E"/>
          <w:sz w:val="19"/>
          <w:szCs w:val="19"/>
          <w:lang w:val="en-ZA"/>
        </w:rPr>
        <w:t xml:space="preserve"> bill payment charges 1% [USD] </w:t>
      </w:r>
    </w:p>
    <w:p w14:paraId="13F3FE85">
      <w:pPr>
        <w:pStyle w:val="17"/>
        <w:numPr>
          <w:ilvl w:val="0"/>
          <w:numId w:val="2"/>
        </w:numPr>
        <w:spacing w:before="50" w:after="50"/>
      </w:pPr>
      <w:r>
        <w:rPr>
          <w:b/>
          <w:bCs/>
          <w:color w:val="2E4B2E"/>
          <w:sz w:val="19"/>
          <w:szCs w:val="19"/>
        </w:rPr>
        <w:t>Other 2:</w:t>
      </w:r>
      <w:r>
        <w:rPr>
          <w:rFonts w:hint="default"/>
          <w:b/>
          <w:bCs/>
          <w:color w:val="2E4B2E"/>
          <w:sz w:val="19"/>
          <w:szCs w:val="19"/>
          <w:lang w:val="en-ZA"/>
        </w:rPr>
        <w:t xml:space="preserve"> bank to wallet 3% [USD] Flexi Express 2%, Flexi to Flexi charge 1%, Flexi/account to ecocash 1.5% </w:t>
      </w:r>
    </w:p>
    <w:p w14:paraId="1448F12D">
      <w:pPr>
        <w:pStyle w:val="17"/>
        <w:numPr>
          <w:ilvl w:val="0"/>
          <w:numId w:val="1"/>
        </w:numPr>
        <w:spacing w:before="60" w:after="60"/>
        <w:ind w:left="360"/>
      </w:pPr>
      <w:r>
        <w:rPr>
          <w:b/>
          <w:bCs/>
          <w:color w:val="2E4B2E"/>
        </w:rPr>
        <w:t>Interest (if applicable):</w:t>
      </w:r>
      <w:r>
        <w:rPr>
          <w:rFonts w:hint="default"/>
          <w:b/>
          <w:bCs/>
          <w:color w:val="2E4B2E"/>
          <w:lang w:val="en-ZA"/>
        </w:rPr>
        <w:t xml:space="preserve"> n/a</w:t>
      </w:r>
    </w:p>
    <w:p w14:paraId="6C481FEC">
      <w:pPr>
        <w:spacing w:before="160"/>
      </w:pPr>
    </w:p>
    <w:p w14:paraId="06DA481E">
      <w:pPr>
        <w:pBdr>
          <w:bottom w:val="single" w:color="7CB342" w:sz="8" w:space="4"/>
        </w:pBdr>
        <w:spacing w:before="300" w:after="80"/>
      </w:pPr>
      <w:r>
        <w:rPr>
          <w:b/>
          <w:bCs/>
          <w:color w:val="33691E"/>
          <w:sz w:val="26"/>
          <w:szCs w:val="26"/>
        </w:rPr>
        <w:t>3.  Loan Product Conditions</w:t>
      </w:r>
    </w:p>
    <w:p w14:paraId="798D7DE8">
      <w:pPr>
        <w:spacing w:before="80" w:after="120"/>
      </w:pPr>
      <w:r>
        <w:rPr>
          <w:color w:val="777777"/>
        </w:rPr>
        <w:t>Only complete if applicable to this product.</w:t>
      </w:r>
    </w:p>
    <w:p w14:paraId="6D1D1CF0">
      <w:pPr>
        <w:ind w:left="3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2FF9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6CEAA475">
            <w:pPr>
              <w:jc w:val="center"/>
            </w:pPr>
            <w:r>
              <w:rPr>
                <w:b/>
                <w:bCs/>
                <w:color w:val="FFFFFF"/>
              </w:rPr>
              <w:t>Conditions</w:t>
            </w:r>
          </w:p>
        </w:tc>
        <w:tc>
          <w:tcPr>
            <w:tcW w:w="335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60725D80">
            <w:pPr>
              <w:jc w:val="center"/>
            </w:pPr>
            <w:r>
              <w:rPr>
                <w:b/>
                <w:bCs/>
                <w:color w:val="FFFFFF"/>
              </w:rPr>
              <w:t>Conventional Financing</w:t>
            </w:r>
          </w:p>
        </w:tc>
        <w:tc>
          <w:tcPr>
            <w:tcW w:w="335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19263710">
            <w:pPr>
              <w:jc w:val="center"/>
            </w:pPr>
            <w:r>
              <w:rPr>
                <w:b/>
                <w:bCs/>
                <w:color w:val="FFFFFF"/>
              </w:rPr>
              <w:t>Microfinance</w:t>
            </w:r>
          </w:p>
        </w:tc>
      </w:tr>
      <w:tr w14:paraId="0D5F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7EA6D242">
            <w:r>
              <w:rPr>
                <w:b/>
                <w:bCs/>
                <w:color w:val="2E4B2E"/>
                <w:sz w:val="19"/>
                <w:szCs w:val="19"/>
              </w:rPr>
              <w:t>Interest Rate</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1917148B">
            <w:pPr>
              <w:rPr>
                <w:rFonts w:hint="default"/>
                <w:lang w:val="en-ZA"/>
              </w:rPr>
            </w:pPr>
            <w:r>
              <w:rPr>
                <w:rFonts w:hint="default"/>
                <w:lang w:val="en-ZA"/>
              </w:rPr>
              <w:t xml:space="preserve">16.5% </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646FE316">
            <w:pPr>
              <w:rPr>
                <w:rFonts w:hint="default"/>
                <w:lang w:val="en-ZA"/>
              </w:rPr>
            </w:pPr>
            <w:r>
              <w:rPr>
                <w:rFonts w:hint="default"/>
                <w:lang w:val="en-ZA"/>
              </w:rPr>
              <w:t>21%</w:t>
            </w:r>
          </w:p>
        </w:tc>
      </w:tr>
      <w:tr w14:paraId="7F8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53EFE962">
            <w:r>
              <w:rPr>
                <w:b/>
                <w:bCs/>
                <w:color w:val="2E4B2E"/>
                <w:sz w:val="19"/>
                <w:szCs w:val="19"/>
              </w:rPr>
              <w:t>Loan Admin &amp; Establishment Fees</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1CE80184">
            <w:pPr>
              <w:rPr>
                <w:rFonts w:hint="default"/>
                <w:lang w:val="en-ZA"/>
              </w:rPr>
            </w:pPr>
            <w:r>
              <w:rPr>
                <w:rFonts w:hint="default"/>
                <w:lang w:val="en-ZA"/>
              </w:rPr>
              <w:t>4.2%</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2DF46DA3">
            <w:pPr>
              <w:rPr>
                <w:rFonts w:hint="default"/>
                <w:lang w:val="en-ZA"/>
              </w:rPr>
            </w:pPr>
            <w:r>
              <w:rPr>
                <w:rFonts w:hint="default"/>
                <w:lang w:val="en-ZA"/>
              </w:rPr>
              <w:t>4.2%</w:t>
            </w:r>
          </w:p>
        </w:tc>
      </w:tr>
      <w:tr w14:paraId="56FF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7A80B0A6">
            <w:r>
              <w:rPr>
                <w:b/>
                <w:bCs/>
                <w:color w:val="2E4B2E"/>
                <w:sz w:val="19"/>
                <w:szCs w:val="19"/>
              </w:rPr>
              <w:t>Tenure</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05A07857">
            <w:pPr>
              <w:rPr>
                <w:rFonts w:hint="default"/>
                <w:lang w:val="en-ZA"/>
              </w:rPr>
            </w:pPr>
            <w:r>
              <w:rPr>
                <w:rFonts w:hint="default"/>
                <w:lang w:val="en-ZA"/>
              </w:rPr>
              <w:t>24</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309487D2">
            <w:pPr>
              <w:rPr>
                <w:rFonts w:hint="default"/>
                <w:lang w:val="en-ZA"/>
              </w:rPr>
            </w:pPr>
            <w:r>
              <w:rPr>
                <w:rFonts w:hint="default"/>
                <w:lang w:val="en-ZA"/>
              </w:rPr>
              <w:t>24</w:t>
            </w:r>
          </w:p>
        </w:tc>
      </w:tr>
      <w:tr w14:paraId="1DD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48877026">
            <w:r>
              <w:rPr>
                <w:b/>
                <w:bCs/>
                <w:color w:val="2E4B2E"/>
                <w:sz w:val="19"/>
                <w:szCs w:val="19"/>
              </w:rPr>
              <w:t>Max Loan Amount</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458BC8AC">
            <w:pPr>
              <w:rPr>
                <w:rFonts w:hint="default"/>
                <w:lang w:val="en-ZA"/>
              </w:rPr>
            </w:pPr>
            <w:r>
              <w:rPr>
                <w:rFonts w:hint="default"/>
                <w:lang w:val="en-ZA"/>
              </w:rPr>
              <w:t>2500</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12AC175C">
            <w:pPr>
              <w:rPr>
                <w:rFonts w:hint="default"/>
                <w:lang w:val="en-ZA"/>
              </w:rPr>
            </w:pPr>
            <w:r>
              <w:rPr>
                <w:rFonts w:hint="default"/>
                <w:lang w:val="en-ZA"/>
              </w:rPr>
              <w:t>2000</w:t>
            </w:r>
          </w:p>
        </w:tc>
      </w:tr>
      <w:tr w14:paraId="6CC7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0BECCECE">
            <w:r>
              <w:rPr>
                <w:b/>
                <w:bCs/>
                <w:color w:val="2E4B2E"/>
                <w:sz w:val="19"/>
                <w:szCs w:val="19"/>
              </w:rPr>
              <w:t>Repayment Method</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3E66E926">
            <w:pPr>
              <w:rPr>
                <w:rFonts w:hint="default"/>
                <w:lang w:val="en-ZA"/>
              </w:rPr>
            </w:pPr>
            <w:r>
              <w:rPr>
                <w:rFonts w:hint="default"/>
                <w:lang w:val="en-ZA"/>
              </w:rPr>
              <w:t xml:space="preserve">Reducing balance </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5B4CD2B5">
            <w:r>
              <w:rPr>
                <w:rFonts w:hint="default"/>
                <w:lang w:val="en-ZA"/>
              </w:rPr>
              <w:t xml:space="preserve">Reducing balance </w:t>
            </w:r>
          </w:p>
        </w:tc>
      </w:tr>
    </w:tbl>
    <w:p w14:paraId="42D1607B">
      <w:pPr>
        <w:spacing w:before="160"/>
      </w:pPr>
    </w:p>
    <w:p w14:paraId="6F4FA876">
      <w:pPr>
        <w:pBdr>
          <w:bottom w:val="single" w:color="7CB342" w:sz="8" w:space="4"/>
        </w:pBdr>
        <w:spacing w:before="300" w:after="80"/>
      </w:pPr>
      <w:r>
        <w:rPr>
          <w:b/>
          <w:bCs/>
          <w:color w:val="33691E"/>
          <w:sz w:val="26"/>
          <w:szCs w:val="26"/>
        </w:rPr>
        <w:t>4.  Value-Added Services &amp; Features</w:t>
      </w:r>
    </w:p>
    <w:p w14:paraId="794C7CA8">
      <w:pPr>
        <w:spacing w:before="80"/>
      </w:pPr>
    </w:p>
    <w:p w14:paraId="2E79145B">
      <w:pPr>
        <w:spacing w:before="100" w:after="60"/>
        <w:ind w:left="360"/>
      </w:pPr>
      <w:r>
        <w:rPr>
          <w:b/>
          <w:bCs/>
          <w:color w:val="7CB342"/>
          <w:sz w:val="22"/>
          <w:szCs w:val="22"/>
        </w:rPr>
        <w:t>Feature 1</w:t>
      </w:r>
    </w:p>
    <w:p w14:paraId="6429FD18">
      <w:pPr>
        <w:pStyle w:val="17"/>
        <w:numPr>
          <w:ilvl w:val="0"/>
          <w:numId w:val="1"/>
        </w:numPr>
        <w:spacing w:before="60" w:after="60"/>
        <w:ind w:left="720"/>
      </w:pPr>
      <w:r>
        <w:rPr>
          <w:b/>
          <w:bCs/>
          <w:color w:val="2E4B2E"/>
        </w:rPr>
        <w:t>Name:</w:t>
      </w:r>
      <w:r>
        <w:rPr>
          <w:rFonts w:hint="default"/>
          <w:b/>
          <w:bCs/>
          <w:color w:val="2E4B2E"/>
          <w:lang w:val="en-ZA"/>
        </w:rPr>
        <w:t xml:space="preserve"> Loan buyout options </w:t>
      </w:r>
    </w:p>
    <w:p w14:paraId="796C5ACF">
      <w:pPr>
        <w:pStyle w:val="17"/>
        <w:numPr>
          <w:ilvl w:val="0"/>
          <w:numId w:val="1"/>
        </w:numPr>
        <w:spacing w:before="60" w:after="60"/>
        <w:ind w:left="720"/>
      </w:pPr>
      <w:r>
        <w:rPr>
          <w:b/>
          <w:bCs/>
          <w:color w:val="2E4B2E"/>
        </w:rPr>
        <w:t>Description:</w:t>
      </w:r>
      <w:r>
        <w:rPr>
          <w:rFonts w:hint="default"/>
          <w:b/>
          <w:bCs/>
          <w:color w:val="2E4B2E"/>
          <w:lang w:val="en-ZA"/>
        </w:rPr>
        <w:t xml:space="preserve"> AFC can take over a customer’s existing loan from another bank, allowing the customer to consolidate their debt under AFC on better terms. This helps customers move high-cost or inconvenient loans into a more affordable and manageable facility. </w:t>
      </w:r>
    </w:p>
    <w:p w14:paraId="144C39F1">
      <w:pPr>
        <w:pStyle w:val="17"/>
        <w:numPr>
          <w:ilvl w:val="0"/>
          <w:numId w:val="1"/>
        </w:numPr>
        <w:spacing w:before="60" w:after="60"/>
        <w:ind w:left="720"/>
      </w:pPr>
      <w:r>
        <w:rPr>
          <w:b/>
          <w:bCs/>
          <w:color w:val="2E4B2E"/>
        </w:rPr>
        <w:t>Value Proposition:</w:t>
      </w:r>
      <w:r>
        <w:rPr>
          <w:rFonts w:hint="default"/>
          <w:b/>
          <w:bCs/>
          <w:color w:val="2E4B2E"/>
          <w:lang w:val="en-ZA"/>
        </w:rPr>
        <w:t xml:space="preserve"> Gives customers immediate financial relief through lower monthly repayments, simplified debt management, and the opportunity to switch to a more customer-friendly lender.</w:t>
      </w:r>
    </w:p>
    <w:p w14:paraId="1187C084">
      <w:pPr>
        <w:spacing w:before="60"/>
      </w:pPr>
    </w:p>
    <w:p w14:paraId="05A21DE5">
      <w:pPr>
        <w:spacing w:before="100" w:after="60"/>
        <w:ind w:left="360"/>
      </w:pPr>
      <w:r>
        <w:rPr>
          <w:b/>
          <w:bCs/>
          <w:color w:val="7CB342"/>
          <w:sz w:val="22"/>
          <w:szCs w:val="22"/>
        </w:rPr>
        <w:t>Feature 2</w:t>
      </w:r>
    </w:p>
    <w:p w14:paraId="0D3C7F35">
      <w:pPr>
        <w:pStyle w:val="17"/>
        <w:numPr>
          <w:ilvl w:val="0"/>
          <w:numId w:val="1"/>
        </w:numPr>
        <w:spacing w:before="60" w:after="60"/>
        <w:ind w:left="720"/>
      </w:pPr>
      <w:r>
        <w:rPr>
          <w:b/>
          <w:bCs/>
          <w:color w:val="2E4B2E"/>
        </w:rPr>
        <w:t>Name:</w:t>
      </w:r>
      <w:r>
        <w:rPr>
          <w:rFonts w:hint="default"/>
          <w:b/>
          <w:bCs/>
          <w:color w:val="2E4B2E"/>
          <w:lang w:val="en-ZA"/>
        </w:rPr>
        <w:t xml:space="preserve"> Mobile ATM</w:t>
      </w:r>
    </w:p>
    <w:p w14:paraId="7D35C8B2">
      <w:pPr>
        <w:pStyle w:val="17"/>
        <w:numPr>
          <w:ilvl w:val="0"/>
          <w:numId w:val="1"/>
        </w:numPr>
        <w:spacing w:before="60" w:after="60"/>
        <w:ind w:left="720"/>
      </w:pPr>
      <w:r>
        <w:rPr>
          <w:b/>
          <w:bCs/>
          <w:color w:val="2E4B2E"/>
        </w:rPr>
        <w:t>Description:</w:t>
      </w:r>
      <w:r>
        <w:rPr>
          <w:rFonts w:hint="default"/>
          <w:b/>
          <w:bCs/>
          <w:color w:val="2E4B2E"/>
          <w:lang w:val="en-ZA"/>
        </w:rPr>
        <w:t xml:space="preserve"> A mobile cash access service that brings ATM or assisted withdrawal services closer to customers through scheduled visits to workplaces, communities, or strategic service points. This is especially useful in areas with limited branch or ATM access.</w:t>
      </w:r>
    </w:p>
    <w:p w14:paraId="06A20EC0">
      <w:pPr>
        <w:pStyle w:val="17"/>
        <w:numPr>
          <w:ilvl w:val="0"/>
          <w:numId w:val="1"/>
        </w:numPr>
        <w:spacing w:before="60" w:after="60"/>
        <w:ind w:left="720"/>
      </w:pPr>
      <w:r>
        <w:rPr>
          <w:b/>
          <w:bCs/>
          <w:color w:val="2E4B2E"/>
        </w:rPr>
        <w:t>Value Proposition:</w:t>
      </w:r>
      <w:r>
        <w:rPr>
          <w:rFonts w:hint="default"/>
          <w:b/>
          <w:bCs/>
          <w:color w:val="2E4B2E"/>
          <w:lang w:val="en-ZA"/>
        </w:rPr>
        <w:t xml:space="preserve"> Improves convenience and accessibility by bringing banking services closer to customers, reducing travel time, queue pressure, and dependence on distant branches or ATMs.</w:t>
      </w:r>
    </w:p>
    <w:p w14:paraId="56E8A028">
      <w:pPr>
        <w:spacing w:before="60"/>
      </w:pPr>
    </w:p>
    <w:p w14:paraId="73AFD2EA">
      <w:pPr>
        <w:spacing w:before="100" w:after="60"/>
        <w:ind w:left="360"/>
      </w:pPr>
      <w:r>
        <w:rPr>
          <w:b/>
          <w:bCs/>
          <w:color w:val="7CB342"/>
          <w:sz w:val="22"/>
          <w:szCs w:val="22"/>
        </w:rPr>
        <w:t>Feature 3</w:t>
      </w:r>
    </w:p>
    <w:p w14:paraId="0FBD89DE">
      <w:pPr>
        <w:pStyle w:val="17"/>
        <w:numPr>
          <w:ilvl w:val="0"/>
          <w:numId w:val="1"/>
        </w:numPr>
        <w:spacing w:before="60" w:after="60"/>
        <w:ind w:left="720"/>
      </w:pPr>
      <w:r>
        <w:rPr>
          <w:b/>
          <w:bCs/>
          <w:color w:val="2E4B2E"/>
        </w:rPr>
        <w:t>Name:</w:t>
      </w:r>
      <w:r>
        <w:rPr>
          <w:rFonts w:hint="default"/>
          <w:b/>
          <w:bCs/>
          <w:color w:val="2E4B2E"/>
          <w:lang w:val="en-ZA"/>
        </w:rPr>
        <w:t xml:space="preserve"> Salary Advance</w:t>
      </w:r>
    </w:p>
    <w:p w14:paraId="7E3DCE23">
      <w:pPr>
        <w:pStyle w:val="17"/>
        <w:numPr>
          <w:ilvl w:val="0"/>
          <w:numId w:val="1"/>
        </w:numPr>
        <w:spacing w:before="60" w:after="60"/>
        <w:ind w:left="720"/>
      </w:pPr>
      <w:r>
        <w:rPr>
          <w:b/>
          <w:bCs/>
          <w:color w:val="2E4B2E"/>
        </w:rPr>
        <w:t>Description:</w:t>
      </w:r>
      <w:r>
        <w:rPr>
          <w:rFonts w:hint="default"/>
          <w:b/>
          <w:bCs/>
          <w:color w:val="2E4B2E"/>
          <w:lang w:val="en-ZA"/>
        </w:rPr>
        <w:t xml:space="preserve"> A short-term advance facility that allows eligible customers to access a portion of their expected salary before payday for urgent needs. Repayment is automatically deducted once the salary is credited.</w:t>
      </w:r>
    </w:p>
    <w:p w14:paraId="5A5F0CA2">
      <w:pPr>
        <w:pStyle w:val="17"/>
        <w:numPr>
          <w:ilvl w:val="0"/>
          <w:numId w:val="1"/>
        </w:numPr>
        <w:spacing w:before="60" w:after="60"/>
        <w:ind w:left="720"/>
      </w:pPr>
      <w:r>
        <w:rPr>
          <w:b/>
          <w:bCs/>
          <w:color w:val="2E4B2E"/>
        </w:rPr>
        <w:t>Value Proposition:</w:t>
      </w:r>
      <w:r>
        <w:rPr>
          <w:rFonts w:hint="default"/>
          <w:b/>
          <w:bCs/>
          <w:color w:val="2E4B2E"/>
          <w:lang w:val="en-ZA"/>
        </w:rPr>
        <w:t xml:space="preserve"> Provides quick access to emergency funds without forcing customers into expensive informal borrowing, while giving them a safe and reliable short-term liquidity solution.</w:t>
      </w:r>
    </w:p>
    <w:p w14:paraId="64288BFD">
      <w:pPr>
        <w:spacing w:before="60"/>
      </w:pPr>
    </w:p>
    <w:p w14:paraId="010AD6A7">
      <w:pPr>
        <w:spacing w:before="80"/>
      </w:pPr>
    </w:p>
    <w:p w14:paraId="3C8B24E7">
      <w:pPr>
        <w:pBdr>
          <w:bottom w:val="single" w:color="7CB342" w:sz="8" w:space="4"/>
        </w:pBdr>
        <w:spacing w:before="300" w:after="80"/>
      </w:pPr>
      <w:r>
        <w:rPr>
          <w:b/>
          <w:bCs/>
          <w:color w:val="33691E"/>
          <w:sz w:val="26"/>
          <w:szCs w:val="26"/>
        </w:rPr>
        <w:t>5.  Key Selling Points</w:t>
      </w:r>
    </w:p>
    <w:p w14:paraId="051D78E7">
      <w:pPr>
        <w:spacing w:before="80"/>
      </w:pPr>
    </w:p>
    <w:p w14:paraId="43EF522F">
      <w:pPr>
        <w:pStyle w:val="17"/>
        <w:numPr>
          <w:ilvl w:val="0"/>
          <w:numId w:val="3"/>
        </w:numPr>
        <w:spacing w:before="80" w:after="80"/>
        <w:ind w:left="360"/>
      </w:pPr>
      <w:r>
        <w:rPr>
          <w:rFonts w:hint="default"/>
        </w:rPr>
        <w:t>Immediate Financial Relief: Converts high-cost, unmanageable debt into a single, affordable repayment structure, providing instant cash flow relief for customers struggling under existing loan burdens.</w:t>
      </w:r>
    </w:p>
    <w:p w14:paraId="522DFE62">
      <w:pPr>
        <w:pStyle w:val="17"/>
        <w:numPr>
          <w:ilvl w:val="0"/>
          <w:numId w:val="3"/>
        </w:numPr>
        <w:spacing w:before="80" w:after="80"/>
        <w:ind w:left="360"/>
      </w:pPr>
      <w:r>
        <w:rPr>
          <w:rFonts w:hint="default"/>
        </w:rPr>
        <w:t>Unmatched Convenience for Underserved Segments: Brings safe, reliable cash access directly to Pensioners and remote Agricultural communities, eliminating the need for long, costly travel to distant branches or ATMs.</w:t>
      </w:r>
    </w:p>
    <w:p w14:paraId="15F7A42D">
      <w:pPr>
        <w:pStyle w:val="17"/>
        <w:numPr>
          <w:ilvl w:val="0"/>
          <w:numId w:val="3"/>
        </w:numPr>
        <w:spacing w:before="80" w:after="80"/>
        <w:ind w:left="360"/>
      </w:pPr>
      <w:r>
        <w:rPr>
          <w:rFonts w:hint="default"/>
        </w:rPr>
        <w:t>Protection Against Informal Lending: Offers a safe, transparent, and controlled alternative to expensive informal borrowing (loan sharks) for Civil Servants and salaried School staff who face cash flow gaps before payday.</w:t>
      </w:r>
    </w:p>
    <w:p w14:paraId="282AF3FD">
      <w:pPr>
        <w:spacing w:before="160"/>
      </w:pPr>
    </w:p>
    <w:p w14:paraId="7702F839">
      <w:pPr>
        <w:pBdr>
          <w:top w:val="single" w:color="DCEDC8" w:sz="4" w:space="4"/>
        </w:pBdr>
        <w:spacing w:before="16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Tex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589FF">
    <w:pPr>
      <w:pBdr>
        <w:top w:val="single" w:color="7CB342" w:sz="6" w:space="2"/>
      </w:pBdr>
      <w:jc w:val="center"/>
    </w:pPr>
    <w:r>
      <w:rPr>
        <w:color w:val="7CB342"/>
        <w:sz w:val="16"/>
        <w:szCs w:val="16"/>
      </w:rPr>
      <w:t xml:space="preserve">For Internal Use Only  •  AFC Commercial Bank  •  Page </w:t>
    </w:r>
    <w:r>
      <w:rPr>
        <w:color w:val="7CB342"/>
        <w:sz w:val="16"/>
        <w:szCs w:val="16"/>
      </w:rPr>
      <w:fldChar w:fldCharType="begin"/>
    </w:r>
    <w:r>
      <w:rPr>
        <w:color w:val="7CB342"/>
        <w:sz w:val="16"/>
        <w:szCs w:val="16"/>
      </w:rPr>
      <w:instrText xml:space="preserve">PAGE</w:instrText>
    </w:r>
    <w:r>
      <w:rPr>
        <w:color w:val="7CB342"/>
        <w:sz w:val="16"/>
        <w:szCs w:val="16"/>
      </w:rPr>
      <w:fldChar w:fldCharType="separate"/>
    </w:r>
    <w:r>
      <w:rPr>
        <w:color w:val="7CB342"/>
        <w:sz w:val="16"/>
        <w:szCs w:val="16"/>
      </w:rPr>
      <w:t>1</w:t>
    </w:r>
    <w:r>
      <w:rPr>
        <w:color w:val="7CB342"/>
        <w:sz w:val="16"/>
        <w:szCs w:val="16"/>
      </w:rPr>
      <w:fldChar w:fldCharType="end"/>
    </w:r>
    <w:r>
      <w:rPr>
        <w:color w:val="7CB342"/>
        <w:sz w:val="16"/>
        <w:szCs w:val="16"/>
      </w:rPr>
      <w:t xml:space="preserve"> of </w:t>
    </w:r>
    <w:r>
      <w:rPr>
        <w:color w:val="7CB342"/>
        <w:sz w:val="16"/>
        <w:szCs w:val="16"/>
      </w:rPr>
      <w:fldChar w:fldCharType="begin"/>
    </w:r>
    <w:r>
      <w:rPr>
        <w:color w:val="7CB342"/>
        <w:sz w:val="16"/>
        <w:szCs w:val="16"/>
      </w:rPr>
      <w:instrText xml:space="preserve">NUMPAGES</w:instrText>
    </w:r>
    <w:r>
      <w:rPr>
        <w:color w:val="7CB342"/>
        <w:sz w:val="16"/>
        <w:szCs w:val="16"/>
      </w:rPr>
      <w:fldChar w:fldCharType="separate"/>
    </w:r>
    <w:r>
      <w:rPr>
        <w:color w:val="7CB342"/>
        <w:sz w:val="16"/>
        <w:szCs w:val="16"/>
      </w:rPr>
      <w:t>2</w:t>
    </w:r>
    <w:r>
      <w:rPr>
        <w:color w:val="7CB34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9650B">
    <w:pPr>
      <w:pBdr>
        <w:bottom w:val="single" w:color="7CB342" w:sz="6" w:space="2"/>
      </w:pBdr>
      <w:jc w:val="right"/>
    </w:pPr>
    <w:r>
      <w:rPr>
        <w:color w:val="7CB342"/>
        <w:sz w:val="16"/>
        <w:szCs w:val="16"/>
      </w:rPr>
      <w:t>AFC Commercial Bank  |  Value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B5613"/>
    <w:multiLevelType w:val="multilevel"/>
    <w:tmpl w:val="1A9B5613"/>
    <w:lvl w:ilvl="0" w:tentative="0">
      <w:start w:val="1"/>
      <w:numFmt w:val="bullet"/>
      <w:lvlText w:val="○"/>
      <w:lvlJc w:val="left"/>
      <w:pPr>
        <w:ind w:left="90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CB262A4"/>
    <w:multiLevelType w:val="multilevel"/>
    <w:tmpl w:val="5CB262A4"/>
    <w:lvl w:ilvl="0" w:tentative="0">
      <w:start w:val="1"/>
      <w:numFmt w:val="bullet"/>
      <w:lvlText w:val="•"/>
      <w:lvlJc w:val="left"/>
      <w:pPr>
        <w:ind w:left="6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36733AB"/>
    <w:multiLevelType w:val="multilevel"/>
    <w:tmpl w:val="636733AB"/>
    <w:lvl w:ilvl="0" w:tentative="0">
      <w:start w:val="1"/>
      <w:numFmt w:val="bullet"/>
      <w:lvlText w:val="✦"/>
      <w:lvlJc w:val="left"/>
      <w:pPr>
        <w:ind w:left="6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0D"/>
    <w:rsid w:val="002635A1"/>
    <w:rsid w:val="00335D0D"/>
    <w:rsid w:val="00795C14"/>
    <w:rsid w:val="05FD70F4"/>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lang w:val="en-ZW" w:eastAsia="en-ZW" w:bidi="ar-SA"/>
    </w:rPr>
  </w:style>
  <w:style w:type="paragraph" w:styleId="2">
    <w:name w:val="heading 1"/>
    <w:qFormat/>
    <w:uiPriority w:val="0"/>
    <w:pPr>
      <w:outlineLvl w:val="0"/>
    </w:pPr>
    <w:rPr>
      <w:rFonts w:ascii="Arial" w:hAnsi="Arial" w:eastAsia="Arial" w:cs="Arial"/>
      <w:color w:val="2E74B5"/>
      <w:sz w:val="32"/>
      <w:szCs w:val="32"/>
      <w:lang w:val="en-ZW" w:eastAsia="en-ZW" w:bidi="ar-SA"/>
    </w:rPr>
  </w:style>
  <w:style w:type="paragraph" w:styleId="3">
    <w:name w:val="heading 2"/>
    <w:qFormat/>
    <w:uiPriority w:val="0"/>
    <w:pPr>
      <w:outlineLvl w:val="1"/>
    </w:pPr>
    <w:rPr>
      <w:rFonts w:ascii="Arial" w:hAnsi="Arial" w:eastAsia="Arial" w:cs="Arial"/>
      <w:color w:val="2E74B5"/>
      <w:sz w:val="26"/>
      <w:szCs w:val="26"/>
      <w:lang w:val="en-ZW" w:eastAsia="en-ZW" w:bidi="ar-SA"/>
    </w:rPr>
  </w:style>
  <w:style w:type="paragraph" w:styleId="4">
    <w:name w:val="heading 3"/>
    <w:qFormat/>
    <w:uiPriority w:val="0"/>
    <w:pPr>
      <w:outlineLvl w:val="2"/>
    </w:pPr>
    <w:rPr>
      <w:rFonts w:ascii="Arial" w:hAnsi="Arial" w:eastAsia="Arial" w:cs="Arial"/>
      <w:color w:val="1F4D78"/>
      <w:sz w:val="24"/>
      <w:szCs w:val="24"/>
      <w:lang w:val="en-ZW" w:eastAsia="en-ZW" w:bidi="ar-SA"/>
    </w:rPr>
  </w:style>
  <w:style w:type="paragraph" w:styleId="5">
    <w:name w:val="heading 4"/>
    <w:qFormat/>
    <w:uiPriority w:val="0"/>
    <w:pPr>
      <w:outlineLvl w:val="3"/>
    </w:pPr>
    <w:rPr>
      <w:rFonts w:ascii="Arial" w:hAnsi="Arial" w:eastAsia="Arial" w:cs="Arial"/>
      <w:i/>
      <w:iCs/>
      <w:color w:val="2E74B5"/>
      <w:lang w:val="en-ZW" w:eastAsia="en-ZW" w:bidi="ar-SA"/>
    </w:rPr>
  </w:style>
  <w:style w:type="paragraph" w:styleId="6">
    <w:name w:val="heading 5"/>
    <w:qFormat/>
    <w:uiPriority w:val="0"/>
    <w:pPr>
      <w:outlineLvl w:val="4"/>
    </w:pPr>
    <w:rPr>
      <w:rFonts w:ascii="Arial" w:hAnsi="Arial" w:eastAsia="Arial" w:cs="Arial"/>
      <w:color w:val="2E74B5"/>
      <w:lang w:val="en-ZW" w:eastAsia="en-ZW" w:bidi="ar-SA"/>
    </w:rPr>
  </w:style>
  <w:style w:type="paragraph" w:styleId="7">
    <w:name w:val="heading 6"/>
    <w:qFormat/>
    <w:uiPriority w:val="0"/>
    <w:pPr>
      <w:outlineLvl w:val="5"/>
    </w:pPr>
    <w:rPr>
      <w:rFonts w:ascii="Arial" w:hAnsi="Arial" w:eastAsia="Arial" w:cs="Arial"/>
      <w:color w:val="1F4D78"/>
      <w:lang w:val="en-ZW" w:eastAsia="en-ZW"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0"/>
    <w:unhideWhenUsed/>
    <w:qFormat/>
    <w:uiPriority w:val="99"/>
    <w:pPr>
      <w:tabs>
        <w:tab w:val="center" w:pos="4513"/>
        <w:tab w:val="right" w:pos="9026"/>
      </w:tabs>
    </w:pPr>
  </w:style>
  <w:style w:type="character" w:styleId="11">
    <w:name w:val="footnote reference"/>
    <w:semiHidden/>
    <w:unhideWhenUsed/>
    <w:qFormat/>
    <w:uiPriority w:val="99"/>
    <w:rPr>
      <w:vertAlign w:val="superscript"/>
    </w:rPr>
  </w:style>
  <w:style w:type="paragraph" w:styleId="12">
    <w:name w:val="footnote text"/>
    <w:link w:val="18"/>
    <w:semiHidden/>
    <w:unhideWhenUsed/>
    <w:qFormat/>
    <w:uiPriority w:val="99"/>
    <w:rPr>
      <w:rFonts w:ascii="Arial" w:hAnsi="Arial" w:eastAsia="Arial" w:cs="Arial"/>
      <w:color w:val="1A1A1A"/>
      <w:lang w:val="en-ZW" w:eastAsia="en-ZW" w:bidi="ar-SA"/>
    </w:rPr>
  </w:style>
  <w:style w:type="paragraph" w:styleId="13">
    <w:name w:val="header"/>
    <w:basedOn w:val="1"/>
    <w:link w:val="19"/>
    <w:unhideWhenUsed/>
    <w:qFormat/>
    <w:uiPriority w:val="99"/>
    <w:pPr>
      <w:tabs>
        <w:tab w:val="center" w:pos="4513"/>
        <w:tab w:val="right" w:pos="9026"/>
      </w:tabs>
    </w:p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lang w:val="en-ZW" w:eastAsia="en-ZW" w:bidi="ar-SA"/>
    </w:rPr>
  </w:style>
  <w:style w:type="paragraph" w:customStyle="1" w:styleId="16">
    <w:name w:val="Strong1"/>
    <w:qFormat/>
    <w:uiPriority w:val="0"/>
    <w:rPr>
      <w:rFonts w:ascii="Arial" w:hAnsi="Arial" w:eastAsia="Arial" w:cs="Arial"/>
      <w:b/>
      <w:bCs/>
      <w:color w:val="1A1A1A"/>
      <w:lang w:val="en-ZW" w:eastAsia="en-ZW" w:bidi="ar-SA"/>
    </w:rPr>
  </w:style>
  <w:style w:type="paragraph" w:styleId="17">
    <w:name w:val="List Paragraph"/>
    <w:qFormat/>
    <w:uiPriority w:val="0"/>
    <w:rPr>
      <w:rFonts w:ascii="Arial" w:hAnsi="Arial" w:eastAsia="Arial" w:cs="Arial"/>
      <w:color w:val="1A1A1A"/>
      <w:lang w:val="en-ZW" w:eastAsia="en-ZW" w:bidi="ar-SA"/>
    </w:rPr>
  </w:style>
  <w:style w:type="character" w:customStyle="1" w:styleId="18">
    <w:name w:val="Footnote Text Char"/>
    <w:link w:val="12"/>
    <w:semiHidden/>
    <w:unhideWhenUsed/>
    <w:qFormat/>
    <w:uiPriority w:val="99"/>
    <w:rPr>
      <w:sz w:val="20"/>
      <w:szCs w:val="20"/>
    </w:rPr>
  </w:style>
  <w:style w:type="character" w:customStyle="1" w:styleId="19">
    <w:name w:val="Header Char"/>
    <w:basedOn w:val="8"/>
    <w:link w:val="13"/>
    <w:qFormat/>
    <w:uiPriority w:val="99"/>
  </w:style>
  <w:style w:type="character" w:customStyle="1" w:styleId="20">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139</Words>
  <Characters>796</Characters>
  <Lines>6</Lines>
  <Paragraphs>1</Paragraphs>
  <TotalTime>64</TotalTime>
  <ScaleCrop>false</ScaleCrop>
  <LinksUpToDate>false</LinksUpToDate>
  <CharactersWithSpaces>934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2026-03-20T07:24:00Z</dcterms:created>
  <dc:creator>Un-named</dc:creator>
  <cp:lastModifiedBy>King_Arthur</cp:lastModifiedBy>
  <dcterms:modified xsi:type="dcterms:W3CDTF">2026-03-20T14:58:55Z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A428E1FFF27B4F63A2C54475469B1B32_13</vt:lpwstr>
  </property>
</Properties>
</file>