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BE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nil"/>
              <w:left w:val="nil"/>
              <w:bottom w:val="nil"/>
              <w:right w:val="nil"/>
            </w:tcBorders>
            <w:shd w:val="clear" w:color="auto" w:fill="33691E"/>
            <w:tcMar>
              <w:top w:w="200" w:type="dxa"/>
              <w:left w:w="300" w:type="dxa"/>
              <w:bottom w:w="200" w:type="dxa"/>
              <w:right w:w="300" w:type="dxa"/>
            </w:tcMar>
          </w:tcPr>
          <w:p w14:paraId="6D568A64">
            <w:pPr>
              <w:jc w:val="center"/>
            </w:pPr>
            <w:r>
              <w:rPr>
                <w:b/>
                <w:bCs/>
                <w:color w:val="FFFFFF"/>
                <w:sz w:val="36"/>
                <w:szCs w:val="36"/>
              </w:rPr>
              <w:t>AFC COMMERCIAL BANK</w:t>
            </w:r>
          </w:p>
          <w:p w14:paraId="3B7FF408">
            <w:pPr>
              <w:jc w:val="center"/>
            </w:pPr>
            <w:r>
              <w:rPr>
                <w:color w:val="DCEDC8"/>
                <w:sz w:val="24"/>
                <w:szCs w:val="24"/>
              </w:rPr>
              <w:t xml:space="preserve">BANKING PRODUCT </w:t>
            </w:r>
          </w:p>
        </w:tc>
      </w:tr>
    </w:tbl>
    <w:p w14:paraId="18E81D94">
      <w:pPr>
        <w:spacing w:before="160"/>
      </w:pPr>
    </w:p>
    <w:p w14:paraId="2DB4B022">
      <w:pPr>
        <w:pBdr>
          <w:bottom w:val="single" w:color="7CB342" w:sz="8" w:space="4"/>
        </w:pBdr>
        <w:spacing w:before="300" w:after="80"/>
      </w:pPr>
      <w:r>
        <w:rPr>
          <w:b/>
          <w:bCs/>
          <w:color w:val="33691E"/>
          <w:sz w:val="26"/>
          <w:szCs w:val="26"/>
        </w:rPr>
        <w:t>1.  Product Overview</w:t>
      </w:r>
    </w:p>
    <w:p w14:paraId="4A9736DD">
      <w:pPr>
        <w:spacing w:before="80"/>
      </w:pPr>
    </w:p>
    <w:p w14:paraId="1FBA8BF7">
      <w:pPr>
        <w:pStyle w:val="18"/>
        <w:numPr>
          <w:ilvl w:val="0"/>
          <w:numId w:val="1"/>
        </w:numPr>
        <w:spacing w:before="60" w:after="60"/>
        <w:ind w:left="360"/>
      </w:pPr>
      <w:r>
        <w:rPr>
          <w:b/>
          <w:bCs/>
          <w:color w:val="2E4B2E"/>
        </w:rPr>
        <w:t>Product Name:</w:t>
      </w:r>
      <w:r>
        <w:rPr>
          <w:rFonts w:hint="default"/>
          <w:b/>
          <w:bCs/>
          <w:color w:val="2E4B2E"/>
          <w:lang w:val="en-ZA"/>
        </w:rPr>
        <w:t xml:space="preserve"> AFC Pulse Account </w:t>
      </w:r>
    </w:p>
    <w:p w14:paraId="15DE4F7A">
      <w:pPr>
        <w:pStyle w:val="18"/>
        <w:numPr>
          <w:ilvl w:val="0"/>
          <w:numId w:val="1"/>
        </w:numPr>
        <w:spacing w:before="60" w:after="60"/>
        <w:ind w:left="360"/>
      </w:pPr>
      <w:r>
        <w:rPr>
          <w:b/>
          <w:bCs/>
          <w:color w:val="2E4B2E"/>
        </w:rPr>
        <w:t>Product Description:</w:t>
      </w:r>
      <w:r>
        <w:rPr>
          <w:rFonts w:hint="default"/>
          <w:b/>
          <w:bCs/>
          <w:color w:val="2E4B2E"/>
          <w:lang w:val="en-ZA"/>
        </w:rPr>
        <w:t xml:space="preserve"> A general kyc light account for gen z matching the current market offers with additional features that add value. </w:t>
      </w:r>
    </w:p>
    <w:p w14:paraId="735A2E18">
      <w:pPr>
        <w:pStyle w:val="18"/>
        <w:numPr>
          <w:ilvl w:val="0"/>
          <w:numId w:val="1"/>
        </w:numPr>
        <w:spacing w:before="60" w:after="60"/>
        <w:ind w:left="360"/>
      </w:pPr>
      <w:r>
        <w:rPr>
          <w:b/>
          <w:bCs/>
          <w:color w:val="2E4B2E"/>
        </w:rPr>
        <w:t>Customer Type:</w:t>
      </w:r>
    </w:p>
    <w:p w14:paraId="3EE029BD">
      <w:pPr>
        <w:spacing w:before="60" w:after="60"/>
        <w:ind w:left="720"/>
      </w:pPr>
      <w:r>
        <w:rPr>
          <w:color w:val="777777"/>
        </w:rPr>
        <w:t>(Individual)</w:t>
      </w:r>
    </w:p>
    <w:p w14:paraId="60BA0D32">
      <w:pPr>
        <w:pStyle w:val="18"/>
        <w:numPr>
          <w:ilvl w:val="0"/>
          <w:numId w:val="1"/>
        </w:numPr>
        <w:spacing w:before="60" w:after="60"/>
        <w:ind w:left="360"/>
      </w:pPr>
      <w:r>
        <w:rPr>
          <w:b/>
          <w:bCs/>
          <w:color w:val="2E4B2E"/>
        </w:rPr>
        <w:t>Customer Segment:</w:t>
      </w:r>
    </w:p>
    <w:p w14:paraId="191844F7">
      <w:pPr>
        <w:spacing w:before="60" w:after="60"/>
        <w:ind w:left="720"/>
      </w:pPr>
      <w:r>
        <w:rPr>
          <w:color w:val="777777"/>
        </w:rPr>
        <w:t>(Students,</w:t>
      </w:r>
      <w:r>
        <w:rPr>
          <w:rFonts w:hint="default"/>
          <w:color w:val="777777"/>
          <w:lang w:val="en-ZA"/>
        </w:rPr>
        <w:t xml:space="preserve"> Gen Z,</w:t>
      </w:r>
      <w:r>
        <w:rPr>
          <w:color w:val="777777"/>
        </w:rPr>
        <w:t>)</w:t>
      </w:r>
    </w:p>
    <w:p w14:paraId="2E9B73A1">
      <w:pPr>
        <w:pStyle w:val="18"/>
        <w:numPr>
          <w:ilvl w:val="0"/>
          <w:numId w:val="1"/>
        </w:numPr>
        <w:spacing w:before="60" w:after="60"/>
        <w:ind w:left="360"/>
      </w:pPr>
      <w:r>
        <w:rPr>
          <w:b/>
          <w:bCs/>
          <w:color w:val="2E4B2E"/>
        </w:rPr>
        <w:t>Primary Use Case(s):</w:t>
      </w:r>
    </w:p>
    <w:p w14:paraId="19723E5F">
      <w:pPr>
        <w:spacing w:before="60" w:after="60"/>
        <w:ind w:left="720"/>
      </w:pPr>
      <w:r>
        <w:rPr>
          <w:color w:val="777777"/>
        </w:rPr>
        <w:t>(Savings / Transactions / Payments)</w:t>
      </w:r>
    </w:p>
    <w:p w14:paraId="3C89144F">
      <w:pPr>
        <w:spacing w:before="160"/>
      </w:pPr>
    </w:p>
    <w:p w14:paraId="3471F8FC">
      <w:pPr>
        <w:pBdr>
          <w:bottom w:val="single" w:color="7CB342" w:sz="8" w:space="4"/>
        </w:pBdr>
        <w:spacing w:before="300" w:after="80"/>
      </w:pPr>
      <w:r>
        <w:rPr>
          <w:b/>
          <w:bCs/>
          <w:color w:val="33691E"/>
          <w:sz w:val="26"/>
          <w:szCs w:val="26"/>
        </w:rPr>
        <w:t>2.  Pricing &amp; Financial Conditions</w:t>
      </w:r>
    </w:p>
    <w:p w14:paraId="79A6CD52">
      <w:pPr>
        <w:spacing w:before="80"/>
      </w:pPr>
    </w:p>
    <w:p w14:paraId="6516980A">
      <w:pPr>
        <w:pStyle w:val="18"/>
        <w:numPr>
          <w:ilvl w:val="0"/>
          <w:numId w:val="1"/>
        </w:numPr>
        <w:spacing w:before="60" w:after="60"/>
        <w:ind w:left="360"/>
      </w:pPr>
      <w:r>
        <w:rPr>
          <w:b/>
          <w:bCs/>
          <w:color w:val="2E4B2E"/>
        </w:rPr>
        <w:t>Ledger Fees:</w:t>
      </w:r>
      <w:r>
        <w:rPr>
          <w:rFonts w:hint="default"/>
          <w:b/>
          <w:bCs/>
          <w:color w:val="2E4B2E"/>
          <w:lang w:val="en-ZA"/>
        </w:rPr>
        <w:t xml:space="preserve"> </w:t>
      </w:r>
      <w:bookmarkStart w:id="0" w:name="_GoBack"/>
      <w:bookmarkEnd w:id="0"/>
    </w:p>
    <w:p w14:paraId="400E294F">
      <w:pPr>
        <w:pStyle w:val="18"/>
        <w:numPr>
          <w:ilvl w:val="0"/>
          <w:numId w:val="1"/>
        </w:numPr>
        <w:spacing w:before="60" w:after="60"/>
        <w:ind w:left="360"/>
      </w:pPr>
      <w:r>
        <w:rPr>
          <w:b/>
          <w:bCs/>
          <w:color w:val="2E4B2E"/>
        </w:rPr>
        <w:t>Initial Deposit:</w:t>
      </w:r>
      <w:r>
        <w:rPr>
          <w:rFonts w:hint="default"/>
          <w:b/>
          <w:bCs/>
          <w:color w:val="2E4B2E"/>
          <w:lang w:val="en-ZA"/>
        </w:rPr>
        <w:t xml:space="preserve"> </w:t>
      </w:r>
    </w:p>
    <w:p w14:paraId="20F09783">
      <w:pPr>
        <w:pStyle w:val="18"/>
        <w:numPr>
          <w:ilvl w:val="0"/>
          <w:numId w:val="1"/>
        </w:numPr>
        <w:spacing w:before="60" w:after="60"/>
        <w:ind w:left="360"/>
      </w:pPr>
      <w:r>
        <w:rPr>
          <w:b/>
          <w:bCs/>
          <w:color w:val="2E4B2E"/>
        </w:rPr>
        <w:t>Minimum Balance:</w:t>
      </w:r>
      <w:r>
        <w:rPr>
          <w:rFonts w:hint="default"/>
          <w:b/>
          <w:bCs/>
          <w:color w:val="2E4B2E"/>
          <w:lang w:val="en-ZA"/>
        </w:rPr>
        <w:t xml:space="preserve"> </w:t>
      </w:r>
    </w:p>
    <w:p w14:paraId="6E56EA6A">
      <w:pPr>
        <w:pStyle w:val="18"/>
        <w:numPr>
          <w:ilvl w:val="0"/>
          <w:numId w:val="1"/>
        </w:numPr>
        <w:spacing w:before="60" w:after="60"/>
        <w:ind w:left="360"/>
      </w:pPr>
      <w:r>
        <w:rPr>
          <w:b/>
          <w:bCs/>
          <w:color w:val="2E4B2E"/>
        </w:rPr>
        <w:t>Transaction Fees:</w:t>
      </w:r>
      <w:r>
        <w:rPr>
          <w:rFonts w:hint="default"/>
          <w:b/>
          <w:bCs/>
          <w:color w:val="2E4B2E"/>
          <w:lang w:val="en-ZA"/>
        </w:rPr>
        <w:t xml:space="preserve"> </w:t>
      </w:r>
    </w:p>
    <w:p w14:paraId="16924CED">
      <w:pPr>
        <w:pStyle w:val="18"/>
        <w:numPr>
          <w:ilvl w:val="0"/>
          <w:numId w:val="2"/>
        </w:numPr>
        <w:spacing w:before="50" w:after="50"/>
      </w:pPr>
      <w:r>
        <w:rPr>
          <w:b/>
          <w:bCs/>
          <w:color w:val="2E4B2E"/>
          <w:sz w:val="19"/>
          <w:szCs w:val="19"/>
        </w:rPr>
        <w:t>Transfers:</w:t>
      </w:r>
    </w:p>
    <w:p w14:paraId="0C21CDF0">
      <w:pPr>
        <w:pStyle w:val="18"/>
        <w:numPr>
          <w:ilvl w:val="0"/>
          <w:numId w:val="2"/>
        </w:numPr>
        <w:spacing w:before="50" w:after="50"/>
      </w:pPr>
      <w:r>
        <w:rPr>
          <w:b/>
          <w:bCs/>
          <w:color w:val="2E4B2E"/>
          <w:sz w:val="19"/>
          <w:szCs w:val="19"/>
        </w:rPr>
        <w:t>Cash Withdrawal:</w:t>
      </w:r>
    </w:p>
    <w:p w14:paraId="7B8AFE0C">
      <w:pPr>
        <w:pStyle w:val="18"/>
        <w:numPr>
          <w:ilvl w:val="0"/>
          <w:numId w:val="2"/>
        </w:numPr>
        <w:spacing w:before="50" w:after="50"/>
      </w:pPr>
      <w:r>
        <w:rPr>
          <w:b/>
          <w:bCs/>
          <w:color w:val="2E4B2E"/>
          <w:sz w:val="19"/>
          <w:szCs w:val="19"/>
        </w:rPr>
        <w:t>Other 1:</w:t>
      </w:r>
    </w:p>
    <w:p w14:paraId="4442F03E">
      <w:pPr>
        <w:pStyle w:val="18"/>
        <w:numPr>
          <w:ilvl w:val="0"/>
          <w:numId w:val="2"/>
        </w:numPr>
        <w:spacing w:before="50" w:after="50"/>
      </w:pPr>
      <w:r>
        <w:rPr>
          <w:b/>
          <w:bCs/>
          <w:color w:val="2E4B2E"/>
          <w:sz w:val="19"/>
          <w:szCs w:val="19"/>
        </w:rPr>
        <w:t>Other 2:</w:t>
      </w:r>
    </w:p>
    <w:p w14:paraId="12AE23E0">
      <w:pPr>
        <w:pStyle w:val="18"/>
        <w:numPr>
          <w:ilvl w:val="0"/>
          <w:numId w:val="1"/>
        </w:numPr>
        <w:spacing w:before="60" w:after="60"/>
        <w:ind w:left="360"/>
      </w:pPr>
      <w:r>
        <w:rPr>
          <w:b/>
          <w:bCs/>
          <w:color w:val="2E4B2E"/>
        </w:rPr>
        <w:t>Interest (if applicable):</w:t>
      </w:r>
    </w:p>
    <w:p w14:paraId="753E25FF">
      <w:pPr>
        <w:spacing w:before="160"/>
      </w:pPr>
    </w:p>
    <w:p w14:paraId="0E0F355E">
      <w:pPr>
        <w:pBdr>
          <w:bottom w:val="single" w:color="7CB342" w:sz="8" w:space="4"/>
        </w:pBdr>
        <w:spacing w:before="300" w:after="80"/>
      </w:pPr>
      <w:r>
        <w:rPr>
          <w:b/>
          <w:bCs/>
          <w:color w:val="33691E"/>
          <w:sz w:val="26"/>
          <w:szCs w:val="26"/>
        </w:rPr>
        <w:t xml:space="preserve">3.  </w:t>
      </w:r>
      <w:r>
        <w:rPr>
          <w:rFonts w:hint="default"/>
          <w:b/>
          <w:bCs/>
          <w:color w:val="33691E"/>
          <w:sz w:val="26"/>
          <w:szCs w:val="26"/>
          <w:lang w:val="en-ZA"/>
        </w:rPr>
        <w:t xml:space="preserve">Micro </w:t>
      </w:r>
      <w:r>
        <w:rPr>
          <w:b/>
          <w:bCs/>
          <w:color w:val="33691E"/>
          <w:sz w:val="26"/>
          <w:szCs w:val="26"/>
        </w:rPr>
        <w:t>Loan Product Conditions</w:t>
      </w:r>
    </w:p>
    <w:p w14:paraId="58F22EE3">
      <w:pPr>
        <w:spacing w:before="80" w:after="120"/>
      </w:pPr>
      <w:r>
        <w:rPr>
          <w:color w:val="777777"/>
        </w:rPr>
        <w:t>Only complete if applicable to this product.</w:t>
      </w:r>
    </w:p>
    <w:p w14:paraId="3BC7DE0F">
      <w:pPr>
        <w:ind w:left="36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7A34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4A8A4A" w:sz="4" w:space="0"/>
              <w:left w:val="single" w:color="4A8A4A" w:sz="4" w:space="0"/>
              <w:bottom w:val="single" w:color="4A8A4A" w:sz="4" w:space="0"/>
              <w:right w:val="single" w:color="4A8A4A" w:sz="4" w:space="0"/>
            </w:tcBorders>
            <w:shd w:val="clear" w:color="auto" w:fill="7CB342"/>
            <w:tcMar>
              <w:top w:w="100" w:type="dxa"/>
              <w:left w:w="150" w:type="dxa"/>
              <w:bottom w:w="100" w:type="dxa"/>
              <w:right w:w="150" w:type="dxa"/>
            </w:tcMar>
            <w:vAlign w:val="center"/>
          </w:tcPr>
          <w:p w14:paraId="091347EA">
            <w:pPr>
              <w:jc w:val="center"/>
            </w:pPr>
            <w:r>
              <w:rPr>
                <w:b/>
                <w:bCs/>
                <w:color w:val="FFFFFF"/>
              </w:rPr>
              <w:t>Conditions</w:t>
            </w:r>
          </w:p>
        </w:tc>
        <w:tc>
          <w:tcPr>
            <w:tcW w:w="3350" w:type="dxa"/>
            <w:tcBorders>
              <w:top w:val="single" w:color="4A8A4A" w:sz="4" w:space="0"/>
              <w:left w:val="single" w:color="4A8A4A" w:sz="4" w:space="0"/>
              <w:bottom w:val="single" w:color="4A8A4A" w:sz="4" w:space="0"/>
              <w:right w:val="single" w:color="4A8A4A" w:sz="4" w:space="0"/>
            </w:tcBorders>
            <w:shd w:val="clear" w:color="auto" w:fill="7CB342"/>
            <w:tcMar>
              <w:top w:w="100" w:type="dxa"/>
              <w:left w:w="150" w:type="dxa"/>
              <w:bottom w:w="100" w:type="dxa"/>
              <w:right w:w="150" w:type="dxa"/>
            </w:tcMar>
            <w:vAlign w:val="center"/>
          </w:tcPr>
          <w:p w14:paraId="523131BB">
            <w:pPr>
              <w:jc w:val="center"/>
            </w:pPr>
            <w:r>
              <w:rPr>
                <w:b/>
                <w:bCs/>
                <w:color w:val="FFFFFF"/>
              </w:rPr>
              <w:t>Conventional Financing</w:t>
            </w:r>
          </w:p>
        </w:tc>
        <w:tc>
          <w:tcPr>
            <w:tcW w:w="3350" w:type="dxa"/>
            <w:tcBorders>
              <w:top w:val="single" w:color="4A8A4A" w:sz="4" w:space="0"/>
              <w:left w:val="single" w:color="4A8A4A" w:sz="4" w:space="0"/>
              <w:bottom w:val="single" w:color="4A8A4A" w:sz="4" w:space="0"/>
              <w:right w:val="single" w:color="4A8A4A" w:sz="4" w:space="0"/>
            </w:tcBorders>
            <w:shd w:val="clear" w:color="auto" w:fill="7CB342"/>
            <w:tcMar>
              <w:top w:w="100" w:type="dxa"/>
              <w:left w:w="150" w:type="dxa"/>
              <w:bottom w:w="100" w:type="dxa"/>
              <w:right w:w="150" w:type="dxa"/>
            </w:tcMar>
            <w:vAlign w:val="center"/>
          </w:tcPr>
          <w:p w14:paraId="37143785">
            <w:pPr>
              <w:jc w:val="center"/>
            </w:pPr>
            <w:r>
              <w:rPr>
                <w:b/>
                <w:bCs/>
                <w:color w:val="FFFFFF"/>
              </w:rPr>
              <w:t>Microfinance</w:t>
            </w:r>
          </w:p>
        </w:tc>
      </w:tr>
      <w:tr w14:paraId="30DB4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7E079CD4">
            <w:r>
              <w:rPr>
                <w:b/>
                <w:bCs/>
                <w:color w:val="2E4B2E"/>
                <w:sz w:val="19"/>
                <w:szCs w:val="19"/>
              </w:rPr>
              <w:t>Interest Rate</w:t>
            </w:r>
          </w:p>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26C6C68A"/>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707C30DD"/>
        </w:tc>
      </w:tr>
      <w:tr w14:paraId="76BC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3E475DBF">
            <w:r>
              <w:rPr>
                <w:b/>
                <w:bCs/>
                <w:color w:val="2E4B2E"/>
                <w:sz w:val="19"/>
                <w:szCs w:val="19"/>
              </w:rPr>
              <w:t>Loan Admin &amp; Establishment Fees</w:t>
            </w:r>
          </w:p>
        </w:tc>
        <w:tc>
          <w:tcPr>
            <w:tcW w:w="3350" w:type="dxa"/>
            <w:tcBorders>
              <w:top w:val="single" w:color="A5D6A7" w:sz="4" w:space="0"/>
              <w:left w:val="single" w:color="A5D6A7" w:sz="4" w:space="0"/>
              <w:bottom w:val="single" w:color="A5D6A7" w:sz="4" w:space="0"/>
              <w:right w:val="single" w:color="A5D6A7" w:sz="4" w:space="0"/>
            </w:tcBorders>
            <w:shd w:val="clear" w:color="auto" w:fill="F6FBF0"/>
            <w:tcMar>
              <w:top w:w="80" w:type="dxa"/>
              <w:left w:w="150" w:type="dxa"/>
              <w:bottom w:w="80" w:type="dxa"/>
              <w:right w:w="150" w:type="dxa"/>
            </w:tcMar>
          </w:tcPr>
          <w:p w14:paraId="6CF05A1D"/>
        </w:tc>
        <w:tc>
          <w:tcPr>
            <w:tcW w:w="3350" w:type="dxa"/>
            <w:tcBorders>
              <w:top w:val="single" w:color="A5D6A7" w:sz="4" w:space="0"/>
              <w:left w:val="single" w:color="A5D6A7" w:sz="4" w:space="0"/>
              <w:bottom w:val="single" w:color="A5D6A7" w:sz="4" w:space="0"/>
              <w:right w:val="single" w:color="A5D6A7" w:sz="4" w:space="0"/>
            </w:tcBorders>
            <w:shd w:val="clear" w:color="auto" w:fill="F6FBF0"/>
            <w:tcMar>
              <w:top w:w="80" w:type="dxa"/>
              <w:left w:w="150" w:type="dxa"/>
              <w:bottom w:w="80" w:type="dxa"/>
              <w:right w:w="150" w:type="dxa"/>
            </w:tcMar>
          </w:tcPr>
          <w:p w14:paraId="70E4EE3B"/>
        </w:tc>
      </w:tr>
      <w:tr w14:paraId="21D83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59F42F4E">
            <w:r>
              <w:rPr>
                <w:b/>
                <w:bCs/>
                <w:color w:val="2E4B2E"/>
                <w:sz w:val="19"/>
                <w:szCs w:val="19"/>
              </w:rPr>
              <w:t>Tenure</w:t>
            </w:r>
          </w:p>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794B3BE2"/>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7C6DD052"/>
        </w:tc>
      </w:tr>
      <w:tr w14:paraId="0469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25A063F2">
            <w:r>
              <w:rPr>
                <w:b/>
                <w:bCs/>
                <w:color w:val="2E4B2E"/>
                <w:sz w:val="19"/>
                <w:szCs w:val="19"/>
              </w:rPr>
              <w:t>Max Loan Amount</w:t>
            </w:r>
          </w:p>
        </w:tc>
        <w:tc>
          <w:tcPr>
            <w:tcW w:w="3350" w:type="dxa"/>
            <w:tcBorders>
              <w:top w:val="single" w:color="A5D6A7" w:sz="4" w:space="0"/>
              <w:left w:val="single" w:color="A5D6A7" w:sz="4" w:space="0"/>
              <w:bottom w:val="single" w:color="A5D6A7" w:sz="4" w:space="0"/>
              <w:right w:val="single" w:color="A5D6A7" w:sz="4" w:space="0"/>
            </w:tcBorders>
            <w:shd w:val="clear" w:color="auto" w:fill="F6FBF0"/>
            <w:tcMar>
              <w:top w:w="80" w:type="dxa"/>
              <w:left w:w="150" w:type="dxa"/>
              <w:bottom w:w="80" w:type="dxa"/>
              <w:right w:w="150" w:type="dxa"/>
            </w:tcMar>
          </w:tcPr>
          <w:p w14:paraId="6EB0062A"/>
        </w:tc>
        <w:tc>
          <w:tcPr>
            <w:tcW w:w="3350" w:type="dxa"/>
            <w:tcBorders>
              <w:top w:val="single" w:color="A5D6A7" w:sz="4" w:space="0"/>
              <w:left w:val="single" w:color="A5D6A7" w:sz="4" w:space="0"/>
              <w:bottom w:val="single" w:color="A5D6A7" w:sz="4" w:space="0"/>
              <w:right w:val="single" w:color="A5D6A7" w:sz="4" w:space="0"/>
            </w:tcBorders>
            <w:shd w:val="clear" w:color="auto" w:fill="F6FBF0"/>
            <w:tcMar>
              <w:top w:w="80" w:type="dxa"/>
              <w:left w:w="150" w:type="dxa"/>
              <w:bottom w:w="80" w:type="dxa"/>
              <w:right w:w="150" w:type="dxa"/>
            </w:tcMar>
          </w:tcPr>
          <w:p w14:paraId="622695C0"/>
        </w:tc>
      </w:tr>
      <w:tr w14:paraId="7565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A5D6A7" w:sz="4" w:space="0"/>
              <w:left w:val="single" w:color="A5D6A7" w:sz="4" w:space="0"/>
              <w:bottom w:val="single" w:color="A5D6A7" w:sz="4" w:space="0"/>
              <w:right w:val="single" w:color="A5D6A7" w:sz="4" w:space="0"/>
            </w:tcBorders>
            <w:shd w:val="clear" w:color="auto" w:fill="DCEDC8"/>
            <w:tcMar>
              <w:top w:w="80" w:type="dxa"/>
              <w:left w:w="150" w:type="dxa"/>
              <w:bottom w:w="80" w:type="dxa"/>
              <w:right w:w="150" w:type="dxa"/>
            </w:tcMar>
          </w:tcPr>
          <w:p w14:paraId="25B31906">
            <w:r>
              <w:rPr>
                <w:b/>
                <w:bCs/>
                <w:color w:val="2E4B2E"/>
                <w:sz w:val="19"/>
                <w:szCs w:val="19"/>
              </w:rPr>
              <w:t>Repayment Method</w:t>
            </w:r>
          </w:p>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596E9A82"/>
        </w:tc>
        <w:tc>
          <w:tcPr>
            <w:tcW w:w="3350" w:type="dxa"/>
            <w:tcBorders>
              <w:top w:val="single" w:color="A5D6A7" w:sz="4" w:space="0"/>
              <w:left w:val="single" w:color="A5D6A7" w:sz="4" w:space="0"/>
              <w:bottom w:val="single" w:color="A5D6A7" w:sz="4" w:space="0"/>
              <w:right w:val="single" w:color="A5D6A7" w:sz="4" w:space="0"/>
            </w:tcBorders>
            <w:shd w:val="clear" w:color="auto" w:fill="FFFFFF"/>
            <w:tcMar>
              <w:top w:w="80" w:type="dxa"/>
              <w:left w:w="150" w:type="dxa"/>
              <w:bottom w:w="80" w:type="dxa"/>
              <w:right w:w="150" w:type="dxa"/>
            </w:tcMar>
          </w:tcPr>
          <w:p w14:paraId="14412E8C"/>
        </w:tc>
      </w:tr>
    </w:tbl>
    <w:p w14:paraId="755C8E5A">
      <w:pPr>
        <w:spacing w:before="160"/>
      </w:pPr>
    </w:p>
    <w:p w14:paraId="757549A4">
      <w:pPr>
        <w:pBdr>
          <w:bottom w:val="single" w:color="7CB342" w:sz="8" w:space="4"/>
        </w:pBdr>
        <w:spacing w:before="300" w:after="80"/>
      </w:pPr>
      <w:r>
        <w:rPr>
          <w:b/>
          <w:bCs/>
          <w:color w:val="33691E"/>
          <w:sz w:val="26"/>
          <w:szCs w:val="26"/>
        </w:rPr>
        <w:t>4.  Value-Added Services &amp; Features</w:t>
      </w:r>
    </w:p>
    <w:p w14:paraId="5890E218">
      <w:pPr>
        <w:spacing w:before="80"/>
      </w:pPr>
    </w:p>
    <w:p w14:paraId="7DC2313A">
      <w:pPr>
        <w:spacing w:before="100" w:after="60"/>
        <w:ind w:left="360"/>
      </w:pPr>
      <w:r>
        <w:rPr>
          <w:b/>
          <w:bCs/>
          <w:color w:val="7CB342"/>
          <w:sz w:val="22"/>
          <w:szCs w:val="22"/>
        </w:rPr>
        <w:t>Feature 1</w:t>
      </w:r>
    </w:p>
    <w:p w14:paraId="0D52392E">
      <w:pPr>
        <w:pStyle w:val="18"/>
        <w:numPr>
          <w:ilvl w:val="0"/>
          <w:numId w:val="1"/>
        </w:numPr>
        <w:spacing w:before="60" w:after="60"/>
        <w:ind w:left="720"/>
      </w:pPr>
      <w:r>
        <w:rPr>
          <w:b/>
          <w:bCs/>
          <w:color w:val="2E4B2E"/>
        </w:rPr>
        <w:t>Name:</w:t>
      </w:r>
      <w:r>
        <w:rPr>
          <w:rFonts w:hint="default"/>
          <w:b/>
          <w:bCs/>
          <w:color w:val="2E4B2E"/>
          <w:lang w:val="en-ZA"/>
        </w:rPr>
        <w:t xml:space="preserve"> Hustler account </w:t>
      </w:r>
    </w:p>
    <w:p w14:paraId="3A40DE04">
      <w:pPr>
        <w:pStyle w:val="18"/>
        <w:numPr>
          <w:ilvl w:val="0"/>
          <w:numId w:val="1"/>
        </w:numPr>
        <w:spacing w:before="60" w:after="60"/>
        <w:ind w:left="720"/>
      </w:pPr>
      <w:r>
        <w:rPr>
          <w:b/>
          <w:bCs/>
          <w:color w:val="2E4B2E"/>
        </w:rPr>
        <w:t>Description:</w:t>
      </w:r>
      <w:r>
        <w:rPr>
          <w:rFonts w:hint="default"/>
          <w:b/>
          <w:bCs/>
          <w:color w:val="2E4B2E"/>
          <w:lang w:val="en-ZA"/>
        </w:rPr>
        <w:t xml:space="preserve"> </w:t>
      </w:r>
      <w:r>
        <w:rPr>
          <w:rFonts w:hint="default" w:ascii="Calibri" w:hAnsi="Calibri"/>
          <w:sz w:val="21"/>
          <w:szCs w:val="21"/>
        </w:rPr>
        <w:t>A youth‑focused transactional and business account designed specifically for Gen Z entrepreneurs, freelancers, and side hustlers. The account combines everyday banking with a suite of embedded business tools—including instant payment acceptance, micro business loans, and integrated invoicing—so users can manage both their personal finances and their hustle from one place. Unlike traditional accounts that only store and move money, the Hustler Account enables users to earn income directly through the platform, access working capital tailored to irregular cash flows, and track business performance with simple dashboards. Whether selling products, offering services, or building a creative brand, users get the tools they need to start, run, and grow their business without needing a separate business bank account.</w:t>
      </w:r>
    </w:p>
    <w:p w14:paraId="35130F3E">
      <w:pPr>
        <w:pStyle w:val="18"/>
        <w:numPr>
          <w:ilvl w:val="0"/>
          <w:numId w:val="1"/>
        </w:numPr>
        <w:spacing w:before="60" w:after="60"/>
        <w:ind w:left="720"/>
      </w:pPr>
      <w:r>
        <w:rPr>
          <w:b/>
          <w:bCs/>
          <w:color w:val="2E4B2E"/>
        </w:rPr>
        <w:t>Value Proposition:</w:t>
      </w:r>
      <w:r>
        <w:rPr>
          <w:rFonts w:hint="default"/>
          <w:b/>
          <w:bCs/>
          <w:color w:val="2E4B2E"/>
          <w:lang w:val="en-ZA"/>
        </w:rPr>
        <w:t xml:space="preserve"> </w:t>
      </w:r>
      <w:r>
        <w:rPr>
          <w:rFonts w:hint="default" w:ascii="Calibri" w:hAnsi="Calibri"/>
          <w:sz w:val="21"/>
          <w:szCs w:val="21"/>
        </w:rPr>
        <w:t>Turns a bank account into a launchpad for earning. Users can accept payments seamlessly, access flexible credit based on real transaction activity, and gain visibility into their business health—all while keeping costs low and complexity minimal. It empowers young entrepreneurs to focus on growing their hustle, not navigating banking red tape.</w:t>
      </w:r>
    </w:p>
    <w:p w14:paraId="0A436945">
      <w:pPr>
        <w:spacing w:before="60"/>
      </w:pPr>
    </w:p>
    <w:p w14:paraId="3B40C425">
      <w:pPr>
        <w:spacing w:before="100" w:after="60"/>
        <w:ind w:left="360"/>
      </w:pPr>
      <w:r>
        <w:rPr>
          <w:b/>
          <w:bCs/>
          <w:color w:val="7CB342"/>
          <w:sz w:val="22"/>
          <w:szCs w:val="22"/>
        </w:rPr>
        <w:t>Feature 2</w:t>
      </w:r>
    </w:p>
    <w:p w14:paraId="3DFE99A5">
      <w:pPr>
        <w:pStyle w:val="18"/>
        <w:numPr>
          <w:ilvl w:val="0"/>
          <w:numId w:val="1"/>
        </w:numPr>
        <w:spacing w:before="60" w:after="60"/>
        <w:ind w:left="720"/>
      </w:pPr>
      <w:r>
        <w:rPr>
          <w:b/>
          <w:bCs/>
          <w:color w:val="2E4B2E"/>
        </w:rPr>
        <w:t>Name:</w:t>
      </w:r>
      <w:r>
        <w:rPr>
          <w:rFonts w:hint="default"/>
          <w:b/>
          <w:bCs/>
          <w:color w:val="2E4B2E"/>
          <w:lang w:val="en-ZA"/>
        </w:rPr>
        <w:t xml:space="preserve"> Digital wallet </w:t>
      </w:r>
    </w:p>
    <w:p w14:paraId="35F6D6A5">
      <w:pPr>
        <w:pStyle w:val="18"/>
        <w:numPr>
          <w:ilvl w:val="0"/>
          <w:numId w:val="1"/>
        </w:numPr>
        <w:spacing w:before="60" w:after="60"/>
        <w:ind w:left="720"/>
      </w:pPr>
      <w:r>
        <w:rPr>
          <w:rFonts w:hint="default"/>
          <w:b/>
          <w:bCs/>
          <w:color w:val="2E4B2E"/>
          <w:lang w:val="en-ZA"/>
        </w:rPr>
        <w:t>D</w:t>
      </w:r>
      <w:r>
        <w:rPr>
          <w:b/>
          <w:bCs/>
          <w:color w:val="2E4B2E"/>
        </w:rPr>
        <w:t>escription:</w:t>
      </w:r>
      <w:r>
        <w:rPr>
          <w:rFonts w:hint="default"/>
          <w:b/>
          <w:bCs/>
          <w:color w:val="2E4B2E"/>
          <w:lang w:val="en-ZA"/>
        </w:rPr>
        <w:t xml:space="preserve"> </w:t>
      </w:r>
      <w:r>
        <w:rPr>
          <w:rFonts w:hint="default" w:ascii="Calibri" w:hAnsi="Calibri"/>
          <w:sz w:val="21"/>
          <w:szCs w:val="21"/>
        </w:rPr>
        <w:t>A specialised digital wallet built for content creators to seamlessly receive, manage, and grow income from their digital content. The wallet integrates directly with monetisation platforms, allowing creators to track earnings from views, brand deals, and fan support in one place. An embedded analytics dashboard provides real‑time performance metrics—such as engagement rates, revenue by platform, and audience growth trends—while a built‑in brand partnership marketplace connects creators with relevant sponsors. Creators earn automatic rewards based on verified engagement: $5 per 100,000 views on eligible content, with higher tier rates for top‑performing creators who consistently drive high engagement. The wallet also supports easy withdrawals, automated tax‑ready reporting, and tools to reinvest earnings back into content production.</w:t>
      </w:r>
    </w:p>
    <w:p w14:paraId="65336F68">
      <w:pPr>
        <w:pStyle w:val="18"/>
        <w:numPr>
          <w:ilvl w:val="0"/>
          <w:numId w:val="1"/>
        </w:numPr>
        <w:spacing w:before="60" w:after="60"/>
        <w:ind w:left="720"/>
        <w:rPr>
          <w:rFonts w:hint="default" w:ascii="Calibri" w:hAnsi="Calibri"/>
          <w:sz w:val="21"/>
          <w:szCs w:val="21"/>
        </w:rPr>
      </w:pPr>
      <w:r>
        <w:rPr>
          <w:b/>
          <w:bCs/>
          <w:color w:val="2E4B2E"/>
        </w:rPr>
        <w:t>Value Proposition:</w:t>
      </w:r>
      <w:r>
        <w:rPr>
          <w:rFonts w:hint="default"/>
          <w:b/>
          <w:bCs/>
          <w:color w:val="2E4B2E"/>
          <w:lang w:val="en-ZA"/>
        </w:rPr>
        <w:t xml:space="preserve"> </w:t>
      </w:r>
      <w:r>
        <w:rPr>
          <w:rFonts w:hint="default" w:ascii="Calibri" w:hAnsi="Calibri"/>
          <w:sz w:val="21"/>
          <w:szCs w:val="21"/>
        </w:rPr>
        <w:t>Turns creative influence into reliable, manageable income. Creators get clear visibility into what content pays, effortless reward earnings, and direct access to brand opportunities—all without juggling multiple platforms or chasing payments. The wallet simplifies monetisation so creators can focus on what they do best: creating.</w:t>
      </w:r>
    </w:p>
    <w:p w14:paraId="6B3C11A5">
      <w:pPr>
        <w:spacing w:before="60"/>
      </w:pPr>
    </w:p>
    <w:p w14:paraId="2230E1E5">
      <w:pPr>
        <w:spacing w:before="100" w:after="60"/>
        <w:ind w:left="360"/>
      </w:pPr>
      <w:r>
        <w:rPr>
          <w:b/>
          <w:bCs/>
          <w:color w:val="7CB342"/>
          <w:sz w:val="22"/>
          <w:szCs w:val="22"/>
        </w:rPr>
        <w:t>Feature 3</w:t>
      </w:r>
    </w:p>
    <w:p w14:paraId="4785614D">
      <w:pPr>
        <w:pStyle w:val="18"/>
        <w:numPr>
          <w:ilvl w:val="0"/>
          <w:numId w:val="1"/>
        </w:numPr>
        <w:spacing w:before="60" w:after="60"/>
        <w:ind w:left="720"/>
      </w:pPr>
      <w:r>
        <w:rPr>
          <w:b/>
          <w:bCs/>
          <w:color w:val="2E4B2E"/>
        </w:rPr>
        <w:t>Name:</w:t>
      </w:r>
      <w:r>
        <w:rPr>
          <w:rFonts w:hint="default"/>
          <w:b/>
          <w:bCs/>
          <w:color w:val="2E4B2E"/>
          <w:lang w:val="en-ZA"/>
        </w:rPr>
        <w:t xml:space="preserve"> AI Financial assistant </w:t>
      </w:r>
    </w:p>
    <w:p w14:paraId="32856C58">
      <w:pPr>
        <w:pStyle w:val="18"/>
        <w:numPr>
          <w:ilvl w:val="0"/>
          <w:numId w:val="1"/>
        </w:numPr>
        <w:spacing w:before="60" w:after="60"/>
        <w:ind w:left="720"/>
      </w:pPr>
      <w:r>
        <w:rPr>
          <w:b/>
          <w:bCs/>
          <w:color w:val="2E4B2E"/>
        </w:rPr>
        <w:t>Description:</w:t>
      </w:r>
      <w:r>
        <w:rPr>
          <w:rFonts w:hint="default"/>
          <w:b/>
          <w:bCs/>
          <w:color w:val="2E4B2E"/>
          <w:lang w:val="en-ZA"/>
        </w:rPr>
        <w:t xml:space="preserve"> An intelligent, conversational AI companion embedded seamlessly into both the Hustler Account and Digital Wallet. It provides real‑time financial guidance, automated bookkeeping, cash flow forecasting, and personalised business insights—all through a simple chat interface (in‑app, WhatsApp, or voice). The AI learns from each user’s transaction behaviour and goals, offering proactive advice to help young entrepreneurs and content creators manage irregular income, track business performance, and make smarter financial decisions. </w:t>
      </w:r>
    </w:p>
    <w:p w14:paraId="0ADFE374">
      <w:pPr>
        <w:pStyle w:val="18"/>
        <w:numPr>
          <w:ilvl w:val="0"/>
          <w:numId w:val="1"/>
        </w:numPr>
        <w:spacing w:before="60" w:after="60"/>
        <w:ind w:left="720"/>
      </w:pPr>
      <w:r>
        <w:rPr>
          <w:b/>
          <w:bCs/>
          <w:color w:val="2E4B2E"/>
        </w:rPr>
        <w:t>Value Proposition:</w:t>
      </w:r>
      <w:r>
        <w:rPr>
          <w:rFonts w:hint="default"/>
          <w:b/>
          <w:bCs/>
          <w:color w:val="2E4B2E"/>
          <w:lang w:val="en-ZA"/>
        </w:rPr>
        <w:t xml:space="preserve"> Turns financial complexity into simplicity. Users no longer need spreadsheets or guesswork—the AI acts as a virtual CFO, automating expense categorisation, flagging tax‑ready insights, predicting cash flow dips, and suggesting when to reinvest or save. It empowers users to focus on their hustle while the assistant handles the numbers, reduces financial stress, and unlocks better financial outcomes over time.</w:t>
      </w:r>
    </w:p>
    <w:p w14:paraId="2877475B">
      <w:pPr>
        <w:spacing w:before="60"/>
      </w:pPr>
    </w:p>
    <w:p w14:paraId="3956C6EB">
      <w:pPr>
        <w:spacing w:before="80"/>
      </w:pPr>
    </w:p>
    <w:p w14:paraId="00E1C714">
      <w:pPr>
        <w:pBdr>
          <w:bottom w:val="single" w:color="7CB342" w:sz="8" w:space="4"/>
        </w:pBdr>
        <w:spacing w:before="300" w:after="80"/>
      </w:pPr>
      <w:r>
        <w:rPr>
          <w:b/>
          <w:bCs/>
          <w:color w:val="33691E"/>
          <w:sz w:val="26"/>
          <w:szCs w:val="26"/>
        </w:rPr>
        <w:t>5.  Key Selling Points</w:t>
      </w:r>
    </w:p>
    <w:p w14:paraId="3F2654C7">
      <w:pPr>
        <w:spacing w:before="80"/>
      </w:pPr>
    </w:p>
    <w:p w14:paraId="596624E1">
      <w:pPr>
        <w:pStyle w:val="18"/>
        <w:numPr>
          <w:ilvl w:val="0"/>
          <w:numId w:val="3"/>
        </w:numPr>
        <w:spacing w:before="80" w:after="80"/>
        <w:ind w:left="360"/>
      </w:pPr>
      <w:r>
        <w:rPr>
          <w:rFonts w:hint="default"/>
        </w:rPr>
        <w:t xml:space="preserve"> One ecosystem, three growth tools – The Hustler Account helps you earn and manage your business, the Digital Wallet monetises your content with engagement‑based rewards, and the AI Financial Assistant ties everything together with smart, personalised insights that act like a virtual CFO in your pocket.</w:t>
      </w:r>
    </w:p>
    <w:p w14:paraId="51D78074">
      <w:pPr>
        <w:pStyle w:val="18"/>
        <w:numPr>
          <w:ilvl w:val="0"/>
          <w:numId w:val="3"/>
        </w:numPr>
        <w:spacing w:before="80" w:after="80"/>
        <w:ind w:left="360"/>
      </w:pPr>
      <w:r>
        <w:rPr>
          <w:rFonts w:hint="default"/>
        </w:rPr>
        <w:t>AI that works as hard as you do – Automatically track income and expenses, forecast cash flow, receive tax reminders, and get tailored advice on how to grow your side hustle—all without manual effort. The AI learns from your habits and helps you make better financial decisions in real time.</w:t>
      </w:r>
    </w:p>
    <w:p w14:paraId="1F07B4EE">
      <w:pPr>
        <w:pStyle w:val="18"/>
        <w:numPr>
          <w:ilvl w:val="0"/>
          <w:numId w:val="3"/>
        </w:numPr>
        <w:spacing w:before="80" w:after="80"/>
        <w:ind w:left="360"/>
      </w:pPr>
      <w:r>
        <w:rPr>
          <w:rFonts w:hint="default"/>
        </w:rPr>
        <w:t xml:space="preserve"> Earn while you build – Unlock higher reward tiers and premium AI features as you engage with the ecosystem. Whether you’re receiving payments through the Hustler Account, hitting view milestones in the Digital Wallet, or interacting with the AI assistant, your activity drives tangible value and deeper financial capability.</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429C9B">
    <w:pPr>
      <w:pBdr>
        <w:top w:val="single" w:color="7CB342" w:sz="6" w:space="2"/>
      </w:pBdr>
      <w:jc w:val="center"/>
    </w:pPr>
    <w:r>
      <w:rPr>
        <w:color w:val="7CB342"/>
        <w:sz w:val="16"/>
        <w:szCs w:val="16"/>
      </w:rPr>
      <w:t xml:space="preserve">For Internal Use Only  •  AFC Commercial Bank  •  Page </w:t>
    </w:r>
    <w:r>
      <w:rPr>
        <w:color w:val="7CB342"/>
        <w:sz w:val="16"/>
        <w:szCs w:val="16"/>
      </w:rPr>
      <w:fldChar w:fldCharType="begin"/>
    </w:r>
    <w:r>
      <w:rPr>
        <w:color w:val="7CB342"/>
        <w:sz w:val="16"/>
        <w:szCs w:val="16"/>
      </w:rPr>
      <w:instrText xml:space="preserve">PAGE</w:instrText>
    </w:r>
    <w:r>
      <w:rPr>
        <w:color w:val="7CB342"/>
        <w:sz w:val="16"/>
        <w:szCs w:val="16"/>
      </w:rPr>
      <w:fldChar w:fldCharType="separate"/>
    </w:r>
    <w:r>
      <w:rPr>
        <w:color w:val="7CB342"/>
        <w:sz w:val="16"/>
        <w:szCs w:val="16"/>
      </w:rPr>
      <w:t>1</w:t>
    </w:r>
    <w:r>
      <w:rPr>
        <w:color w:val="7CB342"/>
        <w:sz w:val="16"/>
        <w:szCs w:val="16"/>
      </w:rPr>
      <w:fldChar w:fldCharType="end"/>
    </w:r>
    <w:r>
      <w:rPr>
        <w:color w:val="7CB342"/>
        <w:sz w:val="16"/>
        <w:szCs w:val="16"/>
      </w:rPr>
      <w:t xml:space="preserve"> of </w:t>
    </w:r>
    <w:r>
      <w:rPr>
        <w:color w:val="7CB342"/>
        <w:sz w:val="16"/>
        <w:szCs w:val="16"/>
      </w:rPr>
      <w:fldChar w:fldCharType="begin"/>
    </w:r>
    <w:r>
      <w:rPr>
        <w:color w:val="7CB342"/>
        <w:sz w:val="16"/>
        <w:szCs w:val="16"/>
      </w:rPr>
      <w:instrText xml:space="preserve">NUMPAGES</w:instrText>
    </w:r>
    <w:r>
      <w:rPr>
        <w:color w:val="7CB342"/>
        <w:sz w:val="16"/>
        <w:szCs w:val="16"/>
      </w:rPr>
      <w:fldChar w:fldCharType="separate"/>
    </w:r>
    <w:r>
      <w:rPr>
        <w:color w:val="7CB342"/>
        <w:sz w:val="16"/>
        <w:szCs w:val="16"/>
      </w:rPr>
      <w:t>2</w:t>
    </w:r>
    <w:r>
      <w:rPr>
        <w:color w:val="7CB342"/>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2F45C">
    <w:pPr>
      <w:pBdr>
        <w:bottom w:val="single" w:color="7CB342" w:sz="6" w:space="2"/>
      </w:pBdr>
      <w:jc w:val="right"/>
    </w:pPr>
    <w:r>
      <w:rPr>
        <w:color w:val="7CB342"/>
        <w:sz w:val="16"/>
        <w:szCs w:val="16"/>
      </w:rPr>
      <w:t>AFC Commercial Bank  |  Value Proposition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9B5613"/>
    <w:multiLevelType w:val="multilevel"/>
    <w:tmpl w:val="1A9B5613"/>
    <w:lvl w:ilvl="0" w:tentative="0">
      <w:start w:val="1"/>
      <w:numFmt w:val="bullet"/>
      <w:lvlText w:val="○"/>
      <w:lvlJc w:val="left"/>
      <w:pPr>
        <w:ind w:left="90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5CB262A4"/>
    <w:multiLevelType w:val="multilevel"/>
    <w:tmpl w:val="5CB262A4"/>
    <w:lvl w:ilvl="0" w:tentative="0">
      <w:start w:val="1"/>
      <w:numFmt w:val="bullet"/>
      <w:lvlText w:val="•"/>
      <w:lvlJc w:val="left"/>
      <w:pPr>
        <w:ind w:left="60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36733AB"/>
    <w:multiLevelType w:val="multilevel"/>
    <w:tmpl w:val="636733AB"/>
    <w:lvl w:ilvl="0" w:tentative="0">
      <w:start w:val="1"/>
      <w:numFmt w:val="bullet"/>
      <w:lvlText w:val="✦"/>
      <w:lvlJc w:val="left"/>
      <w:pPr>
        <w:ind w:left="60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D0D"/>
    <w:rsid w:val="002635A1"/>
    <w:rsid w:val="00335D0D"/>
    <w:rsid w:val="00795C14"/>
    <w:rsid w:val="3C895830"/>
  </w:rsids>
  <m:mathPr>
    <m:mathFont m:val="Cambria Math"/>
    <m:brkBin m:val="before"/>
    <m:brkBinSub m:val="--"/>
    <m:smallFrac m:val="0"/>
    <m:dispDef/>
    <m:lMargin m:val="0"/>
    <m:rMargin m:val="0"/>
    <m:defJc m:val="centerGroup"/>
    <m:wrapIndent m:val="1440"/>
    <m:intLim m:val="subSup"/>
    <m:naryLim m:val="undOvr"/>
  </m:mathPr>
  <w:themeFontLang w:val="en-ZW"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lang w:val="en-ZW" w:eastAsia="en-ZW" w:bidi="ar-SA"/>
    </w:rPr>
  </w:style>
  <w:style w:type="paragraph" w:styleId="2">
    <w:name w:val="heading 1"/>
    <w:qFormat/>
    <w:uiPriority w:val="0"/>
    <w:pPr>
      <w:outlineLvl w:val="0"/>
    </w:pPr>
    <w:rPr>
      <w:rFonts w:ascii="Arial" w:hAnsi="Arial" w:eastAsia="Arial" w:cs="Arial"/>
      <w:color w:val="2E74B5"/>
      <w:sz w:val="32"/>
      <w:szCs w:val="32"/>
      <w:lang w:val="en-ZW" w:eastAsia="en-ZW" w:bidi="ar-SA"/>
    </w:rPr>
  </w:style>
  <w:style w:type="paragraph" w:styleId="3">
    <w:name w:val="heading 2"/>
    <w:qFormat/>
    <w:uiPriority w:val="0"/>
    <w:pPr>
      <w:outlineLvl w:val="1"/>
    </w:pPr>
    <w:rPr>
      <w:rFonts w:ascii="Arial" w:hAnsi="Arial" w:eastAsia="Arial" w:cs="Arial"/>
      <w:color w:val="2E74B5"/>
      <w:sz w:val="26"/>
      <w:szCs w:val="26"/>
      <w:lang w:val="en-ZW" w:eastAsia="en-ZW" w:bidi="ar-SA"/>
    </w:rPr>
  </w:style>
  <w:style w:type="paragraph" w:styleId="4">
    <w:name w:val="heading 3"/>
    <w:qFormat/>
    <w:uiPriority w:val="0"/>
    <w:pPr>
      <w:outlineLvl w:val="2"/>
    </w:pPr>
    <w:rPr>
      <w:rFonts w:ascii="Arial" w:hAnsi="Arial" w:eastAsia="Arial" w:cs="Arial"/>
      <w:color w:val="1F4D78"/>
      <w:sz w:val="24"/>
      <w:szCs w:val="24"/>
      <w:lang w:val="en-ZW" w:eastAsia="en-ZW" w:bidi="ar-SA"/>
    </w:rPr>
  </w:style>
  <w:style w:type="paragraph" w:styleId="5">
    <w:name w:val="heading 4"/>
    <w:qFormat/>
    <w:uiPriority w:val="0"/>
    <w:pPr>
      <w:outlineLvl w:val="3"/>
    </w:pPr>
    <w:rPr>
      <w:rFonts w:ascii="Arial" w:hAnsi="Arial" w:eastAsia="Arial" w:cs="Arial"/>
      <w:i/>
      <w:iCs/>
      <w:color w:val="2E74B5"/>
      <w:lang w:val="en-ZW" w:eastAsia="en-ZW" w:bidi="ar-SA"/>
    </w:rPr>
  </w:style>
  <w:style w:type="paragraph" w:styleId="6">
    <w:name w:val="heading 5"/>
    <w:qFormat/>
    <w:uiPriority w:val="0"/>
    <w:pPr>
      <w:outlineLvl w:val="4"/>
    </w:pPr>
    <w:rPr>
      <w:rFonts w:ascii="Arial" w:hAnsi="Arial" w:eastAsia="Arial" w:cs="Arial"/>
      <w:color w:val="2E74B5"/>
      <w:lang w:val="en-ZW" w:eastAsia="en-ZW" w:bidi="ar-SA"/>
    </w:rPr>
  </w:style>
  <w:style w:type="paragraph" w:styleId="7">
    <w:name w:val="heading 6"/>
    <w:qFormat/>
    <w:uiPriority w:val="0"/>
    <w:pPr>
      <w:outlineLvl w:val="5"/>
    </w:pPr>
    <w:rPr>
      <w:rFonts w:ascii="Arial" w:hAnsi="Arial" w:eastAsia="Arial" w:cs="Arial"/>
      <w:color w:val="1F4D78"/>
      <w:lang w:val="en-ZW" w:eastAsia="en-ZW"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0"/>
    <w:pPr>
      <w:spacing w:before="180" w:after="180"/>
    </w:pPr>
  </w:style>
  <w:style w:type="paragraph" w:styleId="11">
    <w:name w:val="footer"/>
    <w:basedOn w:val="1"/>
    <w:link w:val="21"/>
    <w:unhideWhenUsed/>
    <w:qFormat/>
    <w:uiPriority w:val="99"/>
    <w:pPr>
      <w:tabs>
        <w:tab w:val="center" w:pos="4513"/>
        <w:tab w:val="right" w:pos="9026"/>
      </w:tabs>
    </w:p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rPr>
      <w:rFonts w:ascii="Arial" w:hAnsi="Arial" w:eastAsia="Arial" w:cs="Arial"/>
      <w:color w:val="1A1A1A"/>
      <w:lang w:val="en-ZW" w:eastAsia="en-ZW" w:bidi="ar-SA"/>
    </w:rPr>
  </w:style>
  <w:style w:type="paragraph" w:styleId="14">
    <w:name w:val="header"/>
    <w:basedOn w:val="1"/>
    <w:link w:val="20"/>
    <w:unhideWhenUsed/>
    <w:qFormat/>
    <w:uiPriority w:val="99"/>
    <w:pPr>
      <w:tabs>
        <w:tab w:val="center" w:pos="4513"/>
        <w:tab w:val="right" w:pos="9026"/>
      </w:tabs>
    </w:p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color w:val="1A1A1A"/>
      <w:sz w:val="56"/>
      <w:szCs w:val="56"/>
      <w:lang w:val="en-ZW" w:eastAsia="en-ZW" w:bidi="ar-SA"/>
    </w:rPr>
  </w:style>
  <w:style w:type="paragraph" w:customStyle="1" w:styleId="17">
    <w:name w:val="Strong1"/>
    <w:qFormat/>
    <w:uiPriority w:val="0"/>
    <w:rPr>
      <w:rFonts w:ascii="Arial" w:hAnsi="Arial" w:eastAsia="Arial" w:cs="Arial"/>
      <w:b/>
      <w:bCs/>
      <w:color w:val="1A1A1A"/>
      <w:lang w:val="en-ZW" w:eastAsia="en-ZW" w:bidi="ar-SA"/>
    </w:rPr>
  </w:style>
  <w:style w:type="paragraph" w:styleId="18">
    <w:name w:val="List Paragraph"/>
    <w:qFormat/>
    <w:uiPriority w:val="0"/>
    <w:rPr>
      <w:rFonts w:ascii="Arial" w:hAnsi="Arial" w:eastAsia="Arial" w:cs="Arial"/>
      <w:color w:val="1A1A1A"/>
      <w:lang w:val="en-ZW" w:eastAsia="en-ZW" w:bidi="ar-SA"/>
    </w:rPr>
  </w:style>
  <w:style w:type="character" w:customStyle="1" w:styleId="19">
    <w:name w:val="Footnote Text Char"/>
    <w:link w:val="13"/>
    <w:semiHidden/>
    <w:unhideWhenUsed/>
    <w:qFormat/>
    <w:uiPriority w:val="99"/>
    <w:rPr>
      <w:sz w:val="20"/>
      <w:szCs w:val="20"/>
    </w:rPr>
  </w:style>
  <w:style w:type="character" w:customStyle="1" w:styleId="20">
    <w:name w:val="Header Char"/>
    <w:basedOn w:val="8"/>
    <w:link w:val="14"/>
    <w:qFormat/>
    <w:uiPriority w:val="99"/>
  </w:style>
  <w:style w:type="character" w:customStyle="1" w:styleId="21">
    <w:name w:val="Footer Char"/>
    <w:basedOn w:val="8"/>
    <w:link w:val="11"/>
    <w:qFormat/>
    <w:uiPriority w:val="99"/>
  </w:style>
  <w:style w:type="paragraph" w:customStyle="1" w:styleId="22">
    <w:name w:val="First Paragraph"/>
    <w:basedOn w:val="10"/>
    <w:next w:val="10"/>
    <w:qFormat/>
    <w:uiPriority w:val="0"/>
  </w:style>
  <w:style w:type="paragraph" w:customStyle="1" w:styleId="23">
    <w:name w:val="Compact"/>
    <w:basedOn w:val="10"/>
    <w:qFormat/>
    <w:uiPriority w:val="0"/>
    <w:pPr>
      <w:spacing w:before="36" w:after="36"/>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139</Words>
  <Characters>796</Characters>
  <Lines>6</Lines>
  <Paragraphs>1</Paragraphs>
  <TotalTime>3745</TotalTime>
  <ScaleCrop>false</ScaleCrop>
  <LinksUpToDate>false</LinksUpToDate>
  <CharactersWithSpaces>934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2026-03-20T07:24:00Z</dcterms:created>
  <dc:creator>Un-named</dc:creator>
  <cp:lastModifiedBy>King_Arthur</cp:lastModifiedBy>
  <dcterms:modified xsi:type="dcterms:W3CDTF">2026-03-23T06:25:20Z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962C83F78DC34A38A9E21281EF228146_13</vt:lpwstr>
  </property>
</Properties>
</file>