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39B"/>
          <w:sz w:val="44"/>
        </w:rPr>
        <w:t>PROPOSED METHODOLOGY</w:t>
      </w:r>
    </w:p>
    <w:p>
      <w:pPr>
        <w:jc w:val="center"/>
      </w:pPr>
      <w:r>
        <w:rPr>
          <w:b/>
          <w:color w:val="1F2937"/>
          <w:sz w:val="28"/>
        </w:rPr>
        <w:t>Provision of Artificial Intelligence Training Services for AFC Holdings Limited</w:t>
      </w:r>
    </w:p>
    <w:p>
      <w:pPr>
        <w:jc w:val="center"/>
      </w:pPr>
      <w:r>
        <w:rPr>
          <w:i/>
          <w:color w:val="5A626E"/>
          <w:sz w:val="21"/>
        </w:rPr>
        <w:t>Submitted by AI Institute Africa in partnership with Rubiem Intelligence and the University of Zimbabwe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1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_ph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E"/>
          <w:sz w:val="18"/>
        </w:rPr>
        <w:t>Figure 1: Four-phase methodology for AFC AI and Digital Banking Transformation training.</w:t>
      </w:r>
    </w:p>
    <w:p>
      <w:pPr>
        <w:pStyle w:val="Heading2"/>
        <w:spacing w:before="160" w:after="80"/>
      </w:pPr>
      <w:r>
        <w:rPr>
          <w:b/>
          <w:color w:val="00539B"/>
        </w:rPr>
        <w:t>1. Approach Overview</w:t>
      </w:r>
    </w:p>
    <w:p>
      <w:r>
        <w:t>AI Institute Africa, in partnership with Rubiem Intelligence and the University of Zimbabwe, will adopt a practical, banking-focused and impact-driven training methodology designed to ensure immediate applicability within AFC’s operational environment. The methodology supports AFC’s objective to build Artificial Intelligence capability, strengthen digital banking transformation readiness, and establish a continuous learning environment for staff across head office and branch locations.</w:t>
      </w:r>
    </w:p>
    <w:p>
      <w:r>
        <w:t>Our methodology is structured around four implementation phases: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Needs Alignment and Customisation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Training Design and Delivery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Practical Application and Demonstrations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Evaluation and Post-Training Support</w:t>
      </w:r>
    </w:p>
    <w:p>
      <w:pPr>
        <w:pStyle w:val="Heading2"/>
        <w:spacing w:before="160" w:after="80"/>
      </w:pPr>
      <w:r>
        <w:rPr>
          <w:b/>
          <w:color w:val="00539B"/>
        </w:rPr>
        <w:t>2. Phase 1: Needs Alignment and Customisation</w:t>
      </w:r>
    </w:p>
    <w:p>
      <w:r>
        <w:t>Prior to training rollout, we will engage AFC stakeholders to align the programme with AFC’s strategic priorities, banking operations, staff roles and digital transformation objectives.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Align training content with AFC’s digital transformation and AI adoption priorities.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Identify key executive, management, technical, operational and general staff learning needs.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Map training content to AFC’s banking processes, governance structures, operational workflows and customer service environment.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Customise case studies for banking operations, process automation, customer service, compliance, risk management, data analytics and AI-enabled decision support.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Review existing AFC training materials, facilities and schedules to support smooth implementation across head office and branches.</w:t>
      </w:r>
    </w:p>
    <w:p>
      <w:pPr>
        <w:pStyle w:val="Heading3"/>
        <w:spacing w:before="160" w:after="80"/>
      </w:pPr>
      <w:r>
        <w:rPr>
          <w:b/>
          <w:color w:val="00539B"/>
        </w:rPr>
        <w:t>Phase 1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504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Tailored training agenda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Programme agenda aligned to AFC priorities, roles and staff availability.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Banking-specific case studies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Use cases relevant to AFC operations, branch banking, compliance, customer service and digital workflows.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Readiness assessment inputs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Initial view of staff groups, platform needs, delivery constraints and training support requirements.</w:t>
            </w:r>
          </w:p>
        </w:tc>
      </w:tr>
    </w:tbl>
    <w:p>
      <w:pPr>
        <w:pStyle w:val="Heading2"/>
        <w:spacing w:before="160" w:after="80"/>
      </w:pPr>
      <w:r>
        <w:rPr>
          <w:b/>
          <w:color w:val="00539B"/>
        </w:rPr>
        <w:t>3. Phase 2: Training Design and Delivery</w:t>
      </w:r>
    </w:p>
    <w:p>
      <w:r>
        <w:t>We will deliver a structured training programme organised into role-based learning tracks. The programme will balance executive-level strategic content with practical operational examples and hands-on demonstrations for staff who require applied exposure to AI tools.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tra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E"/>
          <w:sz w:val="18"/>
        </w:rPr>
        <w:t>Figure 2: Role-based training tracks for AFC staff groups.</w:t>
      </w:r>
    </w:p>
    <w:p>
      <w:r>
        <w:br w:type="page"/>
      </w:r>
    </w:p>
    <w:p>
      <w:pPr>
        <w:pStyle w:val="Heading3"/>
        <w:spacing w:before="160" w:after="80"/>
      </w:pPr>
      <w:r>
        <w:rPr>
          <w:b/>
          <w:color w:val="00539B"/>
        </w:rPr>
        <w:t>Core Training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336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336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AFC Application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Session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AI Fundamentals for Banking Professionals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AI, machine learning, generative AI, agentic AI and the business value of AI in financial institutions.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Session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AI for Productivity and Decision-Making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Report writing, document summarisation, customer communication, analysis support and executive decision support.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Session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Microsoft 365 Copilot and AI Tool Demonstrations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Practical demonstrations in Word, Excel, PowerPoint, Outlook and Teams for banking productivity.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Session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AI Strategy, Governance and Leadership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AI governance, responsible AI, ethics, risk, compliance and roadmap development for AFC.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Session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Digital Transformation and Process Automation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Digital banking processes, workflow automation, robotic process automation and AI-enabled operational processes.</w:t>
            </w:r>
          </w:p>
        </w:tc>
      </w:tr>
    </w:tbl>
    <w:p>
      <w:pPr>
        <w:pStyle w:val="Heading2"/>
        <w:spacing w:before="160" w:after="80"/>
      </w:pPr>
      <w:r>
        <w:rPr>
          <w:b/>
          <w:color w:val="00539B"/>
        </w:rPr>
        <w:t>4. Phase 3: Practical Application and Interactive Learning</w:t>
      </w:r>
    </w:p>
    <w:p>
      <w:r>
        <w:t>To ensure maximum impact, the training will move beyond theory into practical application. Participants will work through AFC-relevant examples and guided demonstrations that show how AI can improve banking productivity, process efficiency and decision-making.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Live demonstrations of AI tools, including Microsoft 365 Copilot and relevant generative AI applications.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Banking-sector case studies covering customer service, risk, compliance, operations, HR, finance and executive reporting.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Group discussions and scenario-based exercises aligned to AFC departmental responsibilities.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AI use case development workshops to help departments identify, prioritise and document practical AI opportunities.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Hands-on guided exercises for selected staff, including prompt engineering, data interpretation and workflow automation examples.</w:t>
      </w:r>
    </w:p>
    <w:p>
      <w:pPr>
        <w:pStyle w:val="Heading2"/>
        <w:spacing w:before="160" w:after="80"/>
      </w:pPr>
      <w:r>
        <w:rPr>
          <w:b/>
          <w:color w:val="00539B"/>
        </w:rPr>
        <w:t>5. Blended Delivery and Digital Learning Platform</w:t>
      </w:r>
    </w:p>
    <w:p>
      <w:r>
        <w:t>The delivery model will combine facilitator-led training, online learning, self-paced modules and interactive workshops. This approach supports participation by AFC staff across head office and branch locations while enabling continuous learning and monitoring of progress.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2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E"/>
          <w:sz w:val="18"/>
        </w:rPr>
        <w:t>Figure 3: Blended training delivery and digital platform model.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Classroom-based and facilitator-led sessions for strategic and operational engagement.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Online and self-paced modules for flexible access by staff in different locations.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Multi-modal content including text, video, audio, practical guides and live demonstrations.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Multilingual support where required, including English, Shona and Ndebele learning support.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Learning analytics, online assessments, supervisor monitoring and certificate generation.</w:t>
      </w:r>
    </w:p>
    <w:p>
      <w:pPr>
        <w:pStyle w:val="Heading2"/>
        <w:spacing w:before="160" w:after="80"/>
      </w:pPr>
      <w:r>
        <w:rPr>
          <w:b/>
          <w:color w:val="00539B"/>
        </w:rPr>
        <w:t>6. Phase 4: Evaluation and Post-Training Support</w:t>
      </w:r>
    </w:p>
    <w:p>
      <w:r>
        <w:t>We will measure learning effectiveness and support programme sustainability through structured evaluation and post-training reporting. The evaluation process will help AFC understand training uptake, learning outcomes and areas requiring additional 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36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3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26E"/>
          <w:sz w:val="18"/>
        </w:rPr>
        <w:t>Figure 4: Monitoring, evaluation and continuous improvement loop.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Participant feedback and evaluation forms.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Knowledge checks and assessments during training sessions.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Training progress reporting and platform analytics.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Post-training report with key insights, attendance summaries, performance observations and recommendations for AI adoption at AFC.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Optional follow-up advisory sessions to support implementation and internal adoption.</w:t>
      </w:r>
    </w:p>
    <w:p>
      <w:pPr>
        <w:pStyle w:val="Heading2"/>
        <w:spacing w:before="160" w:after="80"/>
      </w:pPr>
      <w:r>
        <w:rPr>
          <w:b/>
          <w:color w:val="00539B"/>
        </w:rPr>
        <w:t>7. Training Materials and Resources</w:t>
      </w:r>
    </w:p>
    <w:p>
      <w:r>
        <w:t>Participants will receive practical, AFC-relevant training resources that can be used during and after the programme.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Executive-level slide decks and facilitator notes.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Practical AI use-case guides for banking and financial services.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Prompt engineering guides and AI productivity toolkits.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Reference materials covering AI governance, ethics, risk and compliance.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Digital learning resources hosted on the training platform.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Certificates of completion and, where applicable, AI technical certification support.</w:t>
      </w:r>
    </w:p>
    <w:p>
      <w:pPr>
        <w:pStyle w:val="Heading2"/>
        <w:spacing w:before="160" w:after="80"/>
      </w:pPr>
      <w:r>
        <w:rPr>
          <w:b/>
          <w:color w:val="00539B"/>
        </w:rPr>
        <w:t>8. Implementation 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2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Key Activities</w:t>
            </w:r>
          </w:p>
        </w:tc>
        <w:tc>
          <w:tcPr>
            <w:tcW w:type="dxa" w:w="252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Outputs</w:t>
            </w:r>
          </w:p>
        </w:tc>
        <w:tc>
          <w:tcPr>
            <w:tcW w:type="dxa" w:w="252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Indicative Timing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1. Needs Alignment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Stakeholder engagement, readiness review, staff segmentation, content alignment.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Tailored agenda, case study themes, readiness notes.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Weeks 1-2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2. Design and Preparation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Curriculum finalisation, platform setup, materials development, schedule confirmation.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Training materials, platform content, implementation schedule.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Weeks 3-6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3. Delivery and Application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Training sessions, workshops, demonstrations, AI use case development.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Trained staff, use case outputs, assessment records.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Weeks 7-20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4. Evaluation and Support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Feedback analysis, reporting, certification support, recommendations.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Progress reports, final report, post-training recommendations.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Weeks 21-24</w:t>
            </w:r>
          </w:p>
        </w:tc>
      </w:tr>
    </w:tbl>
    <w:p>
      <w:pPr>
        <w:pStyle w:val="Heading2"/>
        <w:spacing w:before="160" w:after="80"/>
      </w:pPr>
      <w:r>
        <w:rPr>
          <w:b/>
          <w:color w:val="00539B"/>
        </w:rPr>
        <w:t>9. Value Addition</w:t>
      </w:r>
    </w:p>
    <w:p>
      <w:r>
        <w:t>Our partnership brings a balanced combination of academic quality assurance, industry implementation experience and specialised AI training capability.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Academic rigor and quality assurance through the University of Zimbabwe.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Industry expertise and digital transformation implementation insight through Rubiem Intelligence.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Specialised AI training capability and certification support through AI Institute Africa.</w:t>
      </w:r>
    </w:p>
    <w:p>
      <w:pPr>
        <w:spacing w:after="60"/>
        <w:ind w:left="360" w:hanging="216"/>
      </w:pPr>
      <w:r>
        <w:rPr>
          <w:b/>
          <w:color w:val="00539B"/>
        </w:rPr>
        <w:t xml:space="preserve">• </w:t>
      </w:r>
      <w:r>
        <w:t>AFC-specific customisation that links AI concepts to banking operations, governance, customer service and process automation.</w:t>
      </w:r>
    </w:p>
    <w:p>
      <w:r>
        <w:br w:type="page"/>
      </w:r>
    </w:p>
    <w:p>
      <w:pPr>
        <w:pStyle w:val="Heading2"/>
        <w:spacing w:before="160" w:after="80"/>
      </w:pPr>
      <w:r>
        <w:rPr>
          <w:b/>
          <w:color w:val="00539B"/>
        </w:rPr>
        <w:t>10. Expected Outcomes for AFC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5040"/>
            <w:shd w:fill="00539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Benefit to AFC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Improved AI literacy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Staff understand AI concepts, opportunities, risks and practical use cases in banking.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Digital transformation readiness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Teams are better prepared for process automation and digital banking workflows.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Departmental AI use cases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AFC receives practical AI opportunities that can inform future strategy and implementation.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Continuous learning capability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Staff can continue learning through digital modules, assessments and progress tracking.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Governance and adoption support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Leadership and management gain insight into responsible AI governance and adoption planning.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26E"/>
        <w:sz w:val="14"/>
      </w:rPr>
      <w:t>Board Members: Dr Dennis Magaya – Chairman (Zimbabwe), Dr Licky Erastus - Deputy Chairman (Namibia), Mr Cleopas Chiketa - Deputy Chairman (Zimbabwe), Mr Robert Rusike – Treasurer (Zimbabwe), Dr Martin Manuhwa (Zimbabwe), Ms Perpetua Chimeura (Zimbabwe), Mr Oabona Kgengwenyane (Botswana), Mr Emmanuel Mbewe (Zambia), Ms Ruth Gorerokufa (Zimbabwe)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26E"/>
        <w:sz w:val="18"/>
      </w:rPr>
      <w:t>Artificial Intelligence Institute Africa</w:t>
    </w:r>
  </w:p>
  <w:p>
    <w:pPr>
      <w:jc w:val="center"/>
    </w:pPr>
    <w:r>
      <w:rPr>
        <w:color w:val="5A626E"/>
        <w:sz w:val="18"/>
      </w:rPr>
      <w:t>275 Hebert Chitepo Ave, Harare, Zimbabwe</w:t>
    </w:r>
  </w:p>
  <w:p>
    <w:pPr>
      <w:jc w:val="center"/>
    </w:pPr>
    <w:r>
      <w:rPr>
        <w:color w:val="5A626E"/>
        <w:sz w:val="18"/>
      </w:rPr>
      <w:t>+263 78 6434 998 | admin@aiinstituteafrica.com</w:t>
    </w:r>
  </w:p>
  <w:p>
    <w:pPr>
      <w:jc w:val="center"/>
    </w:pPr>
    <w:r>
      <w:rPr>
        <w:color w:val="5A626E"/>
        <w:sz w:val="18"/>
      </w:rPr>
      <w:t>www.aiinstituteafrica.com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53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539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00539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539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