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58F21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33691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C88261C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AFC COMMERCIAL BANK</w:t>
            </w:r>
          </w:p>
          <w:p w14:paraId="76CE4AD7">
            <w:pPr>
              <w:jc w:val="center"/>
            </w:pPr>
            <w:r>
              <w:rPr>
                <w:color w:val="DCEDC8"/>
                <w:sz w:val="24"/>
                <w:szCs w:val="24"/>
              </w:rPr>
              <w:t>BANKING PRODUCT TEMPLATE</w:t>
            </w:r>
          </w:p>
        </w:tc>
      </w:tr>
    </w:tbl>
    <w:p w14:paraId="09C18F33">
      <w:pPr>
        <w:spacing w:before="160"/>
      </w:pPr>
    </w:p>
    <w:p w14:paraId="3EFAD3C6">
      <w:pPr>
        <w:pBdr>
          <w:bottom w:val="single" w:color="7CB342" w:sz="8" w:space="4"/>
        </w:pBdr>
        <w:spacing w:before="300" w:after="80"/>
      </w:pPr>
      <w:r>
        <w:rPr>
          <w:b/>
          <w:bCs/>
          <w:color w:val="33691E"/>
          <w:sz w:val="26"/>
          <w:szCs w:val="26"/>
        </w:rPr>
        <w:t>1.  Product Overview</w:t>
      </w:r>
    </w:p>
    <w:p w14:paraId="7AB674E8">
      <w:pPr>
        <w:spacing w:before="80"/>
      </w:pPr>
    </w:p>
    <w:p w14:paraId="132933A4">
      <w:pPr>
        <w:pStyle w:val="17"/>
        <w:numPr>
          <w:ilvl w:val="0"/>
          <w:numId w:val="1"/>
        </w:numPr>
        <w:spacing w:before="60" w:after="60"/>
        <w:ind w:left="360"/>
      </w:pPr>
      <w:r>
        <w:rPr>
          <w:b/>
          <w:bCs/>
          <w:color w:val="2E4B2E"/>
        </w:rPr>
        <w:t>Product Name:</w:t>
      </w:r>
      <w:r>
        <w:rPr>
          <w:rFonts w:hint="default"/>
          <w:b/>
          <w:bCs/>
          <w:color w:val="2E4B2E"/>
          <w:lang w:val="en-US"/>
        </w:rPr>
        <w:t>School Account</w:t>
      </w:r>
    </w:p>
    <w:p w14:paraId="3217D171">
      <w:pPr>
        <w:pStyle w:val="17"/>
        <w:numPr>
          <w:ilvl w:val="0"/>
          <w:numId w:val="1"/>
        </w:numPr>
        <w:spacing w:before="60" w:after="60"/>
        <w:ind w:left="360"/>
      </w:pPr>
      <w:r>
        <w:rPr>
          <w:b/>
          <w:bCs/>
          <w:color w:val="2E4B2E"/>
        </w:rPr>
        <w:t>Product Description:</w:t>
      </w:r>
      <w:r>
        <w:rPr>
          <w:rFonts w:hint="default"/>
          <w:b/>
          <w:bCs/>
          <w:color w:val="2E4B2E"/>
          <w:lang w:val="en-US"/>
        </w:rPr>
        <w:t xml:space="preserve"> Account specifically meant for schools</w:t>
      </w:r>
    </w:p>
    <w:p w14:paraId="67ADE483">
      <w:pPr>
        <w:pStyle w:val="17"/>
        <w:numPr>
          <w:ilvl w:val="0"/>
          <w:numId w:val="1"/>
        </w:numPr>
        <w:spacing w:before="60" w:after="60"/>
        <w:ind w:left="360"/>
      </w:pPr>
      <w:r>
        <w:rPr>
          <w:b/>
          <w:bCs/>
          <w:color w:val="2E4B2E"/>
        </w:rPr>
        <w:t>Customer Type:</w:t>
      </w:r>
      <w:r>
        <w:rPr>
          <w:rFonts w:hint="default"/>
          <w:b/>
          <w:bCs/>
          <w:color w:val="2E4B2E"/>
          <w:lang w:val="en-US"/>
        </w:rPr>
        <w:t xml:space="preserve"> Institution</w:t>
      </w:r>
    </w:p>
    <w:p w14:paraId="4A255D27">
      <w:pPr>
        <w:spacing w:before="60" w:after="60"/>
        <w:ind w:left="720"/>
      </w:pPr>
      <w:r>
        <w:rPr>
          <w:color w:val="777777"/>
        </w:rPr>
        <w:t>(Individual / SME / Corporate / Institution)</w:t>
      </w:r>
    </w:p>
    <w:p w14:paraId="04339EC8">
      <w:pPr>
        <w:pStyle w:val="17"/>
        <w:numPr>
          <w:ilvl w:val="0"/>
          <w:numId w:val="1"/>
        </w:numPr>
        <w:spacing w:before="60" w:after="60"/>
        <w:ind w:left="360"/>
      </w:pPr>
      <w:r>
        <w:rPr>
          <w:b/>
          <w:bCs/>
          <w:color w:val="2E4B2E"/>
        </w:rPr>
        <w:t>Customer Segment:</w:t>
      </w:r>
      <w:r>
        <w:rPr>
          <w:rFonts w:hint="default"/>
          <w:b/>
          <w:bCs/>
          <w:color w:val="2E4B2E"/>
          <w:lang w:val="en-US"/>
        </w:rPr>
        <w:t xml:space="preserve"> School</w:t>
      </w:r>
    </w:p>
    <w:p w14:paraId="153981CD">
      <w:pPr>
        <w:spacing w:before="60" w:after="60"/>
        <w:ind w:left="720"/>
      </w:pPr>
      <w:r>
        <w:rPr>
          <w:color w:val="777777"/>
        </w:rPr>
        <w:t>(e.g. Civil Servants, Students, SMEs, Pensioners)</w:t>
      </w:r>
    </w:p>
    <w:p w14:paraId="7E370B2F">
      <w:pPr>
        <w:pStyle w:val="17"/>
        <w:numPr>
          <w:ilvl w:val="0"/>
          <w:numId w:val="1"/>
        </w:numPr>
        <w:spacing w:before="60" w:after="60"/>
        <w:ind w:left="360"/>
      </w:pPr>
      <w:r>
        <w:rPr>
          <w:b/>
          <w:bCs/>
          <w:color w:val="2E4B2E"/>
        </w:rPr>
        <w:t>Primary Use Case(s):</w:t>
      </w:r>
      <w:r>
        <w:rPr>
          <w:rFonts w:hint="default"/>
          <w:b/>
          <w:bCs/>
          <w:color w:val="2E4B2E"/>
          <w:lang w:val="en-US"/>
        </w:rPr>
        <w:t xml:space="preserve"> Savings, Transactions, Payments, Lending</w:t>
      </w:r>
    </w:p>
    <w:p w14:paraId="00A5CE9E">
      <w:pPr>
        <w:spacing w:before="60" w:after="60"/>
        <w:ind w:left="720"/>
      </w:pPr>
      <w:r>
        <w:rPr>
          <w:color w:val="777777"/>
        </w:rPr>
        <w:t>(Savings / Transactions / Payments / Lending — multi-select allowed)</w:t>
      </w:r>
    </w:p>
    <w:p w14:paraId="05F98C41">
      <w:pPr>
        <w:spacing w:before="160"/>
      </w:pPr>
    </w:p>
    <w:p w14:paraId="5391F3D9">
      <w:pPr>
        <w:pBdr>
          <w:bottom w:val="single" w:color="7CB342" w:sz="8" w:space="4"/>
        </w:pBdr>
        <w:spacing w:before="300" w:after="80"/>
      </w:pPr>
      <w:r>
        <w:rPr>
          <w:b/>
          <w:bCs/>
          <w:color w:val="33691E"/>
          <w:sz w:val="26"/>
          <w:szCs w:val="26"/>
        </w:rPr>
        <w:t>2.  Pricing &amp; Financial Conditions</w:t>
      </w:r>
    </w:p>
    <w:p w14:paraId="6A0A679F">
      <w:pPr>
        <w:spacing w:before="80"/>
      </w:pPr>
    </w:p>
    <w:p w14:paraId="75415E5F">
      <w:pPr>
        <w:pStyle w:val="17"/>
        <w:numPr>
          <w:ilvl w:val="0"/>
          <w:numId w:val="1"/>
        </w:numPr>
        <w:spacing w:before="60" w:after="60"/>
        <w:ind w:left="360"/>
      </w:pPr>
      <w:r>
        <w:rPr>
          <w:b/>
          <w:bCs/>
          <w:color w:val="2E4B2E"/>
        </w:rPr>
        <w:t>Ledger Fees:</w:t>
      </w:r>
      <w:r>
        <w:rPr>
          <w:rFonts w:hint="default"/>
          <w:b/>
          <w:bCs/>
          <w:color w:val="2E4B2E"/>
          <w:lang w:val="en-US"/>
        </w:rPr>
        <w:t>0</w:t>
      </w:r>
    </w:p>
    <w:p w14:paraId="5152F688">
      <w:pPr>
        <w:pStyle w:val="17"/>
        <w:numPr>
          <w:ilvl w:val="0"/>
          <w:numId w:val="1"/>
        </w:numPr>
        <w:spacing w:before="60" w:after="60"/>
        <w:ind w:left="360"/>
      </w:pPr>
      <w:r>
        <w:rPr>
          <w:b/>
          <w:bCs/>
          <w:color w:val="2E4B2E"/>
        </w:rPr>
        <w:t>Initial Deposit:</w:t>
      </w:r>
      <w:r>
        <w:rPr>
          <w:rFonts w:hint="default"/>
          <w:b/>
          <w:bCs/>
          <w:color w:val="2E4B2E"/>
          <w:lang w:val="en-US"/>
        </w:rPr>
        <w:t>$50</w:t>
      </w:r>
    </w:p>
    <w:p w14:paraId="0BCE65DE">
      <w:pPr>
        <w:pStyle w:val="17"/>
        <w:numPr>
          <w:ilvl w:val="0"/>
          <w:numId w:val="1"/>
        </w:numPr>
        <w:spacing w:before="60" w:after="60"/>
        <w:ind w:left="360"/>
      </w:pPr>
      <w:r>
        <w:rPr>
          <w:b/>
          <w:bCs/>
          <w:color w:val="2E4B2E"/>
        </w:rPr>
        <w:t>Minimum Balance:</w:t>
      </w:r>
    </w:p>
    <w:p w14:paraId="4920D949">
      <w:pPr>
        <w:pStyle w:val="17"/>
        <w:numPr>
          <w:ilvl w:val="0"/>
          <w:numId w:val="1"/>
        </w:numPr>
        <w:spacing w:before="60" w:after="60"/>
        <w:ind w:left="360"/>
      </w:pPr>
      <w:r>
        <w:rPr>
          <w:b/>
          <w:bCs/>
          <w:color w:val="2E4B2E"/>
        </w:rPr>
        <w:t>Transaction Fees:</w:t>
      </w:r>
    </w:p>
    <w:p w14:paraId="004CC25E">
      <w:pPr>
        <w:pStyle w:val="17"/>
        <w:numPr>
          <w:ilvl w:val="0"/>
          <w:numId w:val="2"/>
        </w:numPr>
        <w:spacing w:before="50" w:after="50"/>
        <w:rPr>
          <w:rFonts w:hint="default"/>
          <w:b/>
          <w:bCs/>
          <w:color w:val="2E4B2E"/>
          <w:sz w:val="19"/>
          <w:szCs w:val="19"/>
        </w:rPr>
      </w:pPr>
      <w:r>
        <w:rPr>
          <w:rFonts w:hint="default"/>
          <w:b/>
          <w:bCs/>
          <w:color w:val="2E4B2E"/>
          <w:sz w:val="19"/>
          <w:szCs w:val="19"/>
        </w:rPr>
        <w:t>Internal Tranfers: 0</w:t>
      </w:r>
    </w:p>
    <w:p w14:paraId="34F8A9F4">
      <w:pPr>
        <w:pStyle w:val="17"/>
        <w:numPr>
          <w:ilvl w:val="0"/>
          <w:numId w:val="2"/>
        </w:numPr>
        <w:spacing w:before="50" w:after="50"/>
      </w:pPr>
      <w:r>
        <w:rPr>
          <w:rFonts w:hint="default"/>
          <w:b/>
          <w:bCs/>
          <w:color w:val="2E4B2E"/>
          <w:sz w:val="19"/>
          <w:szCs w:val="19"/>
        </w:rPr>
        <w:t>RTGS Tranfers: 2%</w:t>
      </w:r>
    </w:p>
    <w:p w14:paraId="173F3E39">
      <w:pPr>
        <w:pStyle w:val="17"/>
        <w:numPr>
          <w:ilvl w:val="0"/>
          <w:numId w:val="2"/>
        </w:numPr>
        <w:spacing w:before="50" w:after="50"/>
      </w:pPr>
      <w:r>
        <w:rPr>
          <w:b/>
          <w:bCs/>
          <w:color w:val="2E4B2E"/>
          <w:sz w:val="19"/>
          <w:szCs w:val="19"/>
        </w:rPr>
        <w:t>Cash Withdrawal:</w:t>
      </w:r>
      <w:r>
        <w:rPr>
          <w:rFonts w:hint="default"/>
          <w:b/>
          <w:bCs/>
          <w:color w:val="2E4B2E"/>
          <w:sz w:val="19"/>
          <w:szCs w:val="19"/>
          <w:lang w:val="en-US"/>
        </w:rPr>
        <w:t>0</w:t>
      </w:r>
    </w:p>
    <w:p w14:paraId="6FC56026">
      <w:pPr>
        <w:pStyle w:val="17"/>
        <w:numPr>
          <w:ilvl w:val="0"/>
          <w:numId w:val="2"/>
        </w:numPr>
        <w:spacing w:before="50" w:after="50"/>
      </w:pPr>
      <w:r>
        <w:rPr>
          <w:b/>
          <w:bCs/>
          <w:color w:val="2E4B2E"/>
          <w:sz w:val="19"/>
          <w:szCs w:val="19"/>
        </w:rPr>
        <w:t>Other 1:</w:t>
      </w:r>
    </w:p>
    <w:p w14:paraId="28981487">
      <w:pPr>
        <w:pStyle w:val="17"/>
        <w:numPr>
          <w:ilvl w:val="0"/>
          <w:numId w:val="2"/>
        </w:numPr>
        <w:spacing w:before="50" w:after="50"/>
      </w:pPr>
      <w:r>
        <w:rPr>
          <w:b/>
          <w:bCs/>
          <w:color w:val="2E4B2E"/>
          <w:sz w:val="19"/>
          <w:szCs w:val="19"/>
        </w:rPr>
        <w:t>Other 2:</w:t>
      </w:r>
    </w:p>
    <w:p w14:paraId="7FA0314F">
      <w:pPr>
        <w:pStyle w:val="17"/>
        <w:numPr>
          <w:ilvl w:val="0"/>
          <w:numId w:val="1"/>
        </w:numPr>
        <w:spacing w:before="60" w:after="60"/>
        <w:ind w:left="360"/>
      </w:pPr>
      <w:r>
        <w:rPr>
          <w:b/>
          <w:bCs/>
          <w:color w:val="2E4B2E"/>
        </w:rPr>
        <w:t>Interest (if applicable):</w:t>
      </w:r>
      <w:r>
        <w:rPr>
          <w:rFonts w:hint="default"/>
          <w:b/>
          <w:bCs/>
          <w:color w:val="2E4B2E"/>
          <w:lang w:val="en-US"/>
        </w:rPr>
        <w:t xml:space="preserve"> not applicable</w:t>
      </w:r>
    </w:p>
    <w:p w14:paraId="1597A4CF">
      <w:pPr>
        <w:spacing w:before="160"/>
      </w:pPr>
    </w:p>
    <w:p w14:paraId="3DDDAA09">
      <w:pPr>
        <w:pBdr>
          <w:bottom w:val="single" w:color="7CB342" w:sz="8" w:space="4"/>
        </w:pBdr>
        <w:spacing w:before="300" w:after="80"/>
      </w:pPr>
      <w:r>
        <w:rPr>
          <w:b/>
          <w:bCs/>
          <w:color w:val="33691E"/>
          <w:sz w:val="26"/>
          <w:szCs w:val="26"/>
        </w:rPr>
        <w:t>3.  Loan Product Conditions</w:t>
      </w:r>
    </w:p>
    <w:p w14:paraId="47B9CA6E">
      <w:pPr>
        <w:spacing w:before="80" w:after="120"/>
      </w:pPr>
      <w:r>
        <w:rPr>
          <w:color w:val="777777"/>
        </w:rPr>
        <w:t>Only complete if applicable to this product.</w:t>
      </w:r>
    </w:p>
    <w:p w14:paraId="0B0242AA">
      <w:pPr>
        <w:ind w:left="360"/>
      </w:pPr>
    </w:p>
    <w:tbl>
      <w:tblPr>
        <w:tblStyle w:val="9"/>
        <w:tblW w:w="10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9"/>
        <w:gridCol w:w="2189"/>
        <w:gridCol w:w="2198"/>
        <w:gridCol w:w="2190"/>
        <w:gridCol w:w="2200"/>
      </w:tblGrid>
      <w:tr w14:paraId="0D172D9A">
        <w:trPr>
          <w:tblHeader/>
        </w:trPr>
        <w:tc>
          <w:tcPr>
            <w:tcW w:w="1520" w:type="dxa"/>
            <w:tcBorders>
              <w:top w:val="single" w:color="4A8A4A" w:sz="4" w:space="0"/>
              <w:left w:val="single" w:color="4A8A4A" w:sz="4" w:space="0"/>
              <w:bottom w:val="single" w:color="4A8A4A" w:sz="4" w:space="0"/>
              <w:right w:val="single" w:color="4A8A4A" w:sz="4" w:space="0"/>
            </w:tcBorders>
            <w:shd w:val="clear" w:color="auto" w:fill="7CB3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839D1">
            <w:pPr>
              <w:jc w:val="center"/>
            </w:pPr>
            <w:r>
              <w:rPr>
                <w:b/>
                <w:bCs/>
                <w:color w:val="FFFFFF"/>
              </w:rPr>
              <w:t>Conditions</w:t>
            </w:r>
          </w:p>
        </w:tc>
        <w:tc>
          <w:tcPr>
            <w:tcW w:w="2214" w:type="dxa"/>
            <w:tcBorders>
              <w:top w:val="single" w:color="4A8A4A" w:sz="4" w:space="0"/>
              <w:left w:val="single" w:color="4A8A4A" w:sz="4" w:space="0"/>
              <w:bottom w:val="single" w:color="4A8A4A" w:sz="4" w:space="0"/>
              <w:right w:val="single" w:color="4A8A4A" w:sz="4" w:space="0"/>
            </w:tcBorders>
            <w:shd w:val="clear" w:color="auto" w:fill="7CB3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8BA0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School </w:t>
            </w:r>
            <w:bookmarkStart w:id="0" w:name="_GoBack"/>
            <w:bookmarkEnd w:id="0"/>
            <w:r>
              <w:rPr>
                <w:rFonts w:hint="default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Bus Loan</w:t>
            </w:r>
          </w:p>
        </w:tc>
        <w:tc>
          <w:tcPr>
            <w:tcW w:w="2214" w:type="dxa"/>
            <w:tcBorders>
              <w:top w:val="single" w:color="4A8A4A" w:sz="4" w:space="0"/>
              <w:left w:val="single" w:color="4A8A4A" w:sz="4" w:space="0"/>
              <w:bottom w:val="single" w:color="4A8A4A" w:sz="4" w:space="0"/>
              <w:right w:val="single" w:color="4A8A4A" w:sz="4" w:space="0"/>
            </w:tcBorders>
            <w:shd w:val="clear" w:color="auto" w:fill="7CB3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A224F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Infastructure Loan</w:t>
            </w:r>
          </w:p>
        </w:tc>
        <w:tc>
          <w:tcPr>
            <w:tcW w:w="2214" w:type="dxa"/>
            <w:tcBorders>
              <w:top w:val="single" w:color="4A8A4A" w:sz="4" w:space="0"/>
              <w:left w:val="single" w:color="4A8A4A" w:sz="4" w:space="0"/>
              <w:bottom w:val="single" w:color="4A8A4A" w:sz="4" w:space="0"/>
              <w:right w:val="single" w:color="4A8A4A" w:sz="4" w:space="0"/>
            </w:tcBorders>
            <w:shd w:val="clear" w:color="auto" w:fill="7CB3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77F7D5">
            <w:pPr>
              <w:jc w:val="center"/>
              <w:rPr>
                <w:rFonts w:hint="default"/>
                <w:b/>
                <w:bCs/>
                <w:color w:val="FFFFFF"/>
                <w:lang w:val="en-US"/>
              </w:rPr>
            </w:pPr>
            <w:r>
              <w:rPr>
                <w:rFonts w:hint="default"/>
                <w:b/>
                <w:bCs/>
                <w:color w:val="FFFFFF"/>
                <w:lang w:val="en-US"/>
              </w:rPr>
              <w:t>Starlink Loan</w:t>
            </w:r>
          </w:p>
        </w:tc>
        <w:tc>
          <w:tcPr>
            <w:tcW w:w="2214" w:type="dxa"/>
            <w:tcBorders>
              <w:top w:val="single" w:color="4A8A4A" w:sz="4" w:space="0"/>
              <w:left w:val="single" w:color="4A8A4A" w:sz="4" w:space="0"/>
              <w:bottom w:val="single" w:color="4A8A4A" w:sz="4" w:space="0"/>
              <w:right w:val="single" w:color="4A8A4A" w:sz="4" w:space="0"/>
            </w:tcBorders>
            <w:shd w:val="clear" w:color="auto" w:fill="7CB34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DE6FC">
            <w:pPr>
              <w:jc w:val="center"/>
              <w:rPr>
                <w:rFonts w:hint="default"/>
                <w:b/>
                <w:bCs/>
                <w:color w:val="FFFFFF"/>
                <w:lang w:val="en-US"/>
              </w:rPr>
            </w:pPr>
            <w:r>
              <w:rPr>
                <w:b/>
                <w:bCs/>
                <w:color w:val="FFFFFF"/>
              </w:rPr>
              <w:t>Microfinance</w:t>
            </w:r>
          </w:p>
        </w:tc>
      </w:tr>
      <w:tr w14:paraId="5196D5BE">
        <w:tc>
          <w:tcPr>
            <w:tcW w:w="152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DCEDC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43D97">
            <w:r>
              <w:rPr>
                <w:b/>
                <w:bCs/>
                <w:color w:val="2E4B2E"/>
                <w:sz w:val="19"/>
                <w:szCs w:val="19"/>
              </w:rPr>
              <w:t>Interest Rate</w:t>
            </w:r>
          </w:p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3FDC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11%</w:t>
            </w:r>
          </w:p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F5859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B15312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B5FEA"/>
        </w:tc>
      </w:tr>
      <w:tr w14:paraId="6444BE88">
        <w:tc>
          <w:tcPr>
            <w:tcW w:w="152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DCEDC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8D603A">
            <w:r>
              <w:rPr>
                <w:b/>
                <w:bCs/>
                <w:color w:val="2E4B2E"/>
                <w:sz w:val="19"/>
                <w:szCs w:val="19"/>
              </w:rPr>
              <w:t>Loan Admin &amp; Establishment Fees</w:t>
            </w:r>
          </w:p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98C9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4.5%</w:t>
            </w:r>
          </w:p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029CD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96E411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55AA1"/>
        </w:tc>
      </w:tr>
      <w:tr w14:paraId="7BF1C9EE">
        <w:tc>
          <w:tcPr>
            <w:tcW w:w="152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DCEDC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1D8AA">
            <w:r>
              <w:rPr>
                <w:b/>
                <w:bCs/>
                <w:color w:val="2E4B2E"/>
                <w:sz w:val="19"/>
                <w:szCs w:val="19"/>
              </w:rPr>
              <w:t>Tenure</w:t>
            </w:r>
          </w:p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5B0F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36 months</w:t>
            </w:r>
          </w:p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0F86B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A8097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A8B00"/>
        </w:tc>
      </w:tr>
      <w:tr w14:paraId="5E1A14B7">
        <w:tc>
          <w:tcPr>
            <w:tcW w:w="152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DCEDC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B20F8">
            <w:r>
              <w:rPr>
                <w:b/>
                <w:bCs/>
                <w:color w:val="2E4B2E"/>
                <w:sz w:val="19"/>
                <w:szCs w:val="19"/>
              </w:rPr>
              <w:t>Max Loan Amount</w:t>
            </w:r>
          </w:p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3232B2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913A32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896D0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6FB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9B4EE"/>
        </w:tc>
      </w:tr>
      <w:tr w14:paraId="147D0C27">
        <w:tc>
          <w:tcPr>
            <w:tcW w:w="152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DCEDC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7960F8">
            <w:pPr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color w:val="2E4B2E"/>
                <w:sz w:val="19"/>
                <w:szCs w:val="19"/>
                <w:lang w:val="en-US"/>
              </w:rPr>
              <w:t>Notes</w:t>
            </w:r>
          </w:p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EDB36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F628B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310F8"/>
        </w:tc>
        <w:tc>
          <w:tcPr>
            <w:tcW w:w="221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CAC95"/>
        </w:tc>
      </w:tr>
    </w:tbl>
    <w:p w14:paraId="262B41A0">
      <w:pPr>
        <w:spacing w:before="160"/>
      </w:pPr>
    </w:p>
    <w:p w14:paraId="61CECF3F">
      <w:pPr>
        <w:pBdr>
          <w:bottom w:val="single" w:color="7CB342" w:sz="8" w:space="4"/>
        </w:pBdr>
        <w:spacing w:before="300" w:after="80"/>
      </w:pPr>
      <w:r>
        <w:rPr>
          <w:b/>
          <w:bCs/>
          <w:color w:val="33691E"/>
          <w:sz w:val="26"/>
          <w:szCs w:val="26"/>
        </w:rPr>
        <w:t>4.  Value-Added Services &amp; Features</w:t>
      </w:r>
    </w:p>
    <w:p w14:paraId="08C6002A">
      <w:pPr>
        <w:spacing w:before="80"/>
      </w:pPr>
    </w:p>
    <w:p w14:paraId="5BEE8137">
      <w:pPr>
        <w:spacing w:before="100" w:after="60"/>
        <w:ind w:left="360"/>
      </w:pPr>
      <w:r>
        <w:rPr>
          <w:b/>
          <w:bCs/>
          <w:color w:val="7CB342"/>
          <w:sz w:val="22"/>
          <w:szCs w:val="22"/>
        </w:rPr>
        <w:t>Feature 1</w:t>
      </w:r>
    </w:p>
    <w:p w14:paraId="07FC5755">
      <w:pPr>
        <w:pStyle w:val="17"/>
        <w:numPr>
          <w:ilvl w:val="0"/>
          <w:numId w:val="1"/>
        </w:numPr>
        <w:spacing w:before="60" w:after="60"/>
        <w:ind w:left="720"/>
      </w:pPr>
      <w:r>
        <w:rPr>
          <w:b/>
          <w:bCs/>
          <w:color w:val="2E4B2E"/>
        </w:rPr>
        <w:t>Name:</w:t>
      </w:r>
      <w:r>
        <w:rPr>
          <w:rFonts w:hint="default"/>
          <w:b/>
          <w:bCs/>
          <w:color w:val="2E4B2E"/>
          <w:lang w:val="en-US"/>
        </w:rPr>
        <w:t xml:space="preserve"> Cognify</w:t>
      </w:r>
    </w:p>
    <w:p w14:paraId="407BA683">
      <w:pPr>
        <w:pStyle w:val="17"/>
        <w:numPr>
          <w:ilvl w:val="0"/>
          <w:numId w:val="1"/>
        </w:numPr>
        <w:spacing w:before="60" w:after="60"/>
        <w:ind w:left="720"/>
      </w:pPr>
      <w:r>
        <w:rPr>
          <w:b/>
          <w:bCs/>
          <w:color w:val="2E4B2E"/>
        </w:rPr>
        <w:t>Description:</w:t>
      </w:r>
      <w:r>
        <w:rPr>
          <w:rFonts w:hint="default"/>
          <w:b/>
          <w:bCs/>
          <w:color w:val="2E4B2E"/>
          <w:lang w:val="en-US"/>
        </w:rPr>
        <w:t xml:space="preserve"> AI based learning platform for schools and students</w:t>
      </w:r>
    </w:p>
    <w:p w14:paraId="1B0F3EA3">
      <w:pPr>
        <w:pStyle w:val="17"/>
        <w:numPr>
          <w:ilvl w:val="0"/>
          <w:numId w:val="1"/>
        </w:numPr>
        <w:spacing w:before="60" w:after="60"/>
        <w:ind w:left="720"/>
      </w:pPr>
      <w:r>
        <w:rPr>
          <w:b/>
          <w:bCs/>
          <w:color w:val="2E4B2E"/>
        </w:rPr>
        <w:t>Value Proposition:</w:t>
      </w:r>
      <w:r>
        <w:rPr>
          <w:rFonts w:hint="default"/>
          <w:b/>
          <w:bCs/>
          <w:color w:val="2E4B2E"/>
          <w:lang w:val="en-US"/>
        </w:rPr>
        <w:t xml:space="preserve"> </w:t>
      </w:r>
      <w:r>
        <w:rPr>
          <w:rFonts w:hint="default"/>
          <w:b/>
          <w:bCs/>
          <w:color w:val="2E4B2E"/>
        </w:rPr>
        <w:t>Positions the bank as a digital innovation partner in education while creating early engagement with students, building a pipeline of future customers and enabling data-driven cross-selling opportunities</w:t>
      </w:r>
    </w:p>
    <w:p w14:paraId="65FB931F">
      <w:pPr>
        <w:spacing w:before="60"/>
      </w:pPr>
    </w:p>
    <w:p w14:paraId="7B4147A8">
      <w:pPr>
        <w:spacing w:before="100" w:after="60"/>
        <w:ind w:left="360"/>
      </w:pPr>
      <w:r>
        <w:rPr>
          <w:b/>
          <w:bCs/>
          <w:color w:val="7CB342"/>
          <w:sz w:val="22"/>
          <w:szCs w:val="22"/>
        </w:rPr>
        <w:t>Feature 2</w:t>
      </w:r>
    </w:p>
    <w:p w14:paraId="5566822A">
      <w:pPr>
        <w:pStyle w:val="17"/>
        <w:numPr>
          <w:ilvl w:val="0"/>
          <w:numId w:val="1"/>
        </w:numPr>
        <w:spacing w:before="60" w:after="60"/>
        <w:ind w:left="720"/>
      </w:pPr>
      <w:r>
        <w:rPr>
          <w:b/>
          <w:bCs/>
          <w:color w:val="2E4B2E"/>
        </w:rPr>
        <w:t>Name:</w:t>
      </w:r>
      <w:r>
        <w:rPr>
          <w:rFonts w:hint="default"/>
          <w:b/>
          <w:bCs/>
          <w:color w:val="2E4B2E"/>
          <w:lang w:val="en-US"/>
        </w:rPr>
        <w:t>Financial Guidance</w:t>
      </w:r>
    </w:p>
    <w:p w14:paraId="735EE276">
      <w:pPr>
        <w:pStyle w:val="17"/>
        <w:numPr>
          <w:ilvl w:val="0"/>
          <w:numId w:val="1"/>
        </w:numPr>
        <w:spacing w:before="60" w:after="60"/>
        <w:ind w:left="720"/>
      </w:pPr>
      <w:r>
        <w:rPr>
          <w:b/>
          <w:bCs/>
          <w:color w:val="2E4B2E"/>
        </w:rPr>
        <w:t>Description:</w:t>
      </w:r>
      <w:r>
        <w:rPr>
          <w:rFonts w:hint="default"/>
          <w:b/>
          <w:bCs/>
          <w:color w:val="2E4B2E"/>
          <w:lang w:val="en-US"/>
        </w:rPr>
        <w:t xml:space="preserve"> Teach high school students financial literacy, career guidance, and entrepreneurship, while on-boarding student accounts (make it a savings account with interest)</w:t>
      </w:r>
    </w:p>
    <w:p w14:paraId="1381103C">
      <w:pPr>
        <w:pStyle w:val="17"/>
        <w:numPr>
          <w:ilvl w:val="0"/>
          <w:numId w:val="1"/>
        </w:numPr>
        <w:spacing w:before="60" w:after="60"/>
        <w:ind w:left="720"/>
      </w:pPr>
      <w:r>
        <w:rPr>
          <w:b/>
          <w:bCs/>
          <w:color w:val="2E4B2E"/>
        </w:rPr>
        <w:t>Value Proposition:</w:t>
      </w:r>
      <w:r>
        <w:rPr>
          <w:rFonts w:hint="default"/>
          <w:b/>
          <w:bCs/>
          <w:color w:val="2E4B2E"/>
          <w:lang w:val="en-US"/>
        </w:rPr>
        <w:t xml:space="preserve"> </w:t>
      </w:r>
      <w:r>
        <w:rPr>
          <w:rFonts w:hint="default"/>
          <w:b/>
          <w:bCs/>
          <w:color w:val="2E4B2E"/>
        </w:rPr>
        <w:t>Drives early customer acquisition and long-term retention by embedding the bank into students’ financial journeys, increasing lifetime customer value and future product uptake.</w:t>
      </w:r>
    </w:p>
    <w:p w14:paraId="48DE7F95">
      <w:pPr>
        <w:spacing w:before="60"/>
      </w:pPr>
    </w:p>
    <w:p w14:paraId="44A3D899">
      <w:pPr>
        <w:spacing w:before="100" w:after="60"/>
        <w:ind w:left="360"/>
      </w:pPr>
      <w:r>
        <w:rPr>
          <w:b/>
          <w:bCs/>
          <w:color w:val="7CB342"/>
          <w:sz w:val="22"/>
          <w:szCs w:val="22"/>
        </w:rPr>
        <w:t>Feature 3</w:t>
      </w:r>
    </w:p>
    <w:p w14:paraId="5F7D954C">
      <w:pPr>
        <w:pStyle w:val="17"/>
        <w:numPr>
          <w:numId w:val="0"/>
        </w:numPr>
        <w:spacing w:before="60" w:after="60"/>
        <w:ind w:left="420" w:leftChars="0"/>
      </w:pPr>
    </w:p>
    <w:p w14:paraId="5AECEAAF">
      <w:pPr>
        <w:pStyle w:val="17"/>
        <w:numPr>
          <w:ilvl w:val="0"/>
          <w:numId w:val="1"/>
        </w:numPr>
        <w:spacing w:before="60" w:after="60"/>
        <w:ind w:left="720"/>
      </w:pPr>
      <w:r>
        <w:rPr>
          <w:b/>
          <w:bCs/>
          <w:color w:val="2E4B2E"/>
        </w:rPr>
        <w:t>Name:</w:t>
      </w:r>
      <w:r>
        <w:rPr>
          <w:rFonts w:hint="default"/>
          <w:b/>
          <w:bCs/>
          <w:color w:val="2E4B2E"/>
          <w:lang w:val="en-US"/>
        </w:rPr>
        <w:t xml:space="preserve"> Overdraft (track history of the school deposits)</w:t>
      </w:r>
    </w:p>
    <w:p w14:paraId="6A4F83F1">
      <w:pPr>
        <w:pStyle w:val="17"/>
        <w:numPr>
          <w:ilvl w:val="0"/>
          <w:numId w:val="1"/>
        </w:numPr>
        <w:spacing w:before="60" w:after="60"/>
        <w:ind w:left="720"/>
      </w:pPr>
      <w:r>
        <w:rPr>
          <w:b/>
          <w:bCs/>
          <w:color w:val="2E4B2E"/>
        </w:rPr>
        <w:t>Description:</w:t>
      </w:r>
      <w:r>
        <w:rPr>
          <w:rFonts w:hint="default"/>
          <w:b/>
          <w:bCs/>
          <w:color w:val="2E4B2E"/>
          <w:lang w:val="en-US"/>
        </w:rPr>
        <w:t xml:space="preserve"> We will first target existing schools with accounts, enabling headmasters, teachers, and SDC members to access overdrafts based on school deposit history, especially during peak periods like school opening days.</w:t>
      </w:r>
    </w:p>
    <w:p w14:paraId="37216790">
      <w:pPr>
        <w:pStyle w:val="17"/>
        <w:numPr>
          <w:ilvl w:val="0"/>
          <w:numId w:val="1"/>
        </w:numPr>
        <w:spacing w:before="60" w:after="60"/>
        <w:ind w:left="720"/>
      </w:pPr>
      <w:r>
        <w:rPr>
          <w:b/>
          <w:bCs/>
          <w:color w:val="2E4B2E"/>
        </w:rPr>
        <w:t>Value Proposition:</w:t>
      </w:r>
      <w:r>
        <w:rPr>
          <w:rFonts w:hint="default"/>
          <w:b/>
          <w:bCs/>
          <w:color w:val="2E4B2E"/>
        </w:rPr>
        <w:t>Unlocks new revenue streams by leveraging existing school deposit relationships to offer controlled, low-risk overdrafts, increasing transaction volumes, interest income, and deepening institutional and staff banking relationships.</w:t>
      </w:r>
    </w:p>
    <w:p w14:paraId="35D177AA">
      <w:pPr>
        <w:pStyle w:val="17"/>
        <w:numPr>
          <w:numId w:val="0"/>
        </w:numPr>
        <w:spacing w:before="60" w:after="60"/>
        <w:ind w:left="420" w:leftChars="0"/>
      </w:pPr>
    </w:p>
    <w:p w14:paraId="3EC24A3E">
      <w:pPr>
        <w:spacing w:before="80"/>
      </w:pPr>
    </w:p>
    <w:p w14:paraId="3F86B0AD">
      <w:pPr>
        <w:pBdr>
          <w:bottom w:val="single" w:color="7CB342" w:sz="8" w:space="4"/>
        </w:pBdr>
        <w:spacing w:before="300" w:after="80"/>
      </w:pPr>
      <w:r>
        <w:rPr>
          <w:b/>
          <w:bCs/>
          <w:color w:val="33691E"/>
          <w:sz w:val="26"/>
          <w:szCs w:val="26"/>
        </w:rPr>
        <w:t>5.  Key Selling Points</w:t>
      </w:r>
    </w:p>
    <w:p w14:paraId="188775BD">
      <w:pPr>
        <w:spacing w:before="80"/>
      </w:pPr>
    </w:p>
    <w:p w14:paraId="04277CEC">
      <w:pPr>
        <w:pStyle w:val="17"/>
        <w:numPr>
          <w:ilvl w:val="0"/>
          <w:numId w:val="3"/>
        </w:numPr>
        <w:spacing w:before="80" w:after="80"/>
        <w:ind w:left="360"/>
      </w:pPr>
      <w:r>
        <w:rPr>
          <w:rFonts w:hint="default"/>
        </w:rPr>
        <w:t>End-to-end education ecosystem banking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Provides a holistic solution that serves schools, students, and staff—driving deposits, transactions, and long-term customer acquisition across the entire education value chain.</w:t>
      </w:r>
    </w:p>
    <w:p w14:paraId="6D975E49">
      <w:pPr>
        <w:pStyle w:val="17"/>
        <w:numPr>
          <w:ilvl w:val="0"/>
          <w:numId w:val="3"/>
        </w:numPr>
        <w:spacing w:before="80" w:after="80"/>
        <w:ind w:left="360"/>
      </w:pPr>
      <w:r>
        <w:rPr>
          <w:rFonts w:hint="default"/>
        </w:rPr>
        <w:t>Scalable customer acquisition pipeline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Leverages schools as high-volume acquisition channels to onboard students early, building a strong pipeline of future individual customers with high lifetime value.</w:t>
      </w:r>
    </w:p>
    <w:p w14:paraId="7B875B27">
      <w:pPr>
        <w:pStyle w:val="17"/>
        <w:numPr>
          <w:ilvl w:val="0"/>
          <w:numId w:val="3"/>
        </w:numPr>
        <w:spacing w:before="80" w:after="80"/>
        <w:ind w:left="360"/>
      </w:pPr>
      <w:r>
        <w:rPr>
          <w:rFonts w:hint="default"/>
        </w:rPr>
        <w:t>Data-driven revenue growth opportunities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Utilizes school transaction history and relationships to unlock lending (overdrafts), cross-selling, and increased account activity, boosting interest and fee-based income.</w:t>
      </w:r>
    </w:p>
    <w:p w14:paraId="438684C3">
      <w:pPr>
        <w:pStyle w:val="17"/>
        <w:numPr>
          <w:numId w:val="0"/>
        </w:numPr>
        <w:spacing w:before="80" w:after="80"/>
        <w:rPr>
          <w:rFonts w:hint="default"/>
        </w:rPr>
      </w:pPr>
    </w:p>
    <w:p w14:paraId="42575B16">
      <w:pPr>
        <w:pBdr>
          <w:bottom w:val="single" w:color="7CB342" w:sz="8" w:space="4"/>
        </w:pBdr>
        <w:spacing w:before="300" w:after="80"/>
        <w:rPr>
          <w:rFonts w:hint="default"/>
          <w:lang w:val="en-US"/>
        </w:rPr>
      </w:pPr>
      <w:r>
        <w:rPr>
          <w:rFonts w:hint="default"/>
          <w:b/>
          <w:bCs/>
          <w:color w:val="33691E"/>
          <w:sz w:val="26"/>
          <w:szCs w:val="26"/>
          <w:lang w:val="en-US"/>
        </w:rPr>
        <w:t>6</w:t>
      </w:r>
      <w:r>
        <w:rPr>
          <w:b/>
          <w:bCs/>
          <w:color w:val="33691E"/>
          <w:sz w:val="26"/>
          <w:szCs w:val="26"/>
        </w:rPr>
        <w:t xml:space="preserve">. </w:t>
      </w:r>
      <w:r>
        <w:rPr>
          <w:rFonts w:hint="default"/>
          <w:b/>
          <w:bCs/>
          <w:color w:val="33691E"/>
          <w:sz w:val="26"/>
          <w:szCs w:val="26"/>
          <w:lang w:val="en-US"/>
        </w:rPr>
        <w:t>Customer Acquisition Strategy</w:t>
      </w:r>
    </w:p>
    <w:p w14:paraId="79BA50A8">
      <w:pPr>
        <w:spacing w:before="80"/>
        <w:rPr>
          <w:rFonts w:hint="default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Strategy 1</w:t>
      </w:r>
    </w:p>
    <w:p w14:paraId="48768F17">
      <w:pPr>
        <w:pStyle w:val="17"/>
        <w:numPr>
          <w:ilvl w:val="0"/>
          <w:numId w:val="1"/>
        </w:numPr>
        <w:spacing w:before="60" w:after="60"/>
        <w:ind w:left="720"/>
      </w:pPr>
      <w:r>
        <w:rPr>
          <w:b/>
          <w:bCs/>
          <w:color w:val="2E4B2E"/>
        </w:rPr>
        <w:t>Description:</w:t>
      </w:r>
      <w:r>
        <w:rPr>
          <w:rFonts w:hint="default"/>
          <w:b/>
          <w:bCs/>
          <w:color w:val="2E4B2E"/>
          <w:lang w:val="en-US"/>
        </w:rPr>
        <w:t xml:space="preserve"> During orientation week, AFC deploys mobile teams/vehicles to onboard students and open accounts on-site. </w:t>
      </w:r>
      <w:r>
        <w:rPr>
          <w:rFonts w:hint="default"/>
          <w:b/>
          <w:bCs/>
          <w:color w:val="2E4B2E"/>
        </w:rPr>
        <w:t xml:space="preserve">Accelerates account acquisition at scale by capturing students at high-conversion moments, reducing </w:t>
      </w:r>
      <w:r>
        <w:rPr>
          <w:rFonts w:hint="default"/>
          <w:b/>
          <w:bCs/>
          <w:color w:val="2E4B2E"/>
          <w:lang w:val="en-US"/>
        </w:rPr>
        <w:t>on boarding</w:t>
      </w:r>
      <w:r>
        <w:rPr>
          <w:rFonts w:hint="default"/>
          <w:b/>
          <w:bCs/>
          <w:color w:val="2E4B2E"/>
        </w:rPr>
        <w:t xml:space="preserve"> friction and lowering customer acquisition costs</w:t>
      </w:r>
    </w:p>
    <w:p w14:paraId="711EC75B">
      <w:pPr>
        <w:pStyle w:val="17"/>
        <w:numPr>
          <w:numId w:val="0"/>
        </w:numPr>
        <w:spacing w:before="60" w:after="60"/>
        <w:ind w:left="420" w:leftChars="0"/>
      </w:pPr>
    </w:p>
    <w:p w14:paraId="02A35E0D">
      <w:pPr>
        <w:pStyle w:val="17"/>
        <w:numPr>
          <w:numId w:val="0"/>
        </w:numPr>
        <w:spacing w:before="80" w:after="80"/>
        <w:rPr>
          <w:rFonts w:hint="default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 xml:space="preserve">Strategy 2 </w:t>
      </w:r>
    </w:p>
    <w:p w14:paraId="10D90C3F">
      <w:pPr>
        <w:pStyle w:val="17"/>
        <w:numPr>
          <w:ilvl w:val="0"/>
          <w:numId w:val="1"/>
        </w:numPr>
        <w:spacing w:before="60" w:after="60"/>
        <w:ind w:left="720"/>
        <w:rPr>
          <w:rFonts w:hint="default"/>
          <w:lang w:val="en-US"/>
        </w:rPr>
      </w:pPr>
      <w:r>
        <w:rPr>
          <w:b/>
          <w:bCs/>
          <w:color w:val="2E4B2E"/>
        </w:rPr>
        <w:t>Description:</w:t>
      </w:r>
      <w:r>
        <w:rPr>
          <w:rFonts w:hint="default"/>
          <w:b/>
          <w:bCs/>
          <w:color w:val="2E4B2E"/>
          <w:lang w:val="en-US"/>
        </w:rPr>
        <w:t xml:space="preserve"> During financial guidance training, we will take the opportunity to  on-board student savings accounts with interest. It d</w:t>
      </w:r>
      <w:r>
        <w:rPr>
          <w:rFonts w:hint="default"/>
          <w:b/>
          <w:bCs/>
          <w:color w:val="2E4B2E"/>
        </w:rPr>
        <w:t>rives early customer acquisition and long-term retention by embedding the bank into students’ financial journeys, increasing lifetime customer value and future product uptake.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1C271">
    <w:pPr>
      <w:pBdr>
        <w:top w:val="single" w:color="7CB342" w:sz="6" w:space="2"/>
      </w:pBdr>
      <w:jc w:val="center"/>
    </w:pPr>
    <w:r>
      <w:rPr>
        <w:color w:val="7CB342"/>
        <w:sz w:val="16"/>
        <w:szCs w:val="16"/>
      </w:rPr>
      <w:t xml:space="preserve">For Internal Use Only  •  AFC Commercial Bank  •  Page </w:t>
    </w:r>
    <w:r>
      <w:rPr>
        <w:color w:val="7CB342"/>
        <w:sz w:val="16"/>
        <w:szCs w:val="16"/>
      </w:rPr>
      <w:fldChar w:fldCharType="begin"/>
    </w:r>
    <w:r>
      <w:rPr>
        <w:color w:val="7CB342"/>
        <w:sz w:val="16"/>
        <w:szCs w:val="16"/>
      </w:rPr>
      <w:instrText xml:space="preserve">PAGE</w:instrText>
    </w:r>
    <w:r>
      <w:rPr>
        <w:color w:val="7CB342"/>
        <w:sz w:val="16"/>
        <w:szCs w:val="16"/>
      </w:rPr>
      <w:fldChar w:fldCharType="separate"/>
    </w:r>
    <w:r>
      <w:rPr>
        <w:color w:val="7CB342"/>
        <w:sz w:val="16"/>
        <w:szCs w:val="16"/>
      </w:rPr>
      <w:t>1</w:t>
    </w:r>
    <w:r>
      <w:rPr>
        <w:color w:val="7CB342"/>
        <w:sz w:val="16"/>
        <w:szCs w:val="16"/>
      </w:rPr>
      <w:fldChar w:fldCharType="end"/>
    </w:r>
    <w:r>
      <w:rPr>
        <w:color w:val="7CB342"/>
        <w:sz w:val="16"/>
        <w:szCs w:val="16"/>
      </w:rPr>
      <w:t xml:space="preserve"> of </w:t>
    </w:r>
    <w:r>
      <w:rPr>
        <w:color w:val="7CB342"/>
        <w:sz w:val="16"/>
        <w:szCs w:val="16"/>
      </w:rPr>
      <w:fldChar w:fldCharType="begin"/>
    </w:r>
    <w:r>
      <w:rPr>
        <w:color w:val="7CB342"/>
        <w:sz w:val="16"/>
        <w:szCs w:val="16"/>
      </w:rPr>
      <w:instrText xml:space="preserve">NUMPAGES</w:instrText>
    </w:r>
    <w:r>
      <w:rPr>
        <w:color w:val="7CB342"/>
        <w:sz w:val="16"/>
        <w:szCs w:val="16"/>
      </w:rPr>
      <w:fldChar w:fldCharType="separate"/>
    </w:r>
    <w:r>
      <w:rPr>
        <w:color w:val="7CB342"/>
        <w:sz w:val="16"/>
        <w:szCs w:val="16"/>
      </w:rPr>
      <w:t>2</w:t>
    </w:r>
    <w:r>
      <w:rPr>
        <w:color w:val="7CB342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91D14">
    <w:pPr>
      <w:pBdr>
        <w:bottom w:val="single" w:color="7CB342" w:sz="6" w:space="2"/>
      </w:pBdr>
      <w:jc w:val="right"/>
    </w:pPr>
    <w:r>
      <w:rPr>
        <w:color w:val="7CB342"/>
        <w:sz w:val="16"/>
        <w:szCs w:val="16"/>
      </w:rPr>
      <w:t>AFC Commercial Bank  |  Value Proposition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9B5613"/>
    <w:multiLevelType w:val="multilevel"/>
    <w:tmpl w:val="1A9B5613"/>
    <w:lvl w:ilvl="0" w:tentative="0">
      <w:start w:val="1"/>
      <w:numFmt w:val="bullet"/>
      <w:lvlText w:val="○"/>
      <w:lvlJc w:val="left"/>
      <w:pPr>
        <w:ind w:left="90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5CB262A4"/>
    <w:multiLevelType w:val="multilevel"/>
    <w:tmpl w:val="5CB262A4"/>
    <w:lvl w:ilvl="0" w:tentative="0">
      <w:start w:val="1"/>
      <w:numFmt w:val="bullet"/>
      <w:lvlText w:val="•"/>
      <w:lvlJc w:val="left"/>
      <w:pPr>
        <w:ind w:left="600" w:hanging="30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636733AB"/>
    <w:multiLevelType w:val="multilevel"/>
    <w:tmpl w:val="636733AB"/>
    <w:lvl w:ilvl="0" w:tentative="0">
      <w:start w:val="1"/>
      <w:numFmt w:val="bullet"/>
      <w:lvlText w:val="✦"/>
      <w:lvlJc w:val="left"/>
      <w:pPr>
        <w:ind w:left="600" w:hanging="30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0D"/>
    <w:rsid w:val="002635A1"/>
    <w:rsid w:val="00335D0D"/>
    <w:rsid w:val="00795C14"/>
    <w:rsid w:val="47D233E6"/>
    <w:rsid w:val="7A1FEDF3"/>
    <w:rsid w:val="BEFEC2D2"/>
    <w:rsid w:val="C37B888B"/>
    <w:rsid w:val="FFA2F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lang w:val="en-ZW" w:eastAsia="en-ZW" w:bidi="ar-SA"/>
    </w:rPr>
  </w:style>
  <w:style w:type="paragraph" w:styleId="2">
    <w:name w:val="heading 1"/>
    <w:qFormat/>
    <w:uiPriority w:val="0"/>
    <w:pPr>
      <w:outlineLvl w:val="0"/>
    </w:pPr>
    <w:rPr>
      <w:rFonts w:ascii="Arial" w:hAnsi="Arial" w:eastAsia="Arial" w:cs="Arial"/>
      <w:color w:val="2E74B5"/>
      <w:sz w:val="32"/>
      <w:szCs w:val="32"/>
      <w:lang w:val="en-ZW" w:eastAsia="en-ZW" w:bidi="ar-SA"/>
    </w:rPr>
  </w:style>
  <w:style w:type="paragraph" w:styleId="3">
    <w:name w:val="heading 2"/>
    <w:qFormat/>
    <w:uiPriority w:val="0"/>
    <w:pPr>
      <w:outlineLvl w:val="1"/>
    </w:pPr>
    <w:rPr>
      <w:rFonts w:ascii="Arial" w:hAnsi="Arial" w:eastAsia="Arial" w:cs="Arial"/>
      <w:color w:val="2E74B5"/>
      <w:sz w:val="26"/>
      <w:szCs w:val="26"/>
      <w:lang w:val="en-ZW" w:eastAsia="en-ZW" w:bidi="ar-SA"/>
    </w:rPr>
  </w:style>
  <w:style w:type="paragraph" w:styleId="4">
    <w:name w:val="heading 3"/>
    <w:qFormat/>
    <w:uiPriority w:val="0"/>
    <w:pPr>
      <w:outlineLvl w:val="2"/>
    </w:pPr>
    <w:rPr>
      <w:rFonts w:ascii="Arial" w:hAnsi="Arial" w:eastAsia="Arial" w:cs="Arial"/>
      <w:color w:val="1F4D78"/>
      <w:sz w:val="24"/>
      <w:szCs w:val="24"/>
      <w:lang w:val="en-ZW" w:eastAsia="en-ZW" w:bidi="ar-SA"/>
    </w:rPr>
  </w:style>
  <w:style w:type="paragraph" w:styleId="5">
    <w:name w:val="heading 4"/>
    <w:qFormat/>
    <w:uiPriority w:val="0"/>
    <w:pPr>
      <w:outlineLvl w:val="3"/>
    </w:pPr>
    <w:rPr>
      <w:rFonts w:ascii="Arial" w:hAnsi="Arial" w:eastAsia="Arial" w:cs="Arial"/>
      <w:i/>
      <w:iCs/>
      <w:color w:val="2E74B5"/>
      <w:lang w:val="en-ZW" w:eastAsia="en-ZW" w:bidi="ar-SA"/>
    </w:rPr>
  </w:style>
  <w:style w:type="paragraph" w:styleId="6">
    <w:name w:val="heading 5"/>
    <w:qFormat/>
    <w:uiPriority w:val="0"/>
    <w:pPr>
      <w:outlineLvl w:val="4"/>
    </w:pPr>
    <w:rPr>
      <w:rFonts w:ascii="Arial" w:hAnsi="Arial" w:eastAsia="Arial" w:cs="Arial"/>
      <w:color w:val="2E74B5"/>
      <w:lang w:val="en-ZW" w:eastAsia="en-ZW" w:bidi="ar-SA"/>
    </w:rPr>
  </w:style>
  <w:style w:type="paragraph" w:styleId="7">
    <w:name w:val="heading 6"/>
    <w:qFormat/>
    <w:uiPriority w:val="0"/>
    <w:pPr>
      <w:outlineLvl w:val="5"/>
    </w:pPr>
    <w:rPr>
      <w:rFonts w:ascii="Arial" w:hAnsi="Arial" w:eastAsia="Arial" w:cs="Arial"/>
      <w:color w:val="1F4D78"/>
      <w:lang w:val="en-ZW" w:eastAsia="en-ZW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0"/>
    <w:unhideWhenUsed/>
    <w:uiPriority w:val="99"/>
    <w:pPr>
      <w:tabs>
        <w:tab w:val="center" w:pos="4513"/>
        <w:tab w:val="right" w:pos="9026"/>
      </w:tabs>
    </w:pPr>
  </w:style>
  <w:style w:type="character" w:styleId="11">
    <w:name w:val="footnote reference"/>
    <w:semiHidden/>
    <w:unhideWhenUsed/>
    <w:uiPriority w:val="99"/>
    <w:rPr>
      <w:vertAlign w:val="superscript"/>
    </w:rPr>
  </w:style>
  <w:style w:type="paragraph" w:styleId="12">
    <w:name w:val="footnote text"/>
    <w:link w:val="18"/>
    <w:semiHidden/>
    <w:unhideWhenUsed/>
    <w:uiPriority w:val="99"/>
    <w:rPr>
      <w:rFonts w:ascii="Arial" w:hAnsi="Arial" w:eastAsia="Arial" w:cs="Arial"/>
      <w:color w:val="1A1A1A"/>
      <w:lang w:val="en-ZW" w:eastAsia="en-ZW" w:bidi="ar-SA"/>
    </w:rPr>
  </w:style>
  <w:style w:type="paragraph" w:styleId="13">
    <w:name w:val="header"/>
    <w:basedOn w:val="1"/>
    <w:link w:val="19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  <w:lang w:val="en-ZW" w:eastAsia="en-ZW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color w:val="1A1A1A"/>
      <w:lang w:val="en-ZW" w:eastAsia="en-ZW" w:bidi="ar-SA"/>
    </w:rPr>
  </w:style>
  <w:style w:type="paragraph" w:styleId="17">
    <w:name w:val="List Paragraph"/>
    <w:qFormat/>
    <w:uiPriority w:val="0"/>
    <w:rPr>
      <w:rFonts w:ascii="Arial" w:hAnsi="Arial" w:eastAsia="Arial" w:cs="Arial"/>
      <w:color w:val="1A1A1A"/>
      <w:lang w:val="en-ZW" w:eastAsia="en-ZW" w:bidi="ar-SA"/>
    </w:rPr>
  </w:style>
  <w:style w:type="character" w:customStyle="1" w:styleId="18">
    <w:name w:val="Footnote Text Char"/>
    <w:link w:val="12"/>
    <w:semiHidden/>
    <w:unhideWhenUsed/>
    <w:uiPriority w:val="99"/>
    <w:rPr>
      <w:sz w:val="20"/>
      <w:szCs w:val="20"/>
    </w:rPr>
  </w:style>
  <w:style w:type="character" w:customStyle="1" w:styleId="19">
    <w:name w:val="Header Char"/>
    <w:basedOn w:val="8"/>
    <w:link w:val="13"/>
    <w:uiPriority w:val="99"/>
  </w:style>
  <w:style w:type="character" w:customStyle="1" w:styleId="20">
    <w:name w:val="Footer Char"/>
    <w:basedOn w:val="8"/>
    <w:link w:val="10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139</Words>
  <Characters>796</Characters>
  <Lines>6</Lines>
  <Paragraphs>1</Paragraphs>
  <TotalTime>23</TotalTime>
  <ScaleCrop>false</ScaleCrop>
  <LinksUpToDate>false</LinksUpToDate>
  <CharactersWithSpaces>934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2026-03-20T09:24:00Z</dcterms:created>
  <dc:creator>Un-named</dc:creator>
  <cp:lastModifiedBy>patiencemupikeni</cp:lastModifiedBy>
  <dcterms:modified xsi:type="dcterms:W3CDTF">2026-03-21T10:33:49Z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8D5F3798D8641B5CBE50BE6936E7F6C4_43</vt:lpwstr>
  </property>
</Properties>
</file>