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120"/>
        <w:gridCol w:w="3600"/>
      </w:tblGrid>
      <w:tr>
        <w:tc>
          <w:tcPr>
            <w:tcW w:type="dxa" w:w="6120"/>
            <w:tcBorders>
              <w:top w:val="none"/>
              <w:left w:val="none"/>
              <w:bottom w:val="none"/>
              <w:right w:val="none"/>
            </w:tcBorders>
            <w:tcMar>
              <w:top w:type="dxa" w:w="0"/>
              <w:left w:type="dxa" w:w="0"/>
              <w:bottom w:type="dxa" w:w="0"/>
              <w:right w:type="dxa" w:w="120"/>
            </w:tcMar>
          </w:tcPr>
          <w:p>
            <w:pPr>
              <w:spacing w:after="20"/>
            </w:pPr>
            <w:r>
              <w:rPr>
                <w:rFonts w:ascii="Arial" w:cs="Arial" w:eastAsia="Arial" w:hAnsi="Arial"/>
                <w:b/>
                <w:bCs/>
                <w:color w:val="1F3864"/>
                <w:sz w:val="34"/>
                <w:szCs w:val="34"/>
              </w:rPr>
              <w:t xml:space="preserve">Artificial Intelligence Initiative Africa</w:t>
            </w:r>
          </w:p>
          <w:p>
            <w:pPr>
              <w:spacing w:after="20"/>
            </w:pPr>
            <w:r>
              <w:rPr>
                <w:rFonts w:ascii="Arial" w:cs="Arial" w:eastAsia="Arial" w:hAnsi="Arial"/>
                <w:b/>
                <w:bCs/>
                <w:color w:val="C9930B"/>
                <w:sz w:val="18"/>
                <w:szCs w:val="18"/>
              </w:rPr>
              <w:t xml:space="preserve">HM 000067  |  HEXCO Accredited</w:t>
            </w:r>
          </w:p>
          <w:p>
            <w:pPr>
              <w:spacing w:after="20"/>
            </w:pPr>
            <w:r>
              <w:rPr>
                <w:rFonts w:ascii="Arial" w:cs="Arial" w:eastAsia="Arial" w:hAnsi="Arial"/>
                <w:color w:val="555555"/>
                <w:sz w:val="18"/>
                <w:szCs w:val="18"/>
              </w:rPr>
              <w:t xml:space="preserve">275 Herbert Chitepo Ave, Harare, Zimbabwe</w:t>
            </w:r>
          </w:p>
          <w:p>
            <w:pPr>
              <w:spacing w:after="20"/>
            </w:pPr>
            <w:r>
              <w:rPr>
                <w:rFonts w:ascii="Arial" w:cs="Arial" w:eastAsia="Arial" w:hAnsi="Arial"/>
                <w:color w:val="555555"/>
                <w:sz w:val="18"/>
                <w:szCs w:val="18"/>
              </w:rPr>
              <w:t xml:space="preserve">+263 78 643 4998  |  admin@aiinitiativeafrica.com</w:t>
            </w:r>
          </w:p>
          <w:p>
            <w:pPr>
              <w:spacing w:after="0"/>
            </w:pPr>
            <w:r>
              <w:rPr>
                <w:rFonts w:ascii="Arial" w:cs="Arial" w:eastAsia="Arial" w:hAnsi="Arial"/>
                <w:color w:val="555555"/>
                <w:sz w:val="18"/>
                <w:szCs w:val="18"/>
              </w:rPr>
              <w:t xml:space="preserve">www.aiinstituteafrica.com</w:t>
            </w:r>
          </w:p>
        </w:tc>
        <w:tc>
          <w:tcPr>
            <w:tcW w:type="dxa" w:w="3600"/>
            <w:tcBorders>
              <w:top w:val="none"/>
              <w:left w:val="none"/>
              <w:bottom w:val="none"/>
              <w:right w:val="none"/>
            </w:tcBorders>
            <w:tcMar>
              <w:top w:type="dxa" w:w="0"/>
              <w:left w:type="dxa" w:w="120"/>
              <w:bottom w:type="dxa" w:w="0"/>
              <w:right w:type="dxa" w:w="0"/>
            </w:tcMar>
            <w:vAlign w:val="top"/>
          </w:tcPr>
          <w:p>
            <w:pPr>
              <w:spacing w:after="20"/>
              <w:jc w:val="right"/>
            </w:pPr>
            <w:r>
              <w:rPr>
                <w:rFonts w:ascii="Arial" w:cs="Arial" w:eastAsia="Arial" w:hAnsi="Arial"/>
                <w:color w:val="555555"/>
                <w:sz w:val="20"/>
                <w:szCs w:val="20"/>
              </w:rPr>
              <w:t xml:space="preserve">9 July 2026</w:t>
            </w:r>
          </w:p>
          <w:p>
            <w:pPr>
              <w:spacing w:after="0"/>
              <w:jc w:val="right"/>
            </w:pPr>
            <w:r>
              <w:rPr>
                <w:rFonts w:ascii="Arial" w:cs="Arial" w:eastAsia="Arial" w:hAnsi="Arial"/>
                <w:i/>
                <w:iCs/>
                <w:color w:val="777777"/>
                <w:sz w:val="18"/>
                <w:szCs w:val="18"/>
              </w:rPr>
              <w:t xml:space="preserve">Procurement Ref: AFC10/2026</w:t>
            </w:r>
          </w:p>
        </w:tc>
      </w:tr>
    </w:tbl>
    <w:p>
      <w:pPr>
        <w:pBdr>
          <w:bottom w:val="single" w:color="C9930B" w:sz="8" w:space="1"/>
        </w:pBdr>
        <w:spacing w:after="200" w:before="120"/>
      </w:pPr>
    </w:p>
    <w:p>
      <w:pPr>
        <w:spacing w:after="0"/>
        <w:jc w:val="left"/>
      </w:pPr>
      <w:r>
        <w:rPr>
          <w:rFonts w:ascii="Arial" w:cs="Arial" w:eastAsia="Arial" w:hAnsi="Arial"/>
          <w:b w:val="false"/>
          <w:bCs w:val="false"/>
          <w:i w:val="false"/>
          <w:iCs w:val="false"/>
          <w:sz w:val="22"/>
          <w:szCs w:val="22"/>
        </w:rPr>
        <w:t xml:space="preserve">Group Head – Procurement Management Unit</w:t>
      </w:r>
    </w:p>
    <w:p>
      <w:pPr>
        <w:spacing w:after="0"/>
        <w:jc w:val="left"/>
      </w:pPr>
      <w:r>
        <w:rPr>
          <w:rFonts w:ascii="Arial" w:cs="Arial" w:eastAsia="Arial" w:hAnsi="Arial"/>
          <w:b w:val="false"/>
          <w:bCs w:val="false"/>
          <w:i w:val="false"/>
          <w:iCs w:val="false"/>
          <w:sz w:val="22"/>
          <w:szCs w:val="22"/>
        </w:rPr>
        <w:t xml:space="preserve">AFC Holdings Limited</w:t>
      </w:r>
    </w:p>
    <w:p>
      <w:pPr>
        <w:spacing w:after="0"/>
        <w:jc w:val="left"/>
      </w:pPr>
      <w:r>
        <w:rPr>
          <w:rFonts w:ascii="Arial" w:cs="Arial" w:eastAsia="Arial" w:hAnsi="Arial"/>
          <w:b w:val="false"/>
          <w:bCs w:val="false"/>
          <w:i w:val="false"/>
          <w:iCs w:val="false"/>
          <w:sz w:val="22"/>
          <w:szCs w:val="22"/>
        </w:rPr>
        <w:t xml:space="preserve">14-16 N. Mandela Avenue</w:t>
      </w:r>
    </w:p>
    <w:p>
      <w:pPr>
        <w:spacing w:after="160"/>
        <w:jc w:val="left"/>
      </w:pPr>
      <w:r>
        <w:rPr>
          <w:rFonts w:ascii="Arial" w:cs="Arial" w:eastAsia="Arial" w:hAnsi="Arial"/>
          <w:b w:val="false"/>
          <w:bCs w:val="false"/>
          <w:i w:val="false"/>
          <w:iCs w:val="false"/>
          <w:sz w:val="22"/>
          <w:szCs w:val="22"/>
        </w:rPr>
        <w:t xml:space="preserve">Harare, Zimbabwe</w:t>
      </w:r>
    </w:p>
    <w:p>
      <w:pPr>
        <w:spacing w:after="100"/>
      </w:pPr>
    </w:p>
    <w:p>
      <w:pPr>
        <w:spacing w:after="200"/>
      </w:pPr>
      <w:r>
        <w:rPr>
          <w:rFonts w:ascii="Arial" w:cs="Arial" w:eastAsia="Arial" w:hAnsi="Arial"/>
          <w:b/>
          <w:bCs/>
          <w:color w:val="1F3864"/>
          <w:sz w:val="22"/>
          <w:szCs w:val="22"/>
        </w:rPr>
        <w:t xml:space="preserve">RE: PROVISION OF ARTIFICIAL INTELLIGENCE TRAINING SERVICES — PROCUREMENT REFERENCE NO. AFC10/2026</w:t>
      </w:r>
    </w:p>
    <w:p>
      <w:pPr>
        <w:spacing w:after="160"/>
        <w:jc w:val="left"/>
      </w:pPr>
      <w:r>
        <w:rPr>
          <w:rFonts w:ascii="Arial" w:cs="Arial" w:eastAsia="Arial" w:hAnsi="Arial"/>
          <w:b w:val="false"/>
          <w:bCs w:val="false"/>
          <w:i w:val="false"/>
          <w:iCs w:val="false"/>
          <w:sz w:val="22"/>
          <w:szCs w:val="22"/>
        </w:rPr>
        <w:t xml:space="preserve">Dear Procurement Committee,</w:t>
      </w:r>
    </w:p>
    <w:p>
      <w:pPr>
        <w:spacing w:after="160"/>
        <w:jc w:val="left"/>
      </w:pPr>
      <w:r>
        <w:rPr>
          <w:rFonts w:ascii="Arial" w:cs="Arial" w:eastAsia="Arial" w:hAnsi="Arial"/>
          <w:sz w:val="22"/>
          <w:szCs w:val="22"/>
        </w:rPr>
        <w:t xml:space="preserve">Artificial Intelligence Initiative Africa </w:t>
      </w:r>
      <w:r>
        <w:rPr>
          <w:rFonts w:ascii="Arial" w:cs="Arial" w:eastAsia="Arial" w:hAnsi="Arial"/>
          <w:b/>
          <w:bCs/>
          <w:sz w:val="22"/>
          <w:szCs w:val="22"/>
        </w:rPr>
        <w:t xml:space="preserve">(AIIA)</w:t>
      </w:r>
      <w:r>
        <w:rPr>
          <w:rFonts w:ascii="Arial" w:cs="Arial" w:eastAsia="Arial" w:hAnsi="Arial"/>
          <w:sz w:val="22"/>
          <w:szCs w:val="22"/>
        </w:rPr>
        <w:t xml:space="preserve"> is pleased to submit this proposal in response to AFC Holdings Limited's Request for Proposals for the Provision of Artificial Intelligence Training Services (Ref: AFC10/2026). We are confident that AIIA is exceptionally well placed to deliver the comprehensive AI and Digital Banking Transformation Programme that AFC requires, and we welcome the opportunity to demonstrate that capability through this submission.</w:t>
      </w:r>
    </w:p>
    <w:p>
      <w:pPr>
        <w:spacing w:after="120" w:before="280"/>
      </w:pPr>
      <w:r>
        <w:rPr>
          <w:rFonts w:ascii="Arial" w:cs="Arial" w:eastAsia="Arial" w:hAnsi="Arial"/>
          <w:b/>
          <w:bCs/>
          <w:color w:val="1F3864"/>
          <w:sz w:val="24"/>
          <w:szCs w:val="24"/>
        </w:rPr>
        <w:t xml:space="preserve">1.  Who We Are</w:t>
      </w:r>
    </w:p>
    <w:p>
      <w:pPr>
        <w:spacing w:after="160"/>
        <w:jc w:val="left"/>
      </w:pPr>
      <w:r>
        <w:rPr>
          <w:rFonts w:ascii="Arial" w:cs="Arial" w:eastAsia="Arial" w:hAnsi="Arial"/>
          <w:b w:val="false"/>
          <w:bCs w:val="false"/>
          <w:i w:val="false"/>
          <w:iCs w:val="false"/>
          <w:sz w:val="22"/>
          <w:szCs w:val="22"/>
        </w:rPr>
        <w:t xml:space="preserve">AIIA is a specialist Artificial Intelligence training and capacity-development institution headquartered in Harare, Zimbabwe. We offer a structured portfolio of AI-focused training programmes, professional certificates, and accredited diploma pathways designed for corporate, government, and financial-sector audiences. Our work is guided by a singular mission: to advance the responsible adoption of Artificial Intelligence across Africa by building the talent, institutional capability, and governance frameworks that lasting digital transformation requires.</w:t>
      </w:r>
    </w:p>
    <w:p>
      <w:pPr>
        <w:spacing w:after="160"/>
        <w:jc w:val="left"/>
      </w:pPr>
      <w:r>
        <w:rPr>
          <w:rFonts w:ascii="Arial" w:cs="Arial" w:eastAsia="Arial" w:hAnsi="Arial"/>
          <w:b/>
          <w:bCs/>
          <w:sz w:val="22"/>
          <w:szCs w:val="22"/>
        </w:rPr>
        <w:t xml:space="preserve">Accreditation: </w:t>
      </w:r>
      <w:r>
        <w:rPr>
          <w:rFonts w:ascii="Arial" w:cs="Arial" w:eastAsia="Arial" w:hAnsi="Arial"/>
          <w:sz w:val="22"/>
          <w:szCs w:val="22"/>
        </w:rPr>
        <w:t xml:space="preserve">AIIA is accredited by the Higher Education Examination Council of Zimbabwe (HEXCO) under serial number </w:t>
      </w:r>
      <w:r>
        <w:rPr>
          <w:rFonts w:ascii="Arial" w:cs="Arial" w:eastAsia="Arial" w:hAnsi="Arial"/>
          <w:b/>
          <w:bCs/>
          <w:sz w:val="22"/>
          <w:szCs w:val="22"/>
        </w:rPr>
        <w:t xml:space="preserve">HM 000067</w:t>
      </w:r>
      <w:r>
        <w:rPr>
          <w:rFonts w:ascii="Arial" w:cs="Arial" w:eastAsia="Arial" w:hAnsi="Arial"/>
          <w:sz w:val="22"/>
          <w:szCs w:val="22"/>
        </w:rPr>
        <w:t xml:space="preserve">, affirming the quality, rigour, and formal recognition of our training programmes and certifications.</w:t>
      </w:r>
    </w:p>
    <w:p>
      <w:pPr>
        <w:spacing w:after="160"/>
        <w:jc w:val="left"/>
      </w:pPr>
      <w:r>
        <w:rPr>
          <w:rFonts w:ascii="Arial" w:cs="Arial" w:eastAsia="Arial" w:hAnsi="Arial"/>
          <w:b/>
          <w:bCs/>
          <w:sz w:val="22"/>
          <w:szCs w:val="22"/>
        </w:rPr>
        <w:t xml:space="preserve">Ministry Partnership: </w:t>
      </w:r>
      <w:r>
        <w:rPr>
          <w:rFonts w:ascii="Arial" w:cs="Arial" w:eastAsia="Arial" w:hAnsi="Arial"/>
          <w:sz w:val="22"/>
          <w:szCs w:val="22"/>
        </w:rPr>
        <w:t xml:space="preserve">AIIA holds a formal Memorandum of Understanding with Zimbabwe's </w:t>
      </w:r>
      <w:r>
        <w:rPr>
          <w:rFonts w:ascii="Arial" w:cs="Arial" w:eastAsia="Arial" w:hAnsi="Arial"/>
          <w:b/>
          <w:bCs/>
          <w:sz w:val="22"/>
          <w:szCs w:val="22"/>
        </w:rPr>
        <w:t xml:space="preserve">Ministry of Information, Communication Technology, Postal and Courier Services (ICTPCS)</w:t>
      </w:r>
      <w:r>
        <w:rPr>
          <w:rFonts w:ascii="Arial" w:cs="Arial" w:eastAsia="Arial" w:hAnsi="Arial"/>
          <w:sz w:val="22"/>
          <w:szCs w:val="22"/>
        </w:rPr>
        <w:t xml:space="preserve">, under which we collaborate in the development, implementation, and governance of AI initiatives in Zimbabwe. This positions AIIA uniquely as a training provider with both national policy alignment and government endorsement.</w:t>
      </w:r>
    </w:p>
    <w:p>
      <w:pPr>
        <w:spacing w:after="120" w:before="280"/>
      </w:pPr>
      <w:r>
        <w:rPr>
          <w:rFonts w:ascii="Arial" w:cs="Arial" w:eastAsia="Arial" w:hAnsi="Arial"/>
          <w:b/>
          <w:bCs/>
          <w:color w:val="1F3864"/>
          <w:sz w:val="24"/>
          <w:szCs w:val="24"/>
        </w:rPr>
        <w:t xml:space="preserve">2.  Track Record and Demonstrated Experience</w:t>
      </w:r>
    </w:p>
    <w:p>
      <w:pPr>
        <w:spacing w:after="160"/>
        <w:jc w:val="left"/>
      </w:pPr>
      <w:r>
        <w:rPr>
          <w:rFonts w:ascii="Arial" w:cs="Arial" w:eastAsia="Arial" w:hAnsi="Arial"/>
          <w:sz w:val="22"/>
          <w:szCs w:val="22"/>
        </w:rPr>
        <w:t xml:space="preserve">AIIA has already trained and certified </w:t>
      </w:r>
      <w:r>
        <w:rPr>
          <w:rFonts w:ascii="Arial" w:cs="Arial" w:eastAsia="Arial" w:hAnsi="Arial"/>
          <w:b/>
          <w:bCs/>
          <w:sz w:val="22"/>
          <w:szCs w:val="22"/>
        </w:rPr>
        <w:t xml:space="preserve">over 300 delegates</w:t>
      </w:r>
      <w:r>
        <w:rPr>
          <w:rFonts w:ascii="Arial" w:cs="Arial" w:eastAsia="Arial" w:hAnsi="Arial"/>
          <w:sz w:val="22"/>
          <w:szCs w:val="22"/>
        </w:rPr>
        <w:t xml:space="preserve"> across corporate, government, and financial-sector cohorts, demonstrating our operational capacity and the market's confidence in our programmes. Our training spans AI fundamentals, applied AI in business environments, generative AI, AI governance and ethics, digital transformation, and machine learning concepts — directly aligned with the domains identified in AFC's Terms of Reference (Sections 4.3 and 4.4).</w:t>
      </w:r>
    </w:p>
    <w:p>
      <w:pPr>
        <w:spacing w:after="160"/>
        <w:jc w:val="left"/>
      </w:pPr>
      <w:r>
        <w:rPr>
          <w:rFonts w:ascii="Arial" w:cs="Arial" w:eastAsia="Arial" w:hAnsi="Arial"/>
          <w:b w:val="false"/>
          <w:bCs w:val="false"/>
          <w:i w:val="false"/>
          <w:iCs w:val="false"/>
          <w:sz w:val="22"/>
          <w:szCs w:val="22"/>
        </w:rPr>
        <w:t xml:space="preserve">We have delivered training to professionals across multiple sectors and have experience designing programmes that accommodate distributed organisational structures, varied staff levels, and blended learning preferences — all of which are critical given AFC's branch network and multi-departmental requirements.</w:t>
      </w:r>
    </w:p>
    <w:p>
      <w:pPr>
        <w:spacing w:after="120" w:before="280"/>
      </w:pPr>
      <w:r>
        <w:rPr>
          <w:rFonts w:ascii="Arial" w:cs="Arial" w:eastAsia="Arial" w:hAnsi="Arial"/>
          <w:b/>
          <w:bCs/>
          <w:color w:val="1F3864"/>
          <w:sz w:val="24"/>
          <w:szCs w:val="24"/>
        </w:rPr>
        <w:t xml:space="preserve">3.  Academic Quality Assurance — University of Zimbabwe Partnership</w:t>
      </w:r>
    </w:p>
    <w:p>
      <w:pPr>
        <w:spacing w:after="160"/>
        <w:jc w:val="left"/>
      </w:pPr>
      <w:r>
        <w:rPr>
          <w:rFonts w:ascii="Arial" w:cs="Arial" w:eastAsia="Arial" w:hAnsi="Arial"/>
          <w:sz w:val="22"/>
          <w:szCs w:val="22"/>
        </w:rPr>
        <w:t xml:space="preserve">In response to AFC's requirement for academic oversight (Section 10.10 of the Statement of Requirements), AIIA has formalised a partnership with the </w:t>
      </w:r>
      <w:r>
        <w:rPr>
          <w:rFonts w:ascii="Arial" w:cs="Arial" w:eastAsia="Arial" w:hAnsi="Arial"/>
          <w:b/>
          <w:bCs/>
          <w:sz w:val="22"/>
          <w:szCs w:val="22"/>
        </w:rPr>
        <w:t xml:space="preserve">University of Zimbabwe</w:t>
      </w:r>
      <w:r>
        <w:rPr>
          <w:rFonts w:ascii="Arial" w:cs="Arial" w:eastAsia="Arial" w:hAnsi="Arial"/>
          <w:sz w:val="22"/>
          <w:szCs w:val="22"/>
        </w:rPr>
        <w:t xml:space="preserve"> for quality assurance across our training programmes. The University of Zimbabwe provides academic review, curriculum validation, and quality assurance oversight, ensuring that our training content meets recognised academic and professional standards and supports the certification pathways required by the RFP.</w:t>
      </w:r>
    </w:p>
    <w:p>
      <w:pPr>
        <w:spacing w:after="160"/>
        <w:jc w:val="left"/>
      </w:pPr>
      <w:r>
        <w:rPr>
          <w:rFonts w:ascii="Arial" w:cs="Arial" w:eastAsia="Arial" w:hAnsi="Arial"/>
          <w:b w:val="false"/>
          <w:bCs w:val="false"/>
          <w:i w:val="false"/>
          <w:iCs w:val="false"/>
          <w:sz w:val="22"/>
          <w:szCs w:val="22"/>
        </w:rPr>
        <w:t xml:space="preserve">This partnership directly strengthens AIIA's proposal against the academic quality assurance criterion (Section 14, criterion scored on quality and relevance) and provides AFC with the assurance that the programme it procures carries credible institutional backing.</w:t>
      </w:r>
    </w:p>
    <w:p>
      <w:pPr>
        <w:spacing w:after="120" w:before="280"/>
      </w:pPr>
      <w:r>
        <w:rPr>
          <w:rFonts w:ascii="Arial" w:cs="Arial" w:eastAsia="Arial" w:hAnsi="Arial"/>
          <w:b/>
          <w:bCs/>
          <w:color w:val="1F3864"/>
          <w:sz w:val="24"/>
          <w:szCs w:val="24"/>
        </w:rPr>
        <w:t xml:space="preserve">4.  World-Class Faculty — Zimbabwe's Leading AI Researchers</w:t>
      </w:r>
    </w:p>
    <w:p>
      <w:pPr>
        <w:spacing w:after="160"/>
        <w:jc w:val="left"/>
      </w:pPr>
      <w:r>
        <w:rPr>
          <w:rFonts w:ascii="Arial" w:cs="Arial" w:eastAsia="Arial" w:hAnsi="Arial"/>
          <w:sz w:val="22"/>
          <w:szCs w:val="22"/>
        </w:rPr>
        <w:t xml:space="preserve">AIIA's training programmes are delivered by a faculty that includes </w:t>
      </w:r>
      <w:r>
        <w:rPr>
          <w:rFonts w:ascii="Arial" w:cs="Arial" w:eastAsia="Arial" w:hAnsi="Arial"/>
          <w:b/>
          <w:bCs/>
          <w:sz w:val="22"/>
          <w:szCs w:val="22"/>
        </w:rPr>
        <w:t xml:space="preserve">three of Zimbabwe's foremost Artificial Intelligence researchers</w:t>
      </w:r>
      <w:r>
        <w:rPr>
          <w:rFonts w:ascii="Arial" w:cs="Arial" w:eastAsia="Arial" w:hAnsi="Arial"/>
          <w:sz w:val="22"/>
          <w:szCs w:val="22"/>
        </w:rPr>
        <w:t xml:space="preserve"> — each holding doctoral qualifications in AI and related disciplines. These are not generalist trainers: they are active researchers and practitioners with regional and international exposure, whose expertise spans AI systems design, machine learning, data science, AI governance, and digital transformation in financial environments.</w:t>
      </w:r>
    </w:p>
    <w:p>
      <w:pPr>
        <w:spacing w:after="160"/>
        <w:jc w:val="left"/>
      </w:pPr>
      <w:r>
        <w:rPr>
          <w:rFonts w:ascii="Arial" w:cs="Arial" w:eastAsia="Arial" w:hAnsi="Arial"/>
          <w:b w:val="false"/>
          <w:bCs w:val="false"/>
          <w:i w:val="false"/>
          <w:iCs w:val="false"/>
          <w:sz w:val="22"/>
          <w:szCs w:val="22"/>
        </w:rPr>
        <w:t xml:space="preserve">Full curriculum vitae for our Team Leader and key faculty members are included in Appendix B: Key Personnel of this submission. We invite the evaluation committee to review these in detail against the Team Leader scoring criteria (Section 14, criterion 3), and we are confident they will demonstrate qualifications and experience that meet and exceed the stated requirements.</w:t>
      </w:r>
    </w:p>
    <w:p>
      <w:pPr>
        <w:spacing w:after="120" w:before="280"/>
      </w:pPr>
      <w:r>
        <w:rPr>
          <w:rFonts w:ascii="Arial" w:cs="Arial" w:eastAsia="Arial" w:hAnsi="Arial"/>
          <w:b/>
          <w:bCs/>
          <w:color w:val="1F3864"/>
          <w:sz w:val="24"/>
          <w:szCs w:val="24"/>
        </w:rPr>
        <w:t xml:space="preserve">5.  Proposed Methodology</w:t>
      </w:r>
    </w:p>
    <w:p>
      <w:pPr>
        <w:spacing w:after="160"/>
        <w:jc w:val="left"/>
      </w:pPr>
      <w:r>
        <w:rPr>
          <w:rFonts w:ascii="Arial" w:cs="Arial" w:eastAsia="Arial" w:hAnsi="Arial"/>
          <w:b w:val="false"/>
          <w:bCs w:val="false"/>
          <w:i w:val="false"/>
          <w:iCs w:val="false"/>
          <w:sz w:val="22"/>
          <w:szCs w:val="22"/>
        </w:rPr>
        <w:t xml:space="preserve">AIIA proposes a structured, four-phase blended delivery model specifically designed for the AFC operational environment. Our methodology moves participants progressively from foundational understanding through to applied practice and sustained adoption support, all within a managed one-month delivery cycle: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520"/>
        <w:gridCol w:w="3600"/>
      </w:tblGrid>
      <w:tr>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Delivery Mode</w:t>
            </w:r>
          </w:p>
        </w:tc>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Outputs</w:t>
            </w:r>
          </w:p>
        </w:tc>
      </w:tr>
      <w:tr>
        <w:tc>
          <w:tcPr>
            <w:tcW w:type="dxa" w:w="1440"/>
            <w:tcBorders>
              <w:top w:val="single" w:color="BFBFBF" w:sz="4"/>
              <w:left w:val="single" w:color="BFBFBF" w:sz="4"/>
              <w:bottom w:val="single" w:color="BFBFBF" w:sz="4"/>
              <w:right w:val="single" w:color="BFBFBF" w:sz="4"/>
            </w:tcBorders>
            <w:shd w:fill="EAF0FB" w:val="clear"/>
            <w:tcMar>
              <w:top w:type="dxa" w:w="80"/>
              <w:left w:type="dxa" w:w="120"/>
              <w:bottom w:type="dxa" w:w="80"/>
              <w:right w:type="dxa" w:w="120"/>
            </w:tcMar>
          </w:tcPr>
          <w:p>
            <w:r>
              <w:rPr>
                <w:rFonts w:ascii="Arial" w:cs="Arial" w:eastAsia="Arial" w:hAnsi="Arial"/>
                <w:b/>
                <w:bCs/>
                <w:sz w:val="20"/>
                <w:szCs w:val="20"/>
              </w:rPr>
              <w:t xml:space="preserve">Week 1</w:t>
            </w:r>
          </w:p>
        </w:tc>
        <w:tc>
          <w:tcPr>
            <w:tcW w:type="dxa" w:w="2160"/>
            <w:tcBorders>
              <w:top w:val="single" w:color="BFBFBF" w:sz="4"/>
              <w:left w:val="single" w:color="BFBFBF" w:sz="4"/>
              <w:bottom w:val="single" w:color="BFBFBF" w:sz="4"/>
              <w:right w:val="single" w:color="BFBFBF" w:sz="4"/>
            </w:tcBorders>
            <w:shd w:fill="EAF0FB" w:val="clear"/>
            <w:tcMar>
              <w:top w:type="dxa" w:w="80"/>
              <w:left w:type="dxa" w:w="120"/>
              <w:bottom w:type="dxa" w:w="80"/>
              <w:right w:type="dxa" w:w="120"/>
            </w:tcMar>
          </w:tcPr>
          <w:p>
            <w:r>
              <w:rPr>
                <w:rFonts w:ascii="Arial" w:cs="Arial" w:eastAsia="Arial" w:hAnsi="Arial"/>
                <w:sz w:val="20"/>
                <w:szCs w:val="20"/>
              </w:rPr>
              <w:t xml:space="preserve">Phase 1: Classroom Training &amp; Needs Alignment</w:t>
            </w:r>
          </w:p>
        </w:tc>
        <w:tc>
          <w:tcPr>
            <w:tcW w:type="dxa" w:w="2520"/>
            <w:tcBorders>
              <w:top w:val="single" w:color="BFBFBF" w:sz="4"/>
              <w:left w:val="single" w:color="BFBFBF" w:sz="4"/>
              <w:bottom w:val="single" w:color="BFBFBF" w:sz="4"/>
              <w:right w:val="single" w:color="BFBFBF" w:sz="4"/>
            </w:tcBorders>
            <w:shd w:fill="EAF0FB" w:val="clear"/>
            <w:tcMar>
              <w:top w:type="dxa" w:w="80"/>
              <w:left w:type="dxa" w:w="120"/>
              <w:bottom w:type="dxa" w:w="80"/>
              <w:right w:type="dxa" w:w="120"/>
            </w:tcMar>
          </w:tcPr>
          <w:p>
            <w:r>
              <w:rPr>
                <w:rFonts w:ascii="Arial" w:cs="Arial" w:eastAsia="Arial" w:hAnsi="Arial"/>
                <w:sz w:val="20"/>
                <w:szCs w:val="20"/>
              </w:rPr>
              <w:t xml:space="preserve">In-person, facilitator-led</w:t>
            </w:r>
          </w:p>
        </w:tc>
        <w:tc>
          <w:tcPr>
            <w:tcW w:type="dxa" w:w="3600"/>
            <w:tcBorders>
              <w:top w:val="single" w:color="BFBFBF" w:sz="4"/>
              <w:left w:val="single" w:color="BFBFBF" w:sz="4"/>
              <w:bottom w:val="single" w:color="BFBFBF" w:sz="4"/>
              <w:right w:val="single" w:color="BFBFBF" w:sz="4"/>
            </w:tcBorders>
            <w:shd w:fill="EAF0FB" w:val="clear"/>
            <w:tcMar>
              <w:top w:type="dxa" w:w="80"/>
              <w:left w:type="dxa" w:w="120"/>
              <w:bottom w:type="dxa" w:w="80"/>
              <w:right w:type="dxa" w:w="120"/>
            </w:tcMar>
          </w:tcPr>
          <w:p>
            <w:r>
              <w:rPr>
                <w:rFonts w:ascii="Arial" w:cs="Arial" w:eastAsia="Arial" w:hAnsi="Arial"/>
                <w:sz w:val="20"/>
                <w:szCs w:val="20"/>
              </w:rPr>
              <w:t xml:space="preserve">AFC needs assessment, AI foundations, priority use-case identification, tailored training agenda</w:t>
            </w:r>
          </w:p>
        </w:tc>
      </w:tr>
      <w:tr>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Week 2</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Phase 2: Online Lessons &amp; Guided Reinforcement</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Virtual sessions via Cognify platform</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Online lesson completion, guided assignments, knowledge checks, prompt templates</w:t>
            </w:r>
          </w:p>
        </w:tc>
      </w:tr>
      <w:tr>
        <w:tc>
          <w:tcPr>
            <w:tcW w:type="dxa" w:w="1440"/>
            <w:tcBorders>
              <w:top w:val="single" w:color="BFBFBF" w:sz="4"/>
              <w:left w:val="single" w:color="BFBFBF" w:sz="4"/>
              <w:bottom w:val="single" w:color="BFBFBF" w:sz="4"/>
              <w:right w:val="single" w:color="BFBFBF" w:sz="4"/>
            </w:tcBorders>
            <w:shd w:fill="EAF0FB"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2160"/>
            <w:tcBorders>
              <w:top w:val="single" w:color="BFBFBF" w:sz="4"/>
              <w:left w:val="single" w:color="BFBFBF" w:sz="4"/>
              <w:bottom w:val="single" w:color="BFBFBF" w:sz="4"/>
              <w:right w:val="single" w:color="BFBFBF" w:sz="4"/>
            </w:tcBorders>
            <w:shd w:fill="EAF0FB" w:val="clear"/>
            <w:tcMar>
              <w:top w:type="dxa" w:w="80"/>
              <w:left w:type="dxa" w:w="120"/>
              <w:bottom w:type="dxa" w:w="80"/>
              <w:right w:type="dxa" w:w="120"/>
            </w:tcMar>
          </w:tcPr>
          <w:p>
            <w:r>
              <w:rPr>
                <w:rFonts w:ascii="Arial" w:cs="Arial" w:eastAsia="Arial" w:hAnsi="Arial"/>
                <w:sz w:val="20"/>
                <w:szCs w:val="20"/>
              </w:rPr>
              <w:t xml:space="preserve">Phase 3: Practical Exercises &amp; Applied Demonstrations</w:t>
            </w:r>
          </w:p>
        </w:tc>
        <w:tc>
          <w:tcPr>
            <w:tcW w:type="dxa" w:w="2520"/>
            <w:tcBorders>
              <w:top w:val="single" w:color="BFBFBF" w:sz="4"/>
              <w:left w:val="single" w:color="BFBFBF" w:sz="4"/>
              <w:bottom w:val="single" w:color="BFBFBF" w:sz="4"/>
              <w:right w:val="single" w:color="BFBFBF" w:sz="4"/>
            </w:tcBorders>
            <w:shd w:fill="EAF0FB" w:val="clear"/>
            <w:tcMar>
              <w:top w:type="dxa" w:w="80"/>
              <w:left w:type="dxa" w:w="120"/>
              <w:bottom w:type="dxa" w:w="80"/>
              <w:right w:type="dxa" w:w="120"/>
            </w:tcMar>
          </w:tcPr>
          <w:p>
            <w:r>
              <w:rPr>
                <w:rFonts w:ascii="Arial" w:cs="Arial" w:eastAsia="Arial" w:hAnsi="Arial"/>
                <w:sz w:val="20"/>
                <w:szCs w:val="20"/>
              </w:rPr>
              <w:t xml:space="preserve">Hands-on practical lab (blended)</w:t>
            </w:r>
          </w:p>
        </w:tc>
        <w:tc>
          <w:tcPr>
            <w:tcW w:type="dxa" w:w="3600"/>
            <w:tcBorders>
              <w:top w:val="single" w:color="BFBFBF" w:sz="4"/>
              <w:left w:val="single" w:color="BFBFBF" w:sz="4"/>
              <w:bottom w:val="single" w:color="BFBFBF" w:sz="4"/>
              <w:right w:val="single" w:color="BFBFBF" w:sz="4"/>
            </w:tcBorders>
            <w:shd w:fill="EAF0FB" w:val="clear"/>
            <w:tcMar>
              <w:top w:type="dxa" w:w="80"/>
              <w:left w:type="dxa" w:w="120"/>
              <w:bottom w:type="dxa" w:w="80"/>
              <w:right w:type="dxa" w:w="120"/>
            </w:tcMar>
          </w:tcPr>
          <w:p>
            <w:r>
              <w:rPr>
                <w:rFonts w:ascii="Arial" w:cs="Arial" w:eastAsia="Arial" w:hAnsi="Arial"/>
                <w:sz w:val="20"/>
                <w:szCs w:val="20"/>
              </w:rPr>
              <w:t xml:space="preserve">AFC-scenario exercises, AI workflow prototypes, reusable productivity tools</w:t>
            </w:r>
          </w:p>
        </w:tc>
      </w:tr>
      <w:tr>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Week 4</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Phase 4: Post-Implementation Support &amp; Adoption Roadmap</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Advisory office hours and reporting</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Post-training report, AI adoption roadmap, governance &amp; ethics guidance, close-out recommendations</w:t>
            </w:r>
          </w:p>
        </w:tc>
      </w:tr>
    </w:tbl>
    <w:p>
      <w:pPr>
        <w:spacing w:after="100"/>
      </w:pPr>
    </w:p>
    <w:p>
      <w:pPr>
        <w:spacing w:after="160"/>
        <w:jc w:val="left"/>
      </w:pPr>
      <w:r>
        <w:rPr>
          <w:rFonts w:ascii="Arial" w:cs="Arial" w:eastAsia="Arial" w:hAnsi="Arial"/>
          <w:b w:val="false"/>
          <w:bCs w:val="false"/>
          <w:i w:val="false"/>
          <w:iCs w:val="false"/>
          <w:sz w:val="22"/>
          <w:szCs w:val="22"/>
        </w:rPr>
        <w:t xml:space="preserve">Full details of our methodology, including phase-by-phase activities, delivery formats, outputs, and an implementation schedule, are provided in Appendix A: Methodology and Work Plan of this submission.</w:t>
      </w:r>
    </w:p>
    <w:p>
      <w:pPr>
        <w:spacing w:after="120" w:before="280"/>
      </w:pPr>
      <w:r>
        <w:rPr>
          <w:rFonts w:ascii="Arial" w:cs="Arial" w:eastAsia="Arial" w:hAnsi="Arial"/>
          <w:b/>
          <w:bCs/>
          <w:color w:val="1F3864"/>
          <w:sz w:val="24"/>
          <w:szCs w:val="24"/>
        </w:rPr>
        <w:t xml:space="preserve">6.  Cognify — AIIA's AI-Powered Digital Learning Platform</w:t>
      </w:r>
    </w:p>
    <w:p>
      <w:pPr>
        <w:spacing w:after="160"/>
        <w:jc w:val="left"/>
      </w:pPr>
      <w:r>
        <w:rPr>
          <w:rFonts w:ascii="Arial" w:cs="Arial" w:eastAsia="Arial" w:hAnsi="Arial"/>
          <w:sz w:val="22"/>
          <w:szCs w:val="22"/>
        </w:rPr>
        <w:t xml:space="preserve">A core component of our proposal is </w:t>
      </w:r>
      <w:r>
        <w:rPr>
          <w:rFonts w:ascii="Arial" w:cs="Arial" w:eastAsia="Arial" w:hAnsi="Arial"/>
          <w:b/>
          <w:bCs/>
          <w:sz w:val="22"/>
          <w:szCs w:val="22"/>
        </w:rPr>
        <w:t xml:space="preserve">Cognify</w:t>
      </w:r>
      <w:r>
        <w:rPr>
          <w:rFonts w:ascii="Arial" w:cs="Arial" w:eastAsia="Arial" w:hAnsi="Arial"/>
          <w:sz w:val="22"/>
          <w:szCs w:val="22"/>
        </w:rPr>
        <w:t xml:space="preserve"> — AIIA's proprietary AI-powered online learning platform purpose-built for structured, continuous, and performance-monitored training delivery.</w:t>
      </w:r>
    </w:p>
    <w:p>
      <w:pPr>
        <w:spacing w:after="160"/>
        <w:jc w:val="left"/>
      </w:pPr>
      <w:r>
        <w:rPr>
          <w:rFonts w:ascii="Arial" w:cs="Arial" w:eastAsia="Arial" w:hAnsi="Arial"/>
          <w:b w:val="false"/>
          <w:bCs w:val="false"/>
          <w:i w:val="false"/>
          <w:iCs w:val="false"/>
          <w:sz w:val="22"/>
          <w:szCs w:val="22"/>
        </w:rPr>
        <w:t xml:space="preserve">Cognify directly addresses AFC's digital platform requirements (Section 7 of the Statement of Requirements) and provides:</w:t>
      </w:r>
    </w:p>
    <w:p>
      <w:pPr>
        <w:pStyle w:val="ListParagraph"/>
        <w:numPr>
          <w:ilvl w:val="0"/>
          <w:numId w:val="2"/>
        </w:numPr>
        <w:spacing w:after="80"/>
      </w:pPr>
      <w:r>
        <w:rPr>
          <w:rFonts w:ascii="Arial" w:cs="Arial" w:eastAsia="Arial" w:hAnsi="Arial"/>
          <w:b w:val="false"/>
          <w:bCs w:val="false"/>
          <w:sz w:val="22"/>
          <w:szCs w:val="22"/>
        </w:rPr>
        <w:t xml:space="preserve">Hosting of all training content — text, video, audio, and interactive modules</w:t>
      </w:r>
    </w:p>
    <w:p>
      <w:pPr>
        <w:pStyle w:val="ListParagraph"/>
        <w:numPr>
          <w:ilvl w:val="0"/>
          <w:numId w:val="2"/>
        </w:numPr>
        <w:spacing w:after="80"/>
      </w:pPr>
      <w:r>
        <w:rPr>
          <w:rFonts w:ascii="Arial" w:cs="Arial" w:eastAsia="Arial" w:hAnsi="Arial"/>
          <w:b w:val="false"/>
          <w:bCs w:val="false"/>
          <w:sz w:val="22"/>
          <w:szCs w:val="22"/>
        </w:rPr>
        <w:t xml:space="preserve">Continuous online training access across a twelve-month period</w:t>
      </w:r>
    </w:p>
    <w:p>
      <w:pPr>
        <w:pStyle w:val="ListParagraph"/>
        <w:numPr>
          <w:ilvl w:val="0"/>
          <w:numId w:val="2"/>
        </w:numPr>
        <w:spacing w:after="80"/>
      </w:pPr>
      <w:r>
        <w:rPr>
          <w:rFonts w:ascii="Arial" w:cs="Arial" w:eastAsia="Arial" w:hAnsi="Arial"/>
          <w:b w:val="false"/>
          <w:bCs w:val="false"/>
          <w:sz w:val="22"/>
          <w:szCs w:val="22"/>
        </w:rPr>
        <w:t xml:space="preserve">Self-paced learning modules and scheduled live sessions</w:t>
      </w:r>
    </w:p>
    <w:p>
      <w:pPr>
        <w:pStyle w:val="ListParagraph"/>
        <w:numPr>
          <w:ilvl w:val="0"/>
          <w:numId w:val="2"/>
        </w:numPr>
        <w:spacing w:after="80"/>
      </w:pPr>
      <w:r>
        <w:rPr>
          <w:rFonts w:ascii="Arial" w:cs="Arial" w:eastAsia="Arial" w:hAnsi="Arial"/>
          <w:b w:val="false"/>
          <w:bCs w:val="false"/>
          <w:sz w:val="22"/>
          <w:szCs w:val="22"/>
        </w:rPr>
        <w:t xml:space="preserve">Online examinations and certification functionality</w:t>
      </w:r>
    </w:p>
    <w:p>
      <w:pPr>
        <w:pStyle w:val="ListParagraph"/>
        <w:numPr>
          <w:ilvl w:val="0"/>
          <w:numId w:val="2"/>
        </w:numPr>
        <w:spacing w:after="80"/>
      </w:pPr>
      <w:r>
        <w:rPr>
          <w:rFonts w:ascii="Arial" w:cs="Arial" w:eastAsia="Arial" w:hAnsi="Arial"/>
          <w:b w:val="false"/>
          <w:bCs w:val="false"/>
          <w:sz w:val="22"/>
          <w:szCs w:val="22"/>
        </w:rPr>
        <w:t xml:space="preserve">Self-testing and knowledge-check capability for learners</w:t>
      </w:r>
    </w:p>
    <w:p>
      <w:pPr>
        <w:pStyle w:val="ListParagraph"/>
        <w:numPr>
          <w:ilvl w:val="0"/>
          <w:numId w:val="2"/>
        </w:numPr>
        <w:spacing w:after="80"/>
      </w:pPr>
      <w:r>
        <w:rPr>
          <w:rFonts w:ascii="Arial" w:cs="Arial" w:eastAsia="Arial" w:hAnsi="Arial"/>
          <w:b w:val="false"/>
          <w:bCs w:val="false"/>
          <w:sz w:val="22"/>
          <w:szCs w:val="22"/>
        </w:rPr>
        <w:t xml:space="preserve">Supervisor dashboards enabling real-time monitoring of staff training progress</w:t>
      </w:r>
    </w:p>
    <w:p>
      <w:pPr>
        <w:pStyle w:val="ListParagraph"/>
        <w:numPr>
          <w:ilvl w:val="0"/>
          <w:numId w:val="2"/>
        </w:numPr>
        <w:spacing w:after="80"/>
      </w:pPr>
      <w:r>
        <w:rPr>
          <w:rFonts w:ascii="Arial" w:cs="Arial" w:eastAsia="Arial" w:hAnsi="Arial"/>
          <w:b w:val="false"/>
          <w:bCs w:val="false"/>
          <w:sz w:val="22"/>
          <w:szCs w:val="22"/>
        </w:rPr>
        <w:t xml:space="preserve">Learning analytics and reporting for AFC management</w:t>
      </w:r>
    </w:p>
    <w:p>
      <w:pPr>
        <w:pStyle w:val="ListParagraph"/>
        <w:numPr>
          <w:ilvl w:val="0"/>
          <w:numId w:val="2"/>
        </w:numPr>
        <w:spacing w:after="80"/>
      </w:pPr>
      <w:r>
        <w:rPr>
          <w:rFonts w:ascii="Arial" w:cs="Arial" w:eastAsia="Arial" w:hAnsi="Arial"/>
          <w:b w:val="false"/>
          <w:bCs w:val="false"/>
          <w:sz w:val="22"/>
          <w:szCs w:val="22"/>
        </w:rPr>
        <w:t xml:space="preserve">Multi-modal content delivery (text, video, audio, interactive demonstrations)</w:t>
      </w:r>
    </w:p>
    <w:p>
      <w:pPr>
        <w:pStyle w:val="ListParagraph"/>
        <w:numPr>
          <w:ilvl w:val="0"/>
          <w:numId w:val="2"/>
        </w:numPr>
        <w:spacing w:after="80"/>
      </w:pPr>
      <w:r>
        <w:rPr>
          <w:rFonts w:ascii="Arial" w:cs="Arial" w:eastAsia="Arial" w:hAnsi="Arial"/>
          <w:b w:val="false"/>
          <w:bCs w:val="false"/>
          <w:sz w:val="22"/>
          <w:szCs w:val="22"/>
        </w:rPr>
        <w:t xml:space="preserve">Multi-language support capability covering English, Shona, and Ndebele</w:t>
      </w:r>
    </w:p>
    <w:p>
      <w:pPr>
        <w:spacing w:after="100"/>
      </w:pPr>
    </w:p>
    <w:p>
      <w:pPr>
        <w:spacing w:after="160"/>
        <w:jc w:val="left"/>
      </w:pPr>
      <w:r>
        <w:rPr>
          <w:rFonts w:ascii="Arial" w:cs="Arial" w:eastAsia="Arial" w:hAnsi="Arial"/>
          <w:b w:val="false"/>
          <w:bCs w:val="false"/>
          <w:i w:val="false"/>
          <w:iCs w:val="false"/>
          <w:sz w:val="22"/>
          <w:szCs w:val="22"/>
        </w:rPr>
        <w:t xml:space="preserve">Cognify is designed to be accessible across AFC's branch network, ensuring equitable participation for staff at head office and branch locations alike, and supporting branch operational schedules as required by Section 5.1 of the RFP. Upon completion of the programme, AFC shall have the option to retain the Cognify platform and continue using it for internal training and capacity development, fully in line with Section 7.8 of the Statement of Requirements.</w:t>
      </w:r>
    </w:p>
    <w:p>
      <w:pPr>
        <w:spacing w:after="120" w:before="280"/>
      </w:pPr>
      <w:r>
        <w:rPr>
          <w:rFonts w:ascii="Arial" w:cs="Arial" w:eastAsia="Arial" w:hAnsi="Arial"/>
          <w:b/>
          <w:bCs/>
          <w:color w:val="1F3864"/>
          <w:sz w:val="24"/>
          <w:szCs w:val="24"/>
        </w:rPr>
        <w:t xml:space="preserve">7.  Why AIIA — Our Distinctive Strengths</w:t>
      </w:r>
    </w:p>
    <w:p>
      <w:pPr>
        <w:pStyle w:val="ListParagraph"/>
        <w:numPr>
          <w:ilvl w:val="0"/>
          <w:numId w:val="2"/>
        </w:numPr>
        <w:spacing w:after="80"/>
      </w:pPr>
      <w:r>
        <w:rPr>
          <w:rFonts w:ascii="Arial" w:cs="Arial" w:eastAsia="Arial" w:hAnsi="Arial"/>
          <w:b/>
          <w:bCs/>
          <w:sz w:val="22"/>
          <w:szCs w:val="22"/>
        </w:rPr>
        <w:t xml:space="preserve">Only training provider combining HEXCO accreditation (HM 000067) with an active MOU with Zimbabwe's Ministry of ICTPCS</w:t>
      </w:r>
    </w:p>
    <w:p>
      <w:pPr>
        <w:pStyle w:val="ListParagraph"/>
        <w:numPr>
          <w:ilvl w:val="0"/>
          <w:numId w:val="2"/>
        </w:numPr>
        <w:spacing w:after="80"/>
      </w:pPr>
      <w:r>
        <w:rPr>
          <w:rFonts w:ascii="Arial" w:cs="Arial" w:eastAsia="Arial" w:hAnsi="Arial"/>
          <w:b w:val="false"/>
          <w:bCs w:val="false"/>
          <w:sz w:val="22"/>
          <w:szCs w:val="22"/>
        </w:rPr>
        <w:t xml:space="preserve">University of Zimbabwe partnership for independent academic quality assurance</w:t>
      </w:r>
    </w:p>
    <w:p>
      <w:pPr>
        <w:pStyle w:val="ListParagraph"/>
        <w:numPr>
          <w:ilvl w:val="0"/>
          <w:numId w:val="2"/>
        </w:numPr>
        <w:spacing w:after="80"/>
      </w:pPr>
      <w:r>
        <w:rPr>
          <w:rFonts w:ascii="Arial" w:cs="Arial" w:eastAsia="Arial" w:hAnsi="Arial"/>
          <w:b w:val="false"/>
          <w:bCs w:val="false"/>
          <w:sz w:val="22"/>
          <w:szCs w:val="22"/>
        </w:rPr>
        <w:t xml:space="preserve">Faculty comprising Zimbabwe's top three AI researchers with doctoral qualifications</w:t>
      </w:r>
    </w:p>
    <w:p>
      <w:pPr>
        <w:pStyle w:val="ListParagraph"/>
        <w:numPr>
          <w:ilvl w:val="0"/>
          <w:numId w:val="2"/>
        </w:numPr>
        <w:spacing w:after="80"/>
      </w:pPr>
      <w:r>
        <w:rPr>
          <w:rFonts w:ascii="Arial" w:cs="Arial" w:eastAsia="Arial" w:hAnsi="Arial"/>
          <w:b w:val="false"/>
          <w:bCs w:val="false"/>
          <w:sz w:val="22"/>
          <w:szCs w:val="22"/>
        </w:rPr>
        <w:t xml:space="preserve">Proprietary AI-powered learning platform (Cognify) meeting all digital platform requirements in the RFP</w:t>
      </w:r>
    </w:p>
    <w:p>
      <w:pPr>
        <w:pStyle w:val="ListParagraph"/>
        <w:numPr>
          <w:ilvl w:val="0"/>
          <w:numId w:val="2"/>
        </w:numPr>
        <w:spacing w:after="80"/>
      </w:pPr>
      <w:r>
        <w:rPr>
          <w:rFonts w:ascii="Arial" w:cs="Arial" w:eastAsia="Arial" w:hAnsi="Arial"/>
          <w:b w:val="false"/>
          <w:bCs w:val="false"/>
          <w:sz w:val="22"/>
          <w:szCs w:val="22"/>
        </w:rPr>
        <w:t xml:space="preserve">300+ delegates already trained across corporate and government cohorts</w:t>
      </w:r>
    </w:p>
    <w:p>
      <w:pPr>
        <w:pStyle w:val="ListParagraph"/>
        <w:numPr>
          <w:ilvl w:val="0"/>
          <w:numId w:val="2"/>
        </w:numPr>
        <w:spacing w:after="80"/>
      </w:pPr>
      <w:r>
        <w:rPr>
          <w:rFonts w:ascii="Arial" w:cs="Arial" w:eastAsia="Arial" w:hAnsi="Arial"/>
          <w:b w:val="false"/>
          <w:bCs w:val="false"/>
          <w:sz w:val="22"/>
          <w:szCs w:val="22"/>
        </w:rPr>
        <w:t xml:space="preserve">Structured, sector-tested methodology validated through live programme delivery</w:t>
      </w:r>
    </w:p>
    <w:p>
      <w:pPr>
        <w:pStyle w:val="ListParagraph"/>
        <w:numPr>
          <w:ilvl w:val="0"/>
          <w:numId w:val="2"/>
        </w:numPr>
        <w:spacing w:after="80"/>
      </w:pPr>
      <w:r>
        <w:rPr>
          <w:rFonts w:ascii="Arial" w:cs="Arial" w:eastAsia="Arial" w:hAnsi="Arial"/>
          <w:b w:val="false"/>
          <w:bCs w:val="false"/>
          <w:sz w:val="22"/>
          <w:szCs w:val="22"/>
        </w:rPr>
        <w:t xml:space="preserve">Strong alignment with Zimbabwe's national AI governance and digital transformation agenda</w:t>
      </w:r>
    </w:p>
    <w:p>
      <w:pPr>
        <w:spacing w:after="120" w:before="280"/>
      </w:pPr>
      <w:r>
        <w:rPr>
          <w:rFonts w:ascii="Arial" w:cs="Arial" w:eastAsia="Arial" w:hAnsi="Arial"/>
          <w:b/>
          <w:bCs/>
          <w:color w:val="1F3864"/>
          <w:sz w:val="24"/>
          <w:szCs w:val="24"/>
        </w:rPr>
        <w:t xml:space="preserve">8.  Our Commitment to AFC</w:t>
      </w:r>
    </w:p>
    <w:p>
      <w:pPr>
        <w:spacing w:after="160"/>
        <w:jc w:val="left"/>
      </w:pPr>
      <w:r>
        <w:rPr>
          <w:rFonts w:ascii="Arial" w:cs="Arial" w:eastAsia="Arial" w:hAnsi="Arial"/>
          <w:b w:val="false"/>
          <w:bCs w:val="false"/>
          <w:i w:val="false"/>
          <w:iCs w:val="false"/>
          <w:sz w:val="22"/>
          <w:szCs w:val="22"/>
        </w:rPr>
        <w:t xml:space="preserve">AIIA is committed to delivering a programme that goes beyond training events to create lasting institutional capability within AFC. We understand that AFC is at a defining moment in its digital transformation journey, and we appreciate the trust that selecting us as a partner represents. Our team, our methodology, our platform, and our institutional partnerships are all orientated toward ensuring that AFC staff emerge from this programme not just aware of AI, but confident and capable of applying it within their specific roles and operational contexts.</w:t>
      </w:r>
    </w:p>
    <w:p>
      <w:pPr>
        <w:spacing w:after="160"/>
        <w:jc w:val="left"/>
      </w:pPr>
      <w:r>
        <w:rPr>
          <w:rFonts w:ascii="Arial" w:cs="Arial" w:eastAsia="Arial" w:hAnsi="Arial"/>
          <w:b w:val="false"/>
          <w:bCs w:val="false"/>
          <w:i w:val="false"/>
          <w:iCs w:val="false"/>
          <w:sz w:val="22"/>
          <w:szCs w:val="22"/>
        </w:rPr>
        <w:t xml:space="preserve">We have enclosed all mandatory documentation as specified in the RFP, including our company profile, HEXCO accreditation certificate, ZIMRA tax clearance, NSSA compliance certificate, PRAZ registration, reference letters from a minimum of three clients (including a financial sector reference), bid security of US$600.00, and detailed CVs for our Team Leader and key faculty members.</w:t>
      </w:r>
    </w:p>
    <w:p>
      <w:pPr>
        <w:spacing w:after="160"/>
        <w:jc w:val="left"/>
      </w:pPr>
      <w:r>
        <w:rPr>
          <w:rFonts w:ascii="Arial" w:cs="Arial" w:eastAsia="Arial" w:hAnsi="Arial"/>
          <w:b w:val="false"/>
          <w:bCs w:val="false"/>
          <w:i w:val="false"/>
          <w:iCs w:val="false"/>
          <w:sz w:val="22"/>
          <w:szCs w:val="22"/>
        </w:rPr>
        <w:t xml:space="preserve">We look forward to the opportunity to present our proposal in detail and to demonstrate AIIA's readiness to serve as AFC's trusted AI training partner.</w:t>
      </w:r>
    </w:p>
    <w:p>
      <w:pPr>
        <w:spacing w:after="100"/>
      </w:pPr>
    </w:p>
    <w:p>
      <w:pPr>
        <w:spacing w:after="160"/>
        <w:jc w:val="left"/>
      </w:pPr>
      <w:r>
        <w:rPr>
          <w:rFonts w:ascii="Arial" w:cs="Arial" w:eastAsia="Arial" w:hAnsi="Arial"/>
          <w:b w:val="false"/>
          <w:bCs w:val="false"/>
          <w:i w:val="false"/>
          <w:iCs w:val="false"/>
          <w:sz w:val="22"/>
          <w:szCs w:val="22"/>
        </w:rPr>
        <w:t xml:space="preserve">Yours faithfully,</w:t>
      </w:r>
    </w:p>
    <w:p>
      <w:pPr>
        <w:spacing w:after="200"/>
      </w:pPr>
    </w:p>
    <w:p>
      <w:pPr>
        <w:spacing w:after="60"/>
      </w:pPr>
      <w:r>
        <w:rPr>
          <w:rFonts w:ascii="Arial" w:cs="Arial" w:eastAsia="Arial" w:hAnsi="Arial"/>
          <w:sz w:val="22"/>
          <w:szCs w:val="22"/>
        </w:rPr>
        <w:t xml:space="preserve">Signed: ________________________________________________</w:t>
      </w:r>
    </w:p>
    <w:p>
      <w:pPr>
        <w:spacing w:after="60"/>
      </w:pPr>
      <w:r>
        <w:rPr>
          <w:rFonts w:ascii="Arial" w:cs="Arial" w:eastAsia="Arial" w:hAnsi="Arial"/>
          <w:sz w:val="22"/>
          <w:szCs w:val="22"/>
        </w:rPr>
        <w:t xml:space="preserve">Name:   ________________________________________________</w:t>
      </w:r>
    </w:p>
    <w:p>
      <w:pPr>
        <w:spacing w:after="60"/>
      </w:pPr>
      <w:r>
        <w:rPr>
          <w:rFonts w:ascii="Arial" w:cs="Arial" w:eastAsia="Arial" w:hAnsi="Arial"/>
          <w:sz w:val="22"/>
          <w:szCs w:val="22"/>
        </w:rPr>
        <w:t xml:space="preserve">Title:     ________________________________________________</w:t>
      </w:r>
    </w:p>
    <w:p>
      <w:pPr>
        <w:spacing w:after="60"/>
      </w:pPr>
      <w:r>
        <w:rPr>
          <w:rFonts w:ascii="Arial" w:cs="Arial" w:eastAsia="Arial" w:hAnsi="Arial"/>
          <w:sz w:val="22"/>
          <w:szCs w:val="22"/>
        </w:rPr>
        <w:t xml:space="preserve">Date:    ________________________________________________</w:t>
      </w:r>
    </w:p>
    <w:p>
      <w:pPr>
        <w:spacing w:after="100"/>
      </w:pPr>
    </w:p>
    <w:p>
      <w:pPr>
        <w:spacing w:after="0"/>
        <w:jc w:val="left"/>
      </w:pPr>
      <w:r>
        <w:rPr>
          <w:rFonts w:ascii="Arial" w:cs="Arial" w:eastAsia="Arial" w:hAnsi="Arial"/>
          <w:b w:val="false"/>
          <w:bCs w:val="false"/>
          <w:i w:val="false"/>
          <w:iCs w:val="false"/>
          <w:sz w:val="22"/>
          <w:szCs w:val="22"/>
        </w:rPr>
        <w:t xml:space="preserve">On behalf of:</w:t>
      </w:r>
    </w:p>
    <w:p>
      <w:pPr>
        <w:spacing w:after="0"/>
        <w:jc w:val="left"/>
      </w:pPr>
      <w:r>
        <w:rPr>
          <w:rFonts w:ascii="Arial" w:cs="Arial" w:eastAsia="Arial" w:hAnsi="Arial"/>
          <w:b/>
          <w:bCs/>
          <w:i w:val="false"/>
          <w:iCs w:val="false"/>
          <w:sz w:val="22"/>
          <w:szCs w:val="22"/>
        </w:rPr>
        <w:t xml:space="preserve">Artificial Intelligence Initiative Africa (AIIA)</w:t>
      </w:r>
    </w:p>
    <w:p>
      <w:pPr>
        <w:spacing w:after="0"/>
        <w:jc w:val="left"/>
      </w:pPr>
      <w:r>
        <w:rPr>
          <w:rFonts w:ascii="Arial" w:cs="Arial" w:eastAsia="Arial" w:hAnsi="Arial"/>
          <w:b w:val="false"/>
          <w:bCs w:val="false"/>
          <w:i w:val="false"/>
          <w:iCs w:val="false"/>
          <w:sz w:val="22"/>
          <w:szCs w:val="22"/>
        </w:rPr>
        <w:t xml:space="preserve">HEXCO Accreditation No. HM 000067</w:t>
      </w:r>
    </w:p>
    <w:p>
      <w:pPr>
        <w:spacing w:after="0"/>
        <w:jc w:val="left"/>
      </w:pPr>
      <w:r>
        <w:rPr>
          <w:rFonts w:ascii="Arial" w:cs="Arial" w:eastAsia="Arial" w:hAnsi="Arial"/>
          <w:b w:val="false"/>
          <w:bCs w:val="false"/>
          <w:i w:val="false"/>
          <w:iCs w:val="false"/>
          <w:sz w:val="22"/>
          <w:szCs w:val="22"/>
        </w:rPr>
        <w:t xml:space="preserve">275 Herbert Chitepo Ave, Harare, Zimbabwe</w:t>
      </w:r>
    </w:p>
    <w:p>
      <w:pPr>
        <w:spacing w:after="160"/>
        <w:jc w:val="left"/>
      </w:pPr>
      <w:r>
        <w:rPr>
          <w:rFonts w:ascii="Arial" w:cs="Arial" w:eastAsia="Arial" w:hAnsi="Arial"/>
          <w:b w:val="false"/>
          <w:bCs w:val="false"/>
          <w:i w:val="false"/>
          <w:iCs w:val="false"/>
          <w:sz w:val="22"/>
          <w:szCs w:val="22"/>
        </w:rPr>
        <w:t xml:space="preserve">+263 78 643 4998  |  admin@aiinitiativeafrica.com  |  www.aiinstituteafrica.com</w:t>
      </w:r>
    </w:p>
    <w:p>
      <w:pPr>
        <w:pBdr>
          <w:bottom w:val="single" w:color="C9930B" w:sz="6" w:space="1"/>
        </w:pBdr>
        <w:spacing w:after="160" w:before="60"/>
      </w:pPr>
    </w:p>
    <w:p>
      <w:pPr>
        <w:spacing w:after="160"/>
        <w:jc w:val="left"/>
      </w:pPr>
      <w:r>
        <w:rPr>
          <w:rFonts w:ascii="Arial" w:cs="Arial" w:eastAsia="Arial" w:hAnsi="Arial"/>
          <w:b w:val="false"/>
          <w:bCs w:val="false"/>
          <w:i w:val="false"/>
          <w:iCs w:val="false"/>
          <w:color w:val="777777"/>
          <w:sz w:val="22"/>
          <w:szCs w:val="22"/>
        </w:rPr>
        <w:t xml:space="preserve">Corporate Seal / Stamp (where applicable):</w:t>
      </w:r>
    </w:p>
    <w:p>
      <w:pPr>
        <w:spacing w:after="400"/>
      </w:pPr>
    </w:p>
    <w:p>
      <w:pPr>
        <w:pBdr>
          <w:bottom w:val="single" w:color="1F3864" w:sz="6" w:space="1"/>
        </w:pBdr>
        <w:spacing w:after="160" w:before="60"/>
      </w:pPr>
    </w:p>
    <w:p>
      <w:pPr>
        <w:spacing w:after="160"/>
        <w:jc w:val="left"/>
      </w:pPr>
      <w:r>
        <w:rPr>
          <w:rFonts w:ascii="Arial" w:cs="Arial" w:eastAsia="Arial" w:hAnsi="Arial"/>
          <w:b w:val="false"/>
          <w:bCs w:val="false"/>
          <w:i/>
          <w:iCs/>
          <w:color w:val="555555"/>
          <w:sz w:val="18"/>
          <w:szCs w:val="18"/>
        </w:rPr>
        <w:t xml:space="preserve">Enclosures: Appendix A — Methodology and Work Plan  |  Appendix B — Key Personnel CVs  |  Company Profile  |  HEXCO Certificate  |  ZIMRA Tax Clearance  |  NSSA Compliance Certificate  |  PRAZ Registration  |  Reference Letters (min. 3)  |  Bid Security (US$600.00)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2026-07-09T15:22:52.899Z</dcterms:created>
  <dcterms:modified xsi:type="dcterms:W3CDTF">2026-07-09T15:22:52.913Z</dcterms:modified>
</cp:coreProperties>
</file>

<file path=docProps/custom.xml><?xml version="1.0" encoding="utf-8"?>
<Properties xmlns="http://schemas.openxmlformats.org/officeDocument/2006/custom-properties" xmlns:vt="http://schemas.openxmlformats.org/officeDocument/2006/docPropsVTypes"/>
</file>