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none"/>
              <w:left w:val="none"/>
              <w:bottom w:val="none"/>
              <w:right w:val="none"/>
            </w:tcBorders>
            <w:tcMar>
              <w:top w:type="dxa" w:w="0"/>
              <w:left w:type="dxa" w:w="0"/>
              <w:bottom w:type="dxa" w:w="0"/>
              <w:right w:type="dxa" w:w="0"/>
            </w:tcMar>
          </w:tcPr>
          <w:p>
            <w:pPr>
              <w:spacing w:after="20"/>
            </w:pPr>
            <w:r>
              <w:rPr>
                <w:rFonts w:ascii="Arial" w:cs="Arial" w:eastAsia="Arial" w:hAnsi="Arial"/>
                <w:b/>
                <w:bCs/>
                <w:color w:val="1F3864"/>
                <w:sz w:val="32"/>
                <w:szCs w:val="32"/>
              </w:rPr>
              <w:t xml:space="preserve">Artificial Intelligence Initiative Africa</w:t>
            </w:r>
          </w:p>
          <w:p>
            <w:pPr>
              <w:spacing w:after="16"/>
            </w:pPr>
            <w:r>
              <w:rPr>
                <w:rFonts w:ascii="Arial" w:cs="Arial" w:eastAsia="Arial" w:hAnsi="Arial"/>
                <w:b/>
                <w:bCs/>
                <w:color w:val="C9930B"/>
                <w:sz w:val="17"/>
                <w:szCs w:val="17"/>
              </w:rPr>
              <w:t xml:space="preserve">HM 000067  |  HEXCO Accredited</w:t>
            </w:r>
          </w:p>
          <w:p>
            <w:pPr>
              <w:spacing w:after="0"/>
            </w:pPr>
            <w:r>
              <w:rPr>
                <w:rFonts w:ascii="Arial" w:cs="Arial" w:eastAsia="Arial" w:hAnsi="Arial"/>
                <w:color w:val="555555"/>
                <w:sz w:val="17"/>
                <w:szCs w:val="17"/>
              </w:rPr>
              <w:t xml:space="preserve">275 Herbert Chitepo Ave, Harare  |  +263 78 643 4998  |  admin@aiinitiativeafrica.com  |  www.aiinstituteafrica.com</w:t>
            </w:r>
          </w:p>
        </w:tc>
        <w:tc>
          <w:tcPr>
            <w:tcW w:type="dxa" w:w="3600"/>
            <w:tcBorders>
              <w:top w:val="none"/>
              <w:left w:val="none"/>
              <w:bottom w:val="none"/>
              <w:right w:val="none"/>
            </w:tcBorders>
            <w:tcMar>
              <w:top w:type="dxa" w:w="0"/>
              <w:left w:type="dxa" w:w="0"/>
              <w:bottom w:type="dxa" w:w="0"/>
              <w:right w:type="dxa" w:w="0"/>
            </w:tcMar>
          </w:tcPr>
          <w:p>
            <w:pPr>
              <w:spacing w:after="16"/>
              <w:jc w:val="right"/>
            </w:pPr>
            <w:r>
              <w:rPr>
                <w:rFonts w:ascii="Arial" w:cs="Arial" w:eastAsia="Arial" w:hAnsi="Arial"/>
                <w:color w:val="555555"/>
                <w:sz w:val="18"/>
                <w:szCs w:val="18"/>
              </w:rPr>
              <w:t xml:space="preserve">9 July 2026</w:t>
            </w:r>
          </w:p>
          <w:p>
            <w:pPr>
              <w:spacing w:after="0"/>
              <w:jc w:val="right"/>
            </w:pPr>
            <w:r>
              <w:rPr>
                <w:rFonts w:ascii="Arial" w:cs="Arial" w:eastAsia="Arial" w:hAnsi="Arial"/>
                <w:i/>
                <w:iCs/>
                <w:color w:val="888888"/>
                <w:sz w:val="17"/>
                <w:szCs w:val="17"/>
              </w:rPr>
              <w:t xml:space="preserve">Ref: AFC10/2026</w:t>
            </w:r>
          </w:p>
        </w:tc>
      </w:tr>
    </w:tbl>
    <w:p>
      <w:pPr>
        <w:pBdr>
          <w:bottom w:val="single" w:color="C9930B" w:sz="8" w:space="1"/>
        </w:pBdr>
        <w:spacing w:after="160" w:before="100"/>
      </w:pPr>
    </w:p>
    <w:p>
      <w:pPr>
        <w:spacing w:after="120"/>
        <w:jc w:val="left"/>
      </w:pPr>
      <w:r>
        <w:rPr>
          <w:rFonts w:ascii="Arial" w:cs="Arial" w:eastAsia="Arial" w:hAnsi="Arial"/>
          <w:b w:val="false"/>
          <w:bCs w:val="false"/>
          <w:i w:val="false"/>
          <w:iCs w:val="false"/>
          <w:sz w:val="20"/>
          <w:szCs w:val="20"/>
        </w:rPr>
        <w:t xml:space="preserve">Group Head – Procurement Management Unit, AFC Holdings Limited, 14-16 N. Mandela Avenue, Harare</w:t>
      </w:r>
    </w:p>
    <w:p>
      <w:pPr>
        <w:spacing w:after="140"/>
      </w:pPr>
      <w:r>
        <w:rPr>
          <w:rFonts w:ascii="Arial" w:cs="Arial" w:eastAsia="Arial" w:hAnsi="Arial"/>
          <w:b/>
          <w:bCs/>
          <w:color w:val="1F3864"/>
          <w:sz w:val="20"/>
          <w:szCs w:val="20"/>
        </w:rPr>
        <w:t xml:space="preserve">RE: Provision of Artificial Intelligence Training Services — Procurement Reference No. AFC10/2026</w:t>
      </w:r>
    </w:p>
    <w:p>
      <w:pPr>
        <w:spacing w:after="120"/>
        <w:jc w:val="left"/>
      </w:pPr>
      <w:r>
        <w:rPr>
          <w:rFonts w:ascii="Arial" w:cs="Arial" w:eastAsia="Arial" w:hAnsi="Arial"/>
          <w:b w:val="false"/>
          <w:bCs w:val="false"/>
          <w:i w:val="false"/>
          <w:iCs w:val="false"/>
          <w:sz w:val="20"/>
          <w:szCs w:val="20"/>
        </w:rPr>
        <w:t xml:space="preserve">Dear Procurement Committee,</w:t>
      </w:r>
    </w:p>
    <w:p>
      <w:pPr>
        <w:spacing w:after="120"/>
      </w:pPr>
      <w:r>
        <w:rPr>
          <w:rFonts w:ascii="Arial" w:cs="Arial" w:eastAsia="Arial" w:hAnsi="Arial"/>
          <w:sz w:val="20"/>
          <w:szCs w:val="20"/>
        </w:rPr>
        <w:t xml:space="preserve">Artificial Intelligence Initiative Africa (AIIA) </w:t>
      </w:r>
      <w:r>
        <w:rPr>
          <w:rFonts w:ascii="Arial" w:cs="Arial" w:eastAsia="Arial" w:hAnsi="Arial"/>
          <w:b w:val="false"/>
          <w:bCs w:val="false"/>
          <w:sz w:val="20"/>
          <w:szCs w:val="20"/>
        </w:rPr>
        <w:t xml:space="preserve">is pleased to submit this proposal in response to AFC Holdings Limited's Request for Proposals (Ref: AFC10/2026). We are a HEXCO-accredited institution (</w:t>
      </w:r>
      <w:r>
        <w:rPr>
          <w:rFonts w:ascii="Arial" w:cs="Arial" w:eastAsia="Arial" w:hAnsi="Arial"/>
          <w:b/>
          <w:bCs/>
          <w:sz w:val="20"/>
          <w:szCs w:val="20"/>
        </w:rPr>
        <w:t xml:space="preserve">HM 000067</w:t>
      </w:r>
      <w:r>
        <w:rPr>
          <w:rFonts w:ascii="Arial" w:cs="Arial" w:eastAsia="Arial" w:hAnsi="Arial"/>
          <w:sz w:val="20"/>
          <w:szCs w:val="20"/>
        </w:rPr>
        <w:t xml:space="preserve">) offering structured AI training programmes, professional certificates, and accredited diplomas, with a formal Memorandum of Understanding with Zimbabwe's </w:t>
      </w:r>
      <w:r>
        <w:rPr>
          <w:rFonts w:ascii="Arial" w:cs="Arial" w:eastAsia="Arial" w:hAnsi="Arial"/>
          <w:b/>
          <w:bCs/>
          <w:sz w:val="20"/>
          <w:szCs w:val="20"/>
        </w:rPr>
        <w:t xml:space="preserve">Ministry of Information, Communication Technology, Postal and Courier Services (ICTPCS)</w:t>
      </w:r>
      <w:r>
        <w:rPr>
          <w:rFonts w:ascii="Arial" w:cs="Arial" w:eastAsia="Arial" w:hAnsi="Arial"/>
          <w:sz w:val="20"/>
          <w:szCs w:val="20"/>
        </w:rPr>
        <w:t xml:space="preserve"> to co-operate in the development, implementation, and governance of AI initiatives nationally. We are uniquely positioned to serve as AFC's AI transformation training partner.</w:t>
      </w:r>
    </w:p>
    <w:p>
      <w:pPr>
        <w:spacing w:after="80" w:before="160"/>
      </w:pPr>
      <w:r>
        <w:rPr>
          <w:rFonts w:ascii="Arial" w:cs="Arial" w:eastAsia="Arial" w:hAnsi="Arial"/>
          <w:b/>
          <w:bCs/>
          <w:color w:val="1F3864"/>
          <w:sz w:val="21"/>
          <w:szCs w:val="21"/>
        </w:rPr>
        <w:t xml:space="preserve">Track Record &amp; Accreditation</w:t>
      </w:r>
    </w:p>
    <w:p>
      <w:pPr>
        <w:spacing w:after="120"/>
      </w:pPr>
      <w:r>
        <w:rPr>
          <w:rFonts w:ascii="Arial" w:cs="Arial" w:eastAsia="Arial" w:hAnsi="Arial"/>
          <w:sz w:val="20"/>
          <w:szCs w:val="20"/>
        </w:rPr>
        <w:t xml:space="preserve">AIIA has trained and certified </w:t>
      </w:r>
      <w:r>
        <w:rPr>
          <w:rFonts w:ascii="Arial" w:cs="Arial" w:eastAsia="Arial" w:hAnsi="Arial"/>
          <w:b/>
          <w:bCs/>
          <w:sz w:val="20"/>
          <w:szCs w:val="20"/>
        </w:rPr>
        <w:t xml:space="preserve">over 300 delegates</w:t>
      </w:r>
      <w:r>
        <w:rPr>
          <w:rFonts w:ascii="Arial" w:cs="Arial" w:eastAsia="Arial" w:hAnsi="Arial"/>
          <w:sz w:val="20"/>
          <w:szCs w:val="20"/>
        </w:rPr>
        <w:t xml:space="preserve"> across corporate, government, and financial-sector cohorts — directly demonstrating the operational scale and delivery experience AFC requires. Our programmes are academically underpinned through a formal partnership with the </w:t>
      </w:r>
      <w:r>
        <w:rPr>
          <w:rFonts w:ascii="Arial" w:cs="Arial" w:eastAsia="Arial" w:hAnsi="Arial"/>
          <w:b/>
          <w:bCs/>
          <w:sz w:val="20"/>
          <w:szCs w:val="20"/>
        </w:rPr>
        <w:t xml:space="preserve">University of Zimbabwe</w:t>
      </w:r>
      <w:r>
        <w:rPr>
          <w:rFonts w:ascii="Arial" w:cs="Arial" w:eastAsia="Arial" w:hAnsi="Arial"/>
          <w:sz w:val="20"/>
          <w:szCs w:val="20"/>
        </w:rPr>
        <w:t xml:space="preserve">, which provides independent quality assurance and curriculum validation, meeting the academic oversight requirement in Section 10.10 of the RFP.</w:t>
      </w:r>
    </w:p>
    <w:p>
      <w:pPr>
        <w:spacing w:after="80" w:before="160"/>
      </w:pPr>
      <w:r>
        <w:rPr>
          <w:rFonts w:ascii="Arial" w:cs="Arial" w:eastAsia="Arial" w:hAnsi="Arial"/>
          <w:b/>
          <w:bCs/>
          <w:color w:val="1F3864"/>
          <w:sz w:val="21"/>
          <w:szCs w:val="21"/>
        </w:rPr>
        <w:t xml:space="preserve">Faculty — Zimbabwe's Leading AI Researchers</w:t>
      </w:r>
    </w:p>
    <w:p>
      <w:pPr>
        <w:spacing w:after="120"/>
      </w:pPr>
      <w:r>
        <w:rPr>
          <w:rFonts w:ascii="Arial" w:cs="Arial" w:eastAsia="Arial" w:hAnsi="Arial"/>
          <w:sz w:val="20"/>
          <w:szCs w:val="20"/>
        </w:rPr>
        <w:t xml:space="preserve">Our programmes are delivered by </w:t>
      </w:r>
      <w:r>
        <w:rPr>
          <w:rFonts w:ascii="Arial" w:cs="Arial" w:eastAsia="Arial" w:hAnsi="Arial"/>
          <w:b/>
          <w:bCs/>
          <w:sz w:val="20"/>
          <w:szCs w:val="20"/>
        </w:rPr>
        <w:t xml:space="preserve">three of Zimbabwe's foremost AI researchers</w:t>
      </w:r>
      <w:r>
        <w:rPr>
          <w:rFonts w:ascii="Arial" w:cs="Arial" w:eastAsia="Arial" w:hAnsi="Arial"/>
          <w:sz w:val="20"/>
          <w:szCs w:val="20"/>
        </w:rPr>
        <w:t xml:space="preserve">, each holding doctoral qualifications, with active research profiles and regional exposure spanning AI systems, machine learning, data science, AI governance, and digital transformation in financial environments. Full CVs are included in Appendix B.</w:t>
      </w:r>
    </w:p>
    <w:p>
      <w:pPr>
        <w:spacing w:after="80" w:before="160"/>
      </w:pPr>
      <w:r>
        <w:rPr>
          <w:rFonts w:ascii="Arial" w:cs="Arial" w:eastAsia="Arial" w:hAnsi="Arial"/>
          <w:b/>
          <w:bCs/>
          <w:color w:val="1F3864"/>
          <w:sz w:val="21"/>
          <w:szCs w:val="21"/>
        </w:rPr>
        <w:t xml:space="preserve">Proposed Methodology</w:t>
      </w:r>
    </w:p>
    <w:p>
      <w:pPr>
        <w:spacing w:after="80"/>
        <w:jc w:val="left"/>
      </w:pPr>
      <w:r>
        <w:rPr>
          <w:rFonts w:ascii="Arial" w:cs="Arial" w:eastAsia="Arial" w:hAnsi="Arial"/>
          <w:b w:val="false"/>
          <w:bCs w:val="false"/>
          <w:i w:val="false"/>
          <w:iCs w:val="false"/>
          <w:sz w:val="20"/>
          <w:szCs w:val="20"/>
        </w:rPr>
        <w:t xml:space="preserve">We propose a structured four-phase blended programme tailored to AFC's operational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2400"/>
        <w:gridCol w:w="2520"/>
        <w:gridCol w:w="3900"/>
      </w:tblGrid>
      <w:tr>
        <w:tc>
          <w:tcPr>
            <w:tcW w:type="dxa" w:w="12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Week</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252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Mode</w:t>
            </w:r>
          </w:p>
        </w:tc>
        <w:tc>
          <w:tcPr>
            <w:tcW w:type="dxa" w:w="3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Key Outputs</w:t>
            </w:r>
          </w:p>
        </w:tc>
      </w:tr>
      <w:tr>
        <w:tc>
          <w:tcPr>
            <w:tcW w:type="dxa" w:w="1260"/>
            <w:tcBorders>
              <w:top w:val="single" w:color="BFBFBF" w:sz="4"/>
              <w:left w:val="single" w:color="BFBFBF" w:sz="4"/>
              <w:bottom w:val="single" w:color="BFBFBF" w:sz="4"/>
              <w:right w:val="single" w:color="BFBFBF" w:sz="4"/>
            </w:tcBorders>
            <w:shd w:fill="EAF0FB" w:val="clear"/>
            <w:tcMar>
              <w:top w:type="dxa" w:w="60"/>
              <w:left w:type="dxa" w:w="100"/>
              <w:bottom w:type="dxa" w:w="60"/>
              <w:right w:type="dxa" w:w="100"/>
            </w:tcMar>
          </w:tcPr>
          <w:p>
            <w:r>
              <w:rPr>
                <w:rFonts w:ascii="Arial" w:cs="Arial" w:eastAsia="Arial" w:hAnsi="Arial"/>
                <w:sz w:val="18"/>
                <w:szCs w:val="18"/>
              </w:rPr>
              <w:t xml:space="preserve">Wk 1</w:t>
            </w:r>
          </w:p>
        </w:tc>
        <w:tc>
          <w:tcPr>
            <w:tcW w:type="dxa" w:w="2400"/>
            <w:tcBorders>
              <w:top w:val="single" w:color="BFBFBF" w:sz="4"/>
              <w:left w:val="single" w:color="BFBFBF" w:sz="4"/>
              <w:bottom w:val="single" w:color="BFBFBF" w:sz="4"/>
              <w:right w:val="single" w:color="BFBFBF" w:sz="4"/>
            </w:tcBorders>
            <w:shd w:fill="EAF0FB" w:val="clear"/>
            <w:tcMar>
              <w:top w:type="dxa" w:w="60"/>
              <w:left w:type="dxa" w:w="100"/>
              <w:bottom w:type="dxa" w:w="60"/>
              <w:right w:type="dxa" w:w="100"/>
            </w:tcMar>
          </w:tcPr>
          <w:p>
            <w:r>
              <w:rPr>
                <w:rFonts w:ascii="Arial" w:cs="Arial" w:eastAsia="Arial" w:hAnsi="Arial"/>
                <w:sz w:val="18"/>
                <w:szCs w:val="18"/>
              </w:rPr>
              <w:t xml:space="preserve">Classroom &amp; Needs Alignment</w:t>
            </w:r>
          </w:p>
        </w:tc>
        <w:tc>
          <w:tcPr>
            <w:tcW w:type="dxa" w:w="2520"/>
            <w:tcBorders>
              <w:top w:val="single" w:color="BFBFBF" w:sz="4"/>
              <w:left w:val="single" w:color="BFBFBF" w:sz="4"/>
              <w:bottom w:val="single" w:color="BFBFBF" w:sz="4"/>
              <w:right w:val="single" w:color="BFBFBF" w:sz="4"/>
            </w:tcBorders>
            <w:shd w:fill="EAF0FB" w:val="clear"/>
            <w:tcMar>
              <w:top w:type="dxa" w:w="60"/>
              <w:left w:type="dxa" w:w="100"/>
              <w:bottom w:type="dxa" w:w="60"/>
              <w:right w:type="dxa" w:w="100"/>
            </w:tcMar>
          </w:tcPr>
          <w:p>
            <w:r>
              <w:rPr>
                <w:rFonts w:ascii="Arial" w:cs="Arial" w:eastAsia="Arial" w:hAnsi="Arial"/>
                <w:sz w:val="18"/>
                <w:szCs w:val="18"/>
              </w:rPr>
              <w:t xml:space="preserve">In-person, facilitator-led</w:t>
            </w:r>
          </w:p>
        </w:tc>
        <w:tc>
          <w:tcPr>
            <w:tcW w:type="dxa" w:w="3900"/>
            <w:tcBorders>
              <w:top w:val="single" w:color="BFBFBF" w:sz="4"/>
              <w:left w:val="single" w:color="BFBFBF" w:sz="4"/>
              <w:bottom w:val="single" w:color="BFBFBF" w:sz="4"/>
              <w:right w:val="single" w:color="BFBFBF" w:sz="4"/>
            </w:tcBorders>
            <w:shd w:fill="EAF0FB" w:val="clear"/>
            <w:tcMar>
              <w:top w:type="dxa" w:w="60"/>
              <w:left w:type="dxa" w:w="100"/>
              <w:bottom w:type="dxa" w:w="60"/>
              <w:right w:type="dxa" w:w="100"/>
            </w:tcMar>
          </w:tcPr>
          <w:p>
            <w:r>
              <w:rPr>
                <w:rFonts w:ascii="Arial" w:cs="Arial" w:eastAsia="Arial" w:hAnsi="Arial"/>
                <w:sz w:val="18"/>
                <w:szCs w:val="18"/>
              </w:rPr>
              <w:t xml:space="preserve">AFC use-case priorities, AI foundations, tailored agenda</w:t>
            </w:r>
          </w:p>
        </w:tc>
      </w:tr>
      <w:tr>
        <w:tc>
          <w:tcPr>
            <w:tcW w:type="dxa" w:w="1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sz w:val="18"/>
                <w:szCs w:val="18"/>
              </w:rPr>
              <w:t xml:space="preserve">Wk 2</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sz w:val="18"/>
                <w:szCs w:val="18"/>
              </w:rPr>
              <w:t xml:space="preserve">Online Lessons &amp; Reinforcement</w:t>
            </w:r>
          </w:p>
        </w:tc>
        <w:tc>
          <w:tcPr>
            <w:tcW w:type="dxa" w:w="25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sz w:val="18"/>
                <w:szCs w:val="18"/>
              </w:rPr>
              <w:t xml:space="preserve">Cognify platform — virtual</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sz w:val="18"/>
                <w:szCs w:val="18"/>
              </w:rPr>
              <w:t xml:space="preserve">Recorded sessions, guided assignments, knowledge checks</w:t>
            </w:r>
          </w:p>
        </w:tc>
      </w:tr>
      <w:tr>
        <w:tc>
          <w:tcPr>
            <w:tcW w:type="dxa" w:w="1260"/>
            <w:tcBorders>
              <w:top w:val="single" w:color="BFBFBF" w:sz="4"/>
              <w:left w:val="single" w:color="BFBFBF" w:sz="4"/>
              <w:bottom w:val="single" w:color="BFBFBF" w:sz="4"/>
              <w:right w:val="single" w:color="BFBFBF" w:sz="4"/>
            </w:tcBorders>
            <w:shd w:fill="EAF0FB" w:val="clear"/>
            <w:tcMar>
              <w:top w:type="dxa" w:w="60"/>
              <w:left w:type="dxa" w:w="100"/>
              <w:bottom w:type="dxa" w:w="60"/>
              <w:right w:type="dxa" w:w="100"/>
            </w:tcMar>
          </w:tcPr>
          <w:p>
            <w:r>
              <w:rPr>
                <w:rFonts w:ascii="Arial" w:cs="Arial" w:eastAsia="Arial" w:hAnsi="Arial"/>
                <w:sz w:val="18"/>
                <w:szCs w:val="18"/>
              </w:rPr>
              <w:t xml:space="preserve">Wk 3</w:t>
            </w:r>
          </w:p>
        </w:tc>
        <w:tc>
          <w:tcPr>
            <w:tcW w:type="dxa" w:w="2400"/>
            <w:tcBorders>
              <w:top w:val="single" w:color="BFBFBF" w:sz="4"/>
              <w:left w:val="single" w:color="BFBFBF" w:sz="4"/>
              <w:bottom w:val="single" w:color="BFBFBF" w:sz="4"/>
              <w:right w:val="single" w:color="BFBFBF" w:sz="4"/>
            </w:tcBorders>
            <w:shd w:fill="EAF0FB" w:val="clear"/>
            <w:tcMar>
              <w:top w:type="dxa" w:w="60"/>
              <w:left w:type="dxa" w:w="100"/>
              <w:bottom w:type="dxa" w:w="60"/>
              <w:right w:type="dxa" w:w="100"/>
            </w:tcMar>
          </w:tcPr>
          <w:p>
            <w:r>
              <w:rPr>
                <w:rFonts w:ascii="Arial" w:cs="Arial" w:eastAsia="Arial" w:hAnsi="Arial"/>
                <w:sz w:val="18"/>
                <w:szCs w:val="18"/>
              </w:rPr>
              <w:t xml:space="preserve">Practical Exercises &amp; Applied Labs</w:t>
            </w:r>
          </w:p>
        </w:tc>
        <w:tc>
          <w:tcPr>
            <w:tcW w:type="dxa" w:w="2520"/>
            <w:tcBorders>
              <w:top w:val="single" w:color="BFBFBF" w:sz="4"/>
              <w:left w:val="single" w:color="BFBFBF" w:sz="4"/>
              <w:bottom w:val="single" w:color="BFBFBF" w:sz="4"/>
              <w:right w:val="single" w:color="BFBFBF" w:sz="4"/>
            </w:tcBorders>
            <w:shd w:fill="EAF0FB" w:val="clear"/>
            <w:tcMar>
              <w:top w:type="dxa" w:w="60"/>
              <w:left w:type="dxa" w:w="100"/>
              <w:bottom w:type="dxa" w:w="60"/>
              <w:right w:type="dxa" w:w="100"/>
            </w:tcMar>
          </w:tcPr>
          <w:p>
            <w:r>
              <w:rPr>
                <w:rFonts w:ascii="Arial" w:cs="Arial" w:eastAsia="Arial" w:hAnsi="Arial"/>
                <w:sz w:val="18"/>
                <w:szCs w:val="18"/>
              </w:rPr>
              <w:t xml:space="preserve">Blended, hands-on</w:t>
            </w:r>
          </w:p>
        </w:tc>
        <w:tc>
          <w:tcPr>
            <w:tcW w:type="dxa" w:w="3900"/>
            <w:tcBorders>
              <w:top w:val="single" w:color="BFBFBF" w:sz="4"/>
              <w:left w:val="single" w:color="BFBFBF" w:sz="4"/>
              <w:bottom w:val="single" w:color="BFBFBF" w:sz="4"/>
              <w:right w:val="single" w:color="BFBFBF" w:sz="4"/>
            </w:tcBorders>
            <w:shd w:fill="EAF0FB" w:val="clear"/>
            <w:tcMar>
              <w:top w:type="dxa" w:w="60"/>
              <w:left w:type="dxa" w:w="100"/>
              <w:bottom w:type="dxa" w:w="60"/>
              <w:right w:type="dxa" w:w="100"/>
            </w:tcMar>
          </w:tcPr>
          <w:p>
            <w:r>
              <w:rPr>
                <w:rFonts w:ascii="Arial" w:cs="Arial" w:eastAsia="Arial" w:hAnsi="Arial"/>
                <w:sz w:val="18"/>
                <w:szCs w:val="18"/>
              </w:rPr>
              <w:t xml:space="preserve">AFC-scenario exercises, AI workflow prototypes, toolkits</w:t>
            </w:r>
          </w:p>
        </w:tc>
      </w:tr>
      <w:tr>
        <w:tc>
          <w:tcPr>
            <w:tcW w:type="dxa" w:w="12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sz w:val="18"/>
                <w:szCs w:val="18"/>
              </w:rPr>
              <w:t xml:space="preserve">Wk 4</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sz w:val="18"/>
                <w:szCs w:val="18"/>
              </w:rPr>
              <w:t xml:space="preserve">Post-Implementation Support</w:t>
            </w:r>
          </w:p>
        </w:tc>
        <w:tc>
          <w:tcPr>
            <w:tcW w:type="dxa" w:w="25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sz w:val="18"/>
                <w:szCs w:val="18"/>
              </w:rPr>
              <w:t xml:space="preserve">Advisory &amp; reporting</w:t>
            </w:r>
          </w:p>
        </w:tc>
        <w:tc>
          <w:tcPr>
            <w:tcW w:type="dxa" w:w="3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r>
              <w:rPr>
                <w:rFonts w:ascii="Arial" w:cs="Arial" w:eastAsia="Arial" w:hAnsi="Arial"/>
                <w:sz w:val="18"/>
                <w:szCs w:val="18"/>
              </w:rPr>
              <w:t xml:space="preserve">Adoption roadmap, post-training report, governance guidance</w:t>
            </w:r>
          </w:p>
        </w:tc>
      </w:tr>
    </w:tbl>
    <w:p>
      <w:pPr>
        <w:spacing w:after="80" w:before="160"/>
      </w:pPr>
      <w:r>
        <w:rPr>
          <w:rFonts w:ascii="Arial" w:cs="Arial" w:eastAsia="Arial" w:hAnsi="Arial"/>
          <w:b/>
          <w:bCs/>
          <w:color w:val="1F3864"/>
          <w:sz w:val="21"/>
          <w:szCs w:val="21"/>
        </w:rPr>
        <w:t xml:space="preserve">Cognify — Our AI-Powered Learning Platform</w:t>
      </w:r>
    </w:p>
    <w:p>
      <w:pPr>
        <w:spacing w:after="80"/>
      </w:pPr>
      <w:r>
        <w:rPr>
          <w:rFonts w:ascii="Arial" w:cs="Arial" w:eastAsia="Arial" w:hAnsi="Arial"/>
          <w:sz w:val="20"/>
          <w:szCs w:val="20"/>
        </w:rPr>
        <w:t xml:space="preserve">AIIA's proprietary platform </w:t>
      </w:r>
      <w:r>
        <w:rPr>
          <w:rFonts w:ascii="Arial" w:cs="Arial" w:eastAsia="Arial" w:hAnsi="Arial"/>
          <w:b/>
          <w:bCs/>
          <w:sz w:val="20"/>
          <w:szCs w:val="20"/>
        </w:rPr>
        <w:t xml:space="preserve">Cognify</w:t>
      </w:r>
      <w:r>
        <w:rPr>
          <w:rFonts w:ascii="Arial" w:cs="Arial" w:eastAsia="Arial" w:hAnsi="Arial"/>
          <w:sz w:val="20"/>
          <w:szCs w:val="20"/>
        </w:rPr>
        <w:t xml:space="preserve"> addresses all digital platform requirements in Section 7 of the RFP, providing: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none"/>
            </w:tcBorders>
            <w:tcMar>
              <w:top w:type="dxa" w:w="30"/>
              <w:left w:type="dxa" w:w="0"/>
              <w:bottom w:type="dxa" w:w="30"/>
              <w:right w:type="dxa" w:w="100"/>
            </w:tcMar>
          </w:tcPr>
          <w:p>
            <w:pPr>
              <w:pStyle w:val="ListParagraph"/>
              <w:numPr>
                <w:ilvl w:val="0"/>
                <w:numId w:val="2"/>
              </w:numPr>
              <w:spacing w:after="40"/>
            </w:pPr>
            <w:r>
              <w:rPr>
                <w:rFonts w:ascii="Arial" w:cs="Arial" w:eastAsia="Arial" w:hAnsi="Arial"/>
                <w:sz w:val="19"/>
                <w:szCs w:val="19"/>
              </w:rPr>
              <w:t xml:space="preserve">Structured &amp; continuous online learning access</w:t>
            </w:r>
          </w:p>
        </w:tc>
        <w:tc>
          <w:tcPr>
            <w:tcW w:type="dxa" w:w="5040"/>
            <w:tcBorders>
              <w:top w:val="none"/>
              <w:left w:val="none"/>
              <w:bottom w:val="none"/>
              <w:right w:val="none"/>
            </w:tcBorders>
            <w:tcMar>
              <w:top w:type="dxa" w:w="30"/>
              <w:left w:type="dxa" w:w="0"/>
              <w:bottom w:type="dxa" w:w="30"/>
              <w:right w:type="dxa" w:w="100"/>
            </w:tcMar>
          </w:tcPr>
          <w:p>
            <w:pPr>
              <w:pStyle w:val="ListParagraph"/>
              <w:numPr>
                <w:ilvl w:val="0"/>
                <w:numId w:val="2"/>
              </w:numPr>
              <w:spacing w:after="40"/>
            </w:pPr>
            <w:r>
              <w:rPr>
                <w:rFonts w:ascii="Arial" w:cs="Arial" w:eastAsia="Arial" w:hAnsi="Arial"/>
                <w:sz w:val="19"/>
                <w:szCs w:val="19"/>
              </w:rPr>
              <w:t xml:space="preserve">Multi-modal content: text, video, audio, interactive</w:t>
            </w:r>
          </w:p>
        </w:tc>
      </w:tr>
      <w:tr>
        <w:tc>
          <w:tcPr>
            <w:tcW w:type="dxa" w:w="5040"/>
            <w:tcBorders>
              <w:top w:val="none"/>
              <w:left w:val="none"/>
              <w:bottom w:val="none"/>
              <w:right w:val="none"/>
            </w:tcBorders>
            <w:tcMar>
              <w:top w:type="dxa" w:w="30"/>
              <w:left w:type="dxa" w:w="0"/>
              <w:bottom w:type="dxa" w:w="30"/>
              <w:right w:type="dxa" w:w="100"/>
            </w:tcMar>
          </w:tcPr>
          <w:p>
            <w:pPr>
              <w:pStyle w:val="ListParagraph"/>
              <w:numPr>
                <w:ilvl w:val="0"/>
                <w:numId w:val="2"/>
              </w:numPr>
              <w:spacing w:after="40"/>
            </w:pPr>
            <w:r>
              <w:rPr>
                <w:rFonts w:ascii="Arial" w:cs="Arial" w:eastAsia="Arial" w:hAnsi="Arial"/>
                <w:sz w:val="19"/>
                <w:szCs w:val="19"/>
              </w:rPr>
              <w:t xml:space="preserve">Online examinations, self-testing &amp; certification</w:t>
            </w:r>
          </w:p>
        </w:tc>
        <w:tc>
          <w:tcPr>
            <w:tcW w:type="dxa" w:w="5040"/>
            <w:tcBorders>
              <w:top w:val="none"/>
              <w:left w:val="none"/>
              <w:bottom w:val="none"/>
              <w:right w:val="none"/>
            </w:tcBorders>
            <w:tcMar>
              <w:top w:type="dxa" w:w="30"/>
              <w:left w:type="dxa" w:w="0"/>
              <w:bottom w:type="dxa" w:w="30"/>
              <w:right w:type="dxa" w:w="100"/>
            </w:tcMar>
          </w:tcPr>
          <w:p>
            <w:pPr>
              <w:pStyle w:val="ListParagraph"/>
              <w:numPr>
                <w:ilvl w:val="0"/>
                <w:numId w:val="2"/>
              </w:numPr>
              <w:spacing w:after="40"/>
            </w:pPr>
            <w:r>
              <w:rPr>
                <w:rFonts w:ascii="Arial" w:cs="Arial" w:eastAsia="Arial" w:hAnsi="Arial"/>
                <w:sz w:val="19"/>
                <w:szCs w:val="19"/>
              </w:rPr>
              <w:t xml:space="preserve">Supervisor dashboards and real-time progress monitoring</w:t>
            </w:r>
          </w:p>
        </w:tc>
      </w:tr>
      <w:tr>
        <w:tc>
          <w:tcPr>
            <w:tcW w:type="dxa" w:w="5040"/>
            <w:tcBorders>
              <w:top w:val="none"/>
              <w:left w:val="none"/>
              <w:bottom w:val="none"/>
              <w:right w:val="none"/>
            </w:tcBorders>
            <w:tcMar>
              <w:top w:type="dxa" w:w="30"/>
              <w:left w:type="dxa" w:w="0"/>
              <w:bottom w:type="dxa" w:w="30"/>
              <w:right w:type="dxa" w:w="100"/>
            </w:tcMar>
          </w:tcPr>
          <w:p>
            <w:pPr>
              <w:pStyle w:val="ListParagraph"/>
              <w:numPr>
                <w:ilvl w:val="0"/>
                <w:numId w:val="2"/>
              </w:numPr>
              <w:spacing w:after="40"/>
            </w:pPr>
            <w:r>
              <w:rPr>
                <w:rFonts w:ascii="Arial" w:cs="Arial" w:eastAsia="Arial" w:hAnsi="Arial"/>
                <w:sz w:val="19"/>
                <w:szCs w:val="19"/>
              </w:rPr>
              <w:t xml:space="preserve">Learning analytics and performance reporting</w:t>
            </w:r>
          </w:p>
        </w:tc>
        <w:tc>
          <w:tcPr>
            <w:tcW w:type="dxa" w:w="5040"/>
            <w:tcBorders>
              <w:top w:val="none"/>
              <w:left w:val="none"/>
              <w:bottom w:val="none"/>
              <w:right w:val="none"/>
            </w:tcBorders>
            <w:tcMar>
              <w:top w:type="dxa" w:w="30"/>
              <w:left w:type="dxa" w:w="0"/>
              <w:bottom w:type="dxa" w:w="30"/>
              <w:right w:type="dxa" w:w="100"/>
            </w:tcMar>
          </w:tcPr>
          <w:p>
            <w:pPr>
              <w:pStyle w:val="ListParagraph"/>
              <w:numPr>
                <w:ilvl w:val="0"/>
                <w:numId w:val="2"/>
              </w:numPr>
              <w:spacing w:after="40"/>
            </w:pPr>
            <w:r>
              <w:rPr>
                <w:rFonts w:ascii="Arial" w:cs="Arial" w:eastAsia="Arial" w:hAnsi="Arial"/>
                <w:sz w:val="19"/>
                <w:szCs w:val="19"/>
              </w:rPr>
              <w:t xml:space="preserve">Multi-language delivery: English, Shona, Ndebele</w:t>
            </w:r>
          </w:p>
        </w:tc>
      </w:tr>
      <w:tr>
        <w:tc>
          <w:tcPr>
            <w:tcW w:type="dxa" w:w="5040"/>
            <w:tcBorders>
              <w:top w:val="none"/>
              <w:left w:val="none"/>
              <w:bottom w:val="none"/>
              <w:right w:val="none"/>
            </w:tcBorders>
            <w:tcMar>
              <w:top w:type="dxa" w:w="30"/>
              <w:left w:type="dxa" w:w="0"/>
              <w:bottom w:type="dxa" w:w="30"/>
              <w:right w:type="dxa" w:w="100"/>
            </w:tcMar>
          </w:tcPr>
          <w:p>
            <w:pPr>
              <w:pStyle w:val="ListParagraph"/>
              <w:numPr>
                <w:ilvl w:val="0"/>
                <w:numId w:val="2"/>
              </w:numPr>
              <w:spacing w:after="40"/>
            </w:pPr>
            <w:r>
              <w:rPr>
                <w:rFonts w:ascii="Arial" w:cs="Arial" w:eastAsia="Arial" w:hAnsi="Arial"/>
                <w:sz w:val="19"/>
                <w:szCs w:val="19"/>
              </w:rPr>
              <w:t xml:space="preserve">Self-paced and scheduled session flexibility</w:t>
            </w:r>
          </w:p>
        </w:tc>
        <w:tc>
          <w:tcPr>
            <w:tcW w:type="dxa" w:w="5040"/>
            <w:tcBorders>
              <w:top w:val="none"/>
              <w:left w:val="none"/>
              <w:bottom w:val="none"/>
              <w:right w:val="none"/>
            </w:tcBorders>
            <w:tcMar>
              <w:top w:type="dxa" w:w="30"/>
              <w:left w:type="dxa" w:w="0"/>
              <w:bottom w:type="dxa" w:w="30"/>
              <w:right w:type="dxa" w:w="100"/>
            </w:tcMar>
          </w:tcPr>
          <w:p>
            <w:pPr>
              <w:pStyle w:val="ListParagraph"/>
              <w:numPr>
                <w:ilvl w:val="0"/>
                <w:numId w:val="2"/>
              </w:numPr>
              <w:spacing w:after="40"/>
            </w:pPr>
            <w:r>
              <w:rPr>
                <w:rFonts w:ascii="Arial" w:cs="Arial" w:eastAsia="Arial" w:hAnsi="Arial"/>
                <w:sz w:val="19"/>
                <w:szCs w:val="19"/>
              </w:rPr>
              <w:t xml:space="preserve">AFC platform ownership option on programme completion</w:t>
            </w:r>
          </w:p>
        </w:tc>
      </w:tr>
    </w:tbl>
    <w:p>
      <w:pPr>
        <w:spacing w:after="80" w:before="160"/>
      </w:pPr>
      <w:r>
        <w:rPr>
          <w:rFonts w:ascii="Arial" w:cs="Arial" w:eastAsia="Arial" w:hAnsi="Arial"/>
          <w:b/>
          <w:bCs/>
          <w:color w:val="1F3864"/>
          <w:sz w:val="21"/>
          <w:szCs w:val="21"/>
        </w:rPr>
        <w:t xml:space="preserve">Our Commitment</w:t>
      </w:r>
    </w:p>
    <w:p>
      <w:pPr>
        <w:spacing w:after="120"/>
        <w:jc w:val="left"/>
      </w:pPr>
      <w:r>
        <w:rPr>
          <w:rFonts w:ascii="Arial" w:cs="Arial" w:eastAsia="Arial" w:hAnsi="Arial"/>
          <w:b w:val="false"/>
          <w:bCs w:val="false"/>
          <w:i w:val="false"/>
          <w:iCs w:val="false"/>
          <w:sz w:val="20"/>
          <w:szCs w:val="20"/>
        </w:rPr>
        <w:t xml:space="preserve">AIIA brings together HEXCO accreditation, government policy alignment, University of Zimbabwe academic oversight, Zimbabwe's top AI research faculty, a proprietary AI-powered learning platform, and a proven delivery track record — making us the strongest-positioned provider to deliver AFC's AI and Digital Banking Transformation Programme. All mandatory documents, including reference letters (minimum three, one financial sector), bid security of US$600.00, and key personnel CVs, are enclosed with this submission.</w:t>
      </w:r>
    </w:p>
    <w:p>
      <w:pPr>
        <w:spacing w:after="160"/>
        <w:jc w:val="left"/>
      </w:pPr>
      <w:r>
        <w:rPr>
          <w:rFonts w:ascii="Arial" w:cs="Arial" w:eastAsia="Arial" w:hAnsi="Arial"/>
          <w:b w:val="false"/>
          <w:bCs w:val="false"/>
          <w:i w:val="false"/>
          <w:iCs w:val="false"/>
          <w:sz w:val="20"/>
          <w:szCs w:val="20"/>
        </w:rPr>
        <w:t xml:space="preserve">We welcome the opportunity to present further and look forward to partnering with AFC.</w:t>
      </w:r>
    </w:p>
    <w:p>
      <w:pPr>
        <w:spacing w:after="200"/>
        <w:jc w:val="left"/>
      </w:pPr>
      <w:r>
        <w:rPr>
          <w:rFonts w:ascii="Arial" w:cs="Arial" w:eastAsia="Arial" w:hAnsi="Arial"/>
          <w:b w:val="false"/>
          <w:bCs w:val="false"/>
          <w:i w:val="false"/>
          <w:iCs w:val="false"/>
          <w:sz w:val="20"/>
          <w:szCs w:val="20"/>
        </w:rPr>
        <w:t xml:space="preserve">Yours faithfully,</w:t>
      </w:r>
    </w:p>
    <w:p>
      <w:pPr>
        <w:spacing w:after="40"/>
        <w:jc w:val="left"/>
      </w:pPr>
      <w:r>
        <w:rPr>
          <w:rFonts w:ascii="Arial" w:cs="Arial" w:eastAsia="Arial" w:hAnsi="Arial"/>
          <w:b/>
          <w:bCs/>
          <w:i w:val="false"/>
          <w:iCs w:val="false"/>
          <w:sz w:val="20"/>
          <w:szCs w:val="20"/>
        </w:rPr>
        <w:t xml:space="preserve">Artificial Intelligence Initiative Africa (AIIA)</w:t>
      </w:r>
    </w:p>
    <w:p>
      <w:pPr>
        <w:spacing w:after="40"/>
        <w:jc w:val="left"/>
      </w:pPr>
      <w:r>
        <w:rPr>
          <w:rFonts w:ascii="Arial" w:cs="Arial" w:eastAsia="Arial" w:hAnsi="Arial"/>
          <w:b w:val="false"/>
          <w:bCs w:val="false"/>
          <w:i w:val="false"/>
          <w:iCs w:val="false"/>
          <w:sz w:val="20"/>
          <w:szCs w:val="20"/>
        </w:rPr>
        <w:t xml:space="preserve">HEXCO Accreditation No. HM 000067</w:t>
      </w:r>
    </w:p>
    <w:p>
      <w:pPr>
        <w:spacing w:after="0"/>
        <w:jc w:val="left"/>
      </w:pPr>
      <w:r>
        <w:rPr>
          <w:rFonts w:ascii="Arial" w:cs="Arial" w:eastAsia="Arial" w:hAnsi="Arial"/>
          <w:b w:val="false"/>
          <w:bCs w:val="false"/>
          <w:i w:val="false"/>
          <w:iCs w:val="false"/>
          <w:color w:val="555555"/>
          <w:sz w:val="20"/>
          <w:szCs w:val="20"/>
        </w:rPr>
        <w:t xml:space="preserve">admin@aiinitiativeafrica.com  |  www.aiinstituteafrica.com</w:t>
      </w:r>
    </w:p>
    <w:p>
      <w:pPr>
        <w:pBdr>
          <w:bottom w:val="single" w:color="CCCCCC" w:sz="4" w:space="1"/>
        </w:pBdr>
        <w:spacing w:after="0" w:before="140"/>
      </w:pPr>
    </w:p>
    <w:p>
      <w:pPr>
        <w:spacing w:after="0" w:before="80"/>
        <w:jc w:val="center"/>
      </w:pPr>
      <w:r>
        <w:rPr>
          <w:rFonts w:ascii="Arial" w:cs="Arial" w:eastAsia="Arial" w:hAnsi="Arial"/>
          <w:i/>
          <w:iCs/>
          <w:color w:val="777777"/>
          <w:sz w:val="16"/>
          <w:szCs w:val="16"/>
        </w:rPr>
        <w:t xml:space="preserve">Enclosures: Appendix A — Methodology &amp; Work Plan  |  Appendix B — Key Personnel CVs  |  Company Profile  |  HEXCO Certificate  |  ZIMRA Tax Clearance  |  NSSA Certificate  |  PRAZ Registration  |  Reference Letters  |  Bid Security US$600</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2026-07-09T15:38:41.075Z</dcterms:created>
  <dcterms:modified xsi:type="dcterms:W3CDTF">2026-07-09T15:38:41.090Z</dcterms:modified>
</cp:coreProperties>
</file>

<file path=docProps/custom.xml><?xml version="1.0" encoding="utf-8"?>
<Properties xmlns="http://schemas.openxmlformats.org/officeDocument/2006/custom-properties" xmlns:vt="http://schemas.openxmlformats.org/officeDocument/2006/docPropsVTypes"/>
</file>