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861608">
      <w:r>
        <w:drawing>
          <wp:inline distT="0" distB="0" distL="114300" distR="114300">
            <wp:extent cx="2122805" cy="981710"/>
            <wp:effectExtent l="0" t="0" r="10795" b="8890"/>
            <wp:docPr id="4" name="Picture 3"/>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2122805" cy="981710"/>
                    </a:xfrm>
                    <a:prstGeom prst="rect">
                      <a:avLst/>
                    </a:prstGeom>
                    <a:noFill/>
                  </pic:spPr>
                </pic:pic>
              </a:graphicData>
            </a:graphic>
          </wp:inline>
        </w:drawing>
      </w:r>
    </w:p>
    <w:p w14:paraId="2AAB3894"/>
    <w:p w14:paraId="587DC067">
      <w:pPr>
        <w:jc w:val="left"/>
        <w:rPr>
          <w:rFonts w:hint="default" w:ascii="Times New Roman Bold Italic" w:hAnsi="Times New Roman Bold Italic" w:cs="Times New Roman Bold Italic"/>
          <w:b/>
          <w:bCs/>
          <w:i/>
          <w:iCs/>
          <w:color w:val="2F5597" w:themeColor="accent5" w:themeShade="BF"/>
          <w:sz w:val="40"/>
          <w:szCs w:val="40"/>
        </w:rPr>
      </w:pPr>
      <w:r>
        <w:rPr>
          <w:rFonts w:hint="default" w:ascii="Times New Roman Bold Italic" w:hAnsi="Times New Roman Bold Italic" w:cs="Times New Roman Bold Italic"/>
          <w:b/>
          <w:bCs/>
          <w:i/>
          <w:iCs/>
          <w:color w:val="2F5597" w:themeColor="accent5" w:themeShade="BF"/>
          <w:sz w:val="40"/>
          <w:szCs w:val="40"/>
        </w:rPr>
        <w:t>AI Institute Africa (AIIA) Affiliate Package</w:t>
      </w:r>
    </w:p>
    <w:p w14:paraId="495F2979">
      <w:pPr>
        <w:jc w:val="both"/>
        <w:rPr>
          <w:rFonts w:hint="default" w:ascii="Times New Roman Regular" w:hAnsi="Times New Roman Regular" w:cs="Times New Roman Regular"/>
          <w:sz w:val="24"/>
          <w:szCs w:val="24"/>
        </w:rPr>
      </w:pPr>
    </w:p>
    <w:p w14:paraId="2049809B">
      <w:pPr>
        <w:jc w:val="both"/>
        <w:rPr>
          <w:rFonts w:hint="default" w:ascii="Times New Roman Bold Italic" w:hAnsi="Times New Roman Bold Italic" w:cs="Times New Roman Bold Italic"/>
          <w:b/>
          <w:bCs/>
          <w:i/>
          <w:iCs/>
          <w:color w:val="2F5597" w:themeColor="accent5" w:themeShade="BF"/>
          <w:sz w:val="32"/>
          <w:szCs w:val="32"/>
        </w:rPr>
      </w:pPr>
      <w:r>
        <w:rPr>
          <w:rFonts w:hint="default" w:ascii="Times New Roman Bold Italic" w:hAnsi="Times New Roman Bold Italic" w:cs="Times New Roman Bold Italic"/>
          <w:b/>
          <w:bCs/>
          <w:i/>
          <w:iCs/>
          <w:color w:val="2F5597" w:themeColor="accent5" w:themeShade="BF"/>
          <w:sz w:val="32"/>
          <w:szCs w:val="32"/>
        </w:rPr>
        <w:t>Affiliate Membership Overview</w:t>
      </w:r>
    </w:p>
    <w:p w14:paraId="3B0C9DAA">
      <w:pPr>
        <w:jc w:val="both"/>
        <w:rPr>
          <w:rFonts w:hint="default" w:ascii="Times New Roman Regular" w:hAnsi="Times New Roman Regular" w:cs="Times New Roman Regular"/>
          <w:sz w:val="24"/>
          <w:szCs w:val="24"/>
        </w:rPr>
      </w:pPr>
      <w:bookmarkStart w:id="0" w:name="_GoBack"/>
      <w:bookmarkEnd w:id="0"/>
    </w:p>
    <w:p w14:paraId="4EEE13F7">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AI Institute Africa Affiliate Membership is designed for professionals, consultants, trainers, researchers, institutions, and business partners who want to align with AIIA’s mission of advancing the responsible use of AI for better lives. AIIA positions itself as a pan-African AI capacity, policy, research, and infrastructure organization, with services spanning training, advisory, consultancy, research, and AI solutions innovation.</w:t>
      </w:r>
    </w:p>
    <w:p w14:paraId="00706CF8">
      <w:pPr>
        <w:jc w:val="both"/>
        <w:rPr>
          <w:rFonts w:hint="default" w:ascii="Times New Roman Regular" w:hAnsi="Times New Roman Regular" w:cs="Times New Roman Regular"/>
          <w:sz w:val="24"/>
          <w:szCs w:val="24"/>
        </w:rPr>
      </w:pPr>
    </w:p>
    <w:p w14:paraId="6DA252AC">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This package gives affiliates a formal relationship with the institute and access to opportunities that help them grow their credibility, network, and impact.</w:t>
      </w:r>
    </w:p>
    <w:p w14:paraId="7FDC4944">
      <w:pPr>
        <w:jc w:val="both"/>
        <w:rPr>
          <w:rFonts w:hint="default" w:ascii="Times New Roman Regular" w:hAnsi="Times New Roman Regular" w:cs="Times New Roman Regular"/>
          <w:sz w:val="24"/>
          <w:szCs w:val="24"/>
        </w:rPr>
      </w:pPr>
    </w:p>
    <w:p w14:paraId="08D87A49">
      <w:pPr>
        <w:jc w:val="both"/>
        <w:rPr>
          <w:rFonts w:hint="default" w:ascii="Times New Roman Bold Italic" w:hAnsi="Times New Roman Bold Italic" w:cs="Times New Roman Bold Italic"/>
          <w:b/>
          <w:bCs/>
          <w:i/>
          <w:iCs/>
          <w:color w:val="2F5597" w:themeColor="accent5" w:themeShade="BF"/>
          <w:sz w:val="28"/>
          <w:szCs w:val="28"/>
        </w:rPr>
      </w:pPr>
      <w:r>
        <w:rPr>
          <w:rFonts w:hint="default" w:ascii="Times New Roman Bold Italic" w:hAnsi="Times New Roman Bold Italic" w:cs="Times New Roman Bold Italic"/>
          <w:b/>
          <w:bCs/>
          <w:i/>
          <w:iCs/>
          <w:color w:val="2F5597" w:themeColor="accent5" w:themeShade="BF"/>
          <w:sz w:val="28"/>
          <w:szCs w:val="28"/>
        </w:rPr>
        <w:t>What AIIA Can Offer Affiliates</w:t>
      </w:r>
    </w:p>
    <w:p w14:paraId="09CD4C8E">
      <w:pPr>
        <w:jc w:val="both"/>
        <w:rPr>
          <w:rFonts w:hint="default" w:ascii="Times New Roman Regular" w:hAnsi="Times New Roman Regular" w:cs="Times New Roman Regular"/>
          <w:sz w:val="24"/>
          <w:szCs w:val="24"/>
        </w:rPr>
      </w:pPr>
    </w:p>
    <w:p w14:paraId="0EC3CD15">
      <w:pPr>
        <w:jc w:val="both"/>
        <w:rPr>
          <w:rFonts w:hint="default" w:ascii="Times New Roman Bold Italic" w:hAnsi="Times New Roman Bold Italic" w:cs="Times New Roman Bold Italic"/>
          <w:i/>
          <w:iCs/>
          <w:sz w:val="24"/>
          <w:szCs w:val="24"/>
        </w:rPr>
      </w:pPr>
      <w:r>
        <w:rPr>
          <w:rFonts w:hint="default" w:ascii="Times New Roman Bold Italic" w:hAnsi="Times New Roman Bold Italic" w:cs="Times New Roman Bold Italic"/>
          <w:b/>
          <w:bCs/>
          <w:i/>
          <w:iCs/>
          <w:color w:val="2F5597" w:themeColor="accent5" w:themeShade="BF"/>
          <w:sz w:val="24"/>
          <w:szCs w:val="24"/>
        </w:rPr>
        <w:t>1. Brand Association and Institutional Credibility</w:t>
      </w:r>
    </w:p>
    <w:p w14:paraId="04ACA6D5">
      <w:pPr>
        <w:jc w:val="both"/>
        <w:rPr>
          <w:rFonts w:hint="default" w:ascii="Times New Roman Regular" w:hAnsi="Times New Roman Regular" w:cs="Times New Roman Regular"/>
          <w:sz w:val="24"/>
          <w:szCs w:val="24"/>
        </w:rPr>
      </w:pPr>
    </w:p>
    <w:p w14:paraId="39F933B9">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Affiliates can formally associate with AI Institute Africa, a recognized organization focused on AI policy, strategy, ethics, training, consultancy, research, and innovation across Africa.</w:t>
      </w:r>
    </w:p>
    <w:p w14:paraId="04CD4408">
      <w:pPr>
        <w:jc w:val="both"/>
        <w:rPr>
          <w:rFonts w:hint="default" w:ascii="Times New Roman Regular" w:hAnsi="Times New Roman Regular" w:cs="Times New Roman Regular"/>
          <w:sz w:val="24"/>
          <w:szCs w:val="24"/>
        </w:rPr>
      </w:pPr>
    </w:p>
    <w:p w14:paraId="0F5E5C89">
      <w:pPr>
        <w:jc w:val="both"/>
        <w:rPr>
          <w:rFonts w:hint="default" w:ascii="Times New Roman Bold Italic" w:hAnsi="Times New Roman Bold Italic" w:cs="Times New Roman Bold Italic"/>
          <w:b/>
          <w:bCs/>
          <w:i/>
          <w:iCs/>
          <w:color w:val="2F5597" w:themeColor="accent5" w:themeShade="BF"/>
          <w:sz w:val="24"/>
          <w:szCs w:val="24"/>
        </w:rPr>
      </w:pPr>
      <w:r>
        <w:rPr>
          <w:rFonts w:hint="default" w:ascii="Times New Roman Bold Italic" w:hAnsi="Times New Roman Bold Italic" w:cs="Times New Roman Bold Italic"/>
          <w:b/>
          <w:bCs/>
          <w:i/>
          <w:iCs/>
          <w:color w:val="2F5597" w:themeColor="accent5" w:themeShade="BF"/>
          <w:sz w:val="24"/>
          <w:szCs w:val="24"/>
        </w:rPr>
        <w:t>Benefits:</w:t>
      </w:r>
    </w:p>
    <w:p w14:paraId="57E082E7">
      <w:pPr>
        <w:jc w:val="both"/>
        <w:rPr>
          <w:rFonts w:hint="default" w:ascii="Times New Roman Regular" w:hAnsi="Times New Roman Regular" w:cs="Times New Roman Regular"/>
          <w:sz w:val="24"/>
          <w:szCs w:val="24"/>
        </w:rPr>
      </w:pPr>
    </w:p>
    <w:p w14:paraId="10D900E0">
      <w:pPr>
        <w:numPr>
          <w:ilvl w:val="0"/>
          <w:numId w:val="1"/>
        </w:numPr>
        <w:ind w:left="840" w:leftChars="0" w:hanging="42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Permission to state affiliation with AIIA in professional profiles and business materials</w:t>
      </w:r>
    </w:p>
    <w:p w14:paraId="2A3FB8E3">
      <w:pPr>
        <w:jc w:val="both"/>
        <w:rPr>
          <w:rFonts w:hint="default" w:ascii="Times New Roman Regular" w:hAnsi="Times New Roman Regular" w:cs="Times New Roman Regular"/>
          <w:sz w:val="24"/>
          <w:szCs w:val="24"/>
        </w:rPr>
      </w:pPr>
    </w:p>
    <w:p w14:paraId="2C655228">
      <w:pPr>
        <w:numPr>
          <w:ilvl w:val="0"/>
          <w:numId w:val="1"/>
        </w:numPr>
        <w:ind w:left="840" w:leftChars="0" w:hanging="42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Enhanced trust when approaching clients, partners, and institutions</w:t>
      </w:r>
    </w:p>
    <w:p w14:paraId="091F8ADF">
      <w:pPr>
        <w:jc w:val="both"/>
        <w:rPr>
          <w:rFonts w:hint="default" w:ascii="Times New Roman Regular" w:hAnsi="Times New Roman Regular" w:cs="Times New Roman Regular"/>
          <w:sz w:val="24"/>
          <w:szCs w:val="24"/>
        </w:rPr>
      </w:pPr>
    </w:p>
    <w:p w14:paraId="78117CC2">
      <w:pPr>
        <w:numPr>
          <w:ilvl w:val="0"/>
          <w:numId w:val="1"/>
        </w:numPr>
        <w:ind w:left="840" w:leftChars="0" w:hanging="42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Alignment with a respected African AI brand</w:t>
      </w:r>
    </w:p>
    <w:p w14:paraId="60A6CFAF">
      <w:pPr>
        <w:jc w:val="both"/>
        <w:rPr>
          <w:rFonts w:hint="default" w:ascii="Times New Roman Regular" w:hAnsi="Times New Roman Regular" w:cs="Times New Roman Regular"/>
          <w:sz w:val="24"/>
          <w:szCs w:val="24"/>
        </w:rPr>
      </w:pPr>
    </w:p>
    <w:p w14:paraId="3A809589">
      <w:pPr>
        <w:jc w:val="both"/>
        <w:rPr>
          <w:rFonts w:hint="default" w:ascii="Times New Roman Bold Italic" w:hAnsi="Times New Roman Bold Italic" w:cs="Times New Roman Bold Italic"/>
          <w:b/>
          <w:bCs/>
          <w:i/>
          <w:iCs/>
          <w:color w:val="2F5597" w:themeColor="accent5" w:themeShade="BF"/>
          <w:sz w:val="24"/>
          <w:szCs w:val="24"/>
        </w:rPr>
      </w:pPr>
      <w:r>
        <w:rPr>
          <w:rFonts w:hint="default" w:ascii="Times New Roman Bold Italic" w:hAnsi="Times New Roman Bold Italic" w:cs="Times New Roman Bold Italic"/>
          <w:b/>
          <w:bCs/>
          <w:i/>
          <w:iCs/>
          <w:color w:val="2F5597" w:themeColor="accent5" w:themeShade="BF"/>
          <w:sz w:val="24"/>
          <w:szCs w:val="24"/>
        </w:rPr>
        <w:t>2. Training and Certification Opportunities</w:t>
      </w:r>
    </w:p>
    <w:p w14:paraId="6E84C33C">
      <w:pPr>
        <w:jc w:val="both"/>
        <w:rPr>
          <w:rFonts w:hint="default" w:ascii="Times New Roman Regular" w:hAnsi="Times New Roman Regular" w:cs="Times New Roman Regular"/>
          <w:sz w:val="24"/>
          <w:szCs w:val="24"/>
        </w:rPr>
      </w:pPr>
    </w:p>
    <w:p w14:paraId="28215CA1">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AIIA offers structured AI learning pathways and practical skills development across multiple programme tracks.</w:t>
      </w:r>
    </w:p>
    <w:p w14:paraId="74C8E098">
      <w:pPr>
        <w:jc w:val="both"/>
        <w:rPr>
          <w:rFonts w:hint="default" w:ascii="Times New Roman Regular" w:hAnsi="Times New Roman Regular" w:cs="Times New Roman Regular"/>
          <w:sz w:val="24"/>
          <w:szCs w:val="24"/>
        </w:rPr>
      </w:pPr>
    </w:p>
    <w:p w14:paraId="5193808B">
      <w:pPr>
        <w:jc w:val="both"/>
        <w:rPr>
          <w:rFonts w:hint="default" w:ascii="Times New Roman Bold Italic" w:hAnsi="Times New Roman Bold Italic" w:cs="Times New Roman Bold Italic"/>
          <w:b/>
          <w:bCs/>
          <w:i/>
          <w:iCs/>
          <w:color w:val="2F5597" w:themeColor="accent5" w:themeShade="BF"/>
          <w:sz w:val="24"/>
          <w:szCs w:val="24"/>
        </w:rPr>
      </w:pPr>
      <w:r>
        <w:rPr>
          <w:rFonts w:hint="default" w:ascii="Times New Roman Bold Italic" w:hAnsi="Times New Roman Bold Italic" w:cs="Times New Roman Bold Italic"/>
          <w:b/>
          <w:bCs/>
          <w:i/>
          <w:iCs/>
          <w:color w:val="2F5597" w:themeColor="accent5" w:themeShade="BF"/>
          <w:sz w:val="24"/>
          <w:szCs w:val="24"/>
        </w:rPr>
        <w:t>Affiliate benefits:</w:t>
      </w:r>
    </w:p>
    <w:p w14:paraId="681CCC70">
      <w:pPr>
        <w:jc w:val="both"/>
        <w:rPr>
          <w:rFonts w:hint="default" w:ascii="Times New Roman Regular" w:hAnsi="Times New Roman Regular" w:cs="Times New Roman Regular"/>
          <w:sz w:val="24"/>
          <w:szCs w:val="24"/>
        </w:rPr>
      </w:pPr>
    </w:p>
    <w:p w14:paraId="30AB5D98">
      <w:pPr>
        <w:numPr>
          <w:ilvl w:val="0"/>
          <w:numId w:val="2"/>
        </w:numPr>
        <w:ind w:left="840" w:leftChars="0" w:hanging="42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Discounted access to AIIA trainings and certification programmes</w:t>
      </w:r>
    </w:p>
    <w:p w14:paraId="579E220E">
      <w:pPr>
        <w:jc w:val="both"/>
        <w:rPr>
          <w:rFonts w:hint="default" w:ascii="Times New Roman Regular" w:hAnsi="Times New Roman Regular" w:cs="Times New Roman Regular"/>
          <w:sz w:val="24"/>
          <w:szCs w:val="24"/>
        </w:rPr>
      </w:pPr>
    </w:p>
    <w:p w14:paraId="60ABDC73">
      <w:pPr>
        <w:numPr>
          <w:ilvl w:val="0"/>
          <w:numId w:val="2"/>
        </w:numPr>
        <w:ind w:left="840" w:leftChars="0" w:hanging="42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Priority access to new training opportunities</w:t>
      </w:r>
    </w:p>
    <w:p w14:paraId="1B0918AA">
      <w:pPr>
        <w:jc w:val="both"/>
        <w:rPr>
          <w:rFonts w:hint="default" w:ascii="Times New Roman Regular" w:hAnsi="Times New Roman Regular" w:cs="Times New Roman Regular"/>
          <w:sz w:val="24"/>
          <w:szCs w:val="24"/>
        </w:rPr>
      </w:pPr>
    </w:p>
    <w:p w14:paraId="7AE51E6A">
      <w:pPr>
        <w:numPr>
          <w:ilvl w:val="0"/>
          <w:numId w:val="2"/>
        </w:numPr>
        <w:ind w:left="840" w:leftChars="0" w:hanging="42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Opportunities to participate in approved training collaborations</w:t>
      </w:r>
    </w:p>
    <w:p w14:paraId="32D130FB">
      <w:pPr>
        <w:jc w:val="both"/>
        <w:rPr>
          <w:rFonts w:hint="default" w:ascii="Times New Roman Regular" w:hAnsi="Times New Roman Regular" w:cs="Times New Roman Regular"/>
          <w:sz w:val="24"/>
          <w:szCs w:val="24"/>
        </w:rPr>
      </w:pPr>
    </w:p>
    <w:p w14:paraId="07243A55">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AIIA will also maintain course quality assurance across its training ecosystem. As an institute accredited by HEXCO, AIIA is positioned to uphold credible academic and professional standards in programme design, delivery, assessment, and certification. This gives affiliates confidence that training offered under the institute’s umbrella meets recognized quality benchmarks.</w:t>
      </w:r>
    </w:p>
    <w:p w14:paraId="2348F7CD">
      <w:pPr>
        <w:jc w:val="both"/>
        <w:rPr>
          <w:rFonts w:hint="default" w:ascii="Times New Roman Regular" w:hAnsi="Times New Roman Regular" w:cs="Times New Roman Regular"/>
          <w:sz w:val="24"/>
          <w:szCs w:val="24"/>
        </w:rPr>
      </w:pPr>
    </w:p>
    <w:p w14:paraId="53A2CBDF">
      <w:pPr>
        <w:jc w:val="both"/>
        <w:rPr>
          <w:rFonts w:hint="default" w:ascii="Times New Roman Bold Italic" w:hAnsi="Times New Roman Bold Italic" w:cs="Times New Roman Bold Italic"/>
          <w:b/>
          <w:bCs/>
          <w:i/>
          <w:iCs/>
          <w:color w:val="2F5597" w:themeColor="accent5" w:themeShade="BF"/>
          <w:sz w:val="24"/>
          <w:szCs w:val="24"/>
        </w:rPr>
      </w:pPr>
      <w:r>
        <w:rPr>
          <w:rFonts w:hint="default" w:ascii="Times New Roman Bold Italic" w:hAnsi="Times New Roman Bold Italic" w:cs="Times New Roman Bold Italic"/>
          <w:b/>
          <w:bCs/>
          <w:i/>
          <w:iCs/>
          <w:color w:val="2F5597" w:themeColor="accent5" w:themeShade="BF"/>
          <w:sz w:val="24"/>
          <w:szCs w:val="24"/>
        </w:rPr>
        <w:t>3. Consultancy and Service Delivery Opportunities</w:t>
      </w:r>
    </w:p>
    <w:p w14:paraId="37DA871A">
      <w:pPr>
        <w:jc w:val="both"/>
        <w:rPr>
          <w:rFonts w:hint="default" w:ascii="Times New Roman Regular" w:hAnsi="Times New Roman Regular" w:cs="Times New Roman Regular"/>
          <w:sz w:val="24"/>
          <w:szCs w:val="24"/>
        </w:rPr>
      </w:pPr>
    </w:p>
    <w:p w14:paraId="50915B62">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AIIA’s service portfolio includes AI policy, strategy and ethics advisory, training, research, consultancy, and AI solutions innovation.</w:t>
      </w:r>
    </w:p>
    <w:p w14:paraId="18F37044">
      <w:pPr>
        <w:jc w:val="both"/>
        <w:rPr>
          <w:rFonts w:hint="default" w:ascii="Times New Roman Regular" w:hAnsi="Times New Roman Regular" w:cs="Times New Roman Regular"/>
          <w:sz w:val="24"/>
          <w:szCs w:val="24"/>
        </w:rPr>
      </w:pPr>
    </w:p>
    <w:p w14:paraId="27AF6CFF">
      <w:pPr>
        <w:jc w:val="both"/>
        <w:rPr>
          <w:rFonts w:hint="default" w:ascii="Times New Roman Bold Italic" w:hAnsi="Times New Roman Bold Italic" w:cs="Times New Roman Bold Italic"/>
          <w:b/>
          <w:bCs/>
          <w:i/>
          <w:iCs/>
          <w:color w:val="2F5597" w:themeColor="accent5" w:themeShade="BF"/>
          <w:sz w:val="24"/>
          <w:szCs w:val="24"/>
        </w:rPr>
      </w:pPr>
      <w:r>
        <w:rPr>
          <w:rFonts w:hint="default" w:ascii="Times New Roman Bold Italic" w:hAnsi="Times New Roman Bold Italic" w:cs="Times New Roman Bold Italic"/>
          <w:b/>
          <w:bCs/>
          <w:i/>
          <w:iCs/>
          <w:color w:val="2F5597" w:themeColor="accent5" w:themeShade="BF"/>
          <w:sz w:val="24"/>
          <w:szCs w:val="24"/>
        </w:rPr>
        <w:t>Affiliate benefits:</w:t>
      </w:r>
    </w:p>
    <w:p w14:paraId="3232A409">
      <w:pPr>
        <w:jc w:val="both"/>
        <w:rPr>
          <w:rFonts w:hint="default" w:ascii="Times New Roman Regular" w:hAnsi="Times New Roman Regular" w:cs="Times New Roman Regular"/>
          <w:sz w:val="24"/>
          <w:szCs w:val="24"/>
        </w:rPr>
      </w:pPr>
    </w:p>
    <w:p w14:paraId="007DD886">
      <w:pPr>
        <w:numPr>
          <w:ilvl w:val="0"/>
          <w:numId w:val="2"/>
        </w:numPr>
        <w:ind w:left="840" w:leftChars="0" w:hanging="42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Referral opportunities for consulting assignments</w:t>
      </w:r>
    </w:p>
    <w:p w14:paraId="1622C3CE">
      <w:pPr>
        <w:jc w:val="both"/>
        <w:rPr>
          <w:rFonts w:hint="default" w:ascii="Times New Roman Regular" w:hAnsi="Times New Roman Regular" w:cs="Times New Roman Regular"/>
          <w:sz w:val="24"/>
          <w:szCs w:val="24"/>
        </w:rPr>
      </w:pPr>
    </w:p>
    <w:p w14:paraId="1349419A">
      <w:pPr>
        <w:numPr>
          <w:ilvl w:val="0"/>
          <w:numId w:val="2"/>
        </w:numPr>
        <w:ind w:left="840" w:leftChars="0" w:hanging="42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Inclusion in a trusted network for project collaboration</w:t>
      </w:r>
    </w:p>
    <w:p w14:paraId="58EAF881">
      <w:pPr>
        <w:jc w:val="both"/>
        <w:rPr>
          <w:rFonts w:hint="default" w:ascii="Times New Roman Regular" w:hAnsi="Times New Roman Regular" w:cs="Times New Roman Regular"/>
          <w:sz w:val="24"/>
          <w:szCs w:val="24"/>
        </w:rPr>
      </w:pPr>
    </w:p>
    <w:p w14:paraId="15D1850F">
      <w:pPr>
        <w:numPr>
          <w:ilvl w:val="0"/>
          <w:numId w:val="2"/>
        </w:numPr>
        <w:ind w:left="840" w:leftChars="0" w:hanging="42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Eligibility to support AIIA projects as an expert, trainer, researcher, or implementation partner</w:t>
      </w:r>
    </w:p>
    <w:p w14:paraId="0C9331C6">
      <w:pPr>
        <w:jc w:val="both"/>
        <w:rPr>
          <w:rFonts w:hint="default" w:ascii="Times New Roman Regular" w:hAnsi="Times New Roman Regular" w:cs="Times New Roman Regular"/>
          <w:sz w:val="24"/>
          <w:szCs w:val="24"/>
        </w:rPr>
      </w:pPr>
    </w:p>
    <w:p w14:paraId="011C2085">
      <w:pPr>
        <w:numPr>
          <w:ilvl w:val="0"/>
          <w:numId w:val="2"/>
        </w:numPr>
        <w:ind w:left="840" w:leftChars="0" w:hanging="42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Access to sector opportunities in government, education, financial services, and enterprise AI</w:t>
      </w:r>
    </w:p>
    <w:p w14:paraId="40EDBD71">
      <w:pPr>
        <w:jc w:val="both"/>
        <w:rPr>
          <w:rFonts w:hint="default" w:ascii="Times New Roman Regular" w:hAnsi="Times New Roman Regular" w:cs="Times New Roman Regular"/>
          <w:sz w:val="24"/>
          <w:szCs w:val="24"/>
        </w:rPr>
      </w:pPr>
    </w:p>
    <w:p w14:paraId="57236A06">
      <w:pPr>
        <w:jc w:val="both"/>
        <w:rPr>
          <w:rFonts w:hint="default" w:ascii="Times New Roman Bold Italic" w:hAnsi="Times New Roman Bold Italic" w:cs="Times New Roman Bold Italic"/>
          <w:b/>
          <w:bCs/>
          <w:i/>
          <w:iCs/>
          <w:color w:val="2F5597" w:themeColor="accent5" w:themeShade="BF"/>
          <w:sz w:val="24"/>
          <w:szCs w:val="24"/>
        </w:rPr>
      </w:pPr>
      <w:r>
        <w:rPr>
          <w:rFonts w:hint="default" w:ascii="Times New Roman Bold Italic" w:hAnsi="Times New Roman Bold Italic" w:cs="Times New Roman Bold Italic"/>
          <w:b/>
          <w:bCs/>
          <w:i/>
          <w:iCs/>
          <w:color w:val="2F5597" w:themeColor="accent5" w:themeShade="BF"/>
          <w:sz w:val="24"/>
          <w:szCs w:val="24"/>
        </w:rPr>
        <w:t>4. Free Access to Cognify for Training Delivery</w:t>
      </w:r>
    </w:p>
    <w:p w14:paraId="3C60120C">
      <w:pPr>
        <w:jc w:val="both"/>
        <w:rPr>
          <w:rFonts w:hint="default" w:ascii="Times New Roman Regular" w:hAnsi="Times New Roman Regular" w:cs="Times New Roman Regular"/>
          <w:sz w:val="24"/>
          <w:szCs w:val="24"/>
        </w:rPr>
      </w:pPr>
    </w:p>
    <w:p w14:paraId="0502EF64">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Affiliates can receive free access to Cognify, AIIA’s AI-powered learning and capacity platform, to support training delivery and learning engagement.</w:t>
      </w:r>
    </w:p>
    <w:p w14:paraId="032E11FB">
      <w:pPr>
        <w:jc w:val="both"/>
        <w:rPr>
          <w:rFonts w:hint="default" w:ascii="Times New Roman Regular" w:hAnsi="Times New Roman Regular" w:cs="Times New Roman Regular"/>
          <w:sz w:val="24"/>
          <w:szCs w:val="24"/>
        </w:rPr>
      </w:pPr>
    </w:p>
    <w:p w14:paraId="75E7184E">
      <w:pPr>
        <w:jc w:val="both"/>
        <w:rPr>
          <w:rFonts w:hint="default" w:ascii="Times New Roman Bold Italic" w:hAnsi="Times New Roman Bold Italic" w:cs="Times New Roman Bold Italic"/>
          <w:b/>
          <w:bCs/>
          <w:i/>
          <w:iCs/>
          <w:color w:val="2F5597" w:themeColor="accent5" w:themeShade="BF"/>
          <w:sz w:val="24"/>
          <w:szCs w:val="24"/>
        </w:rPr>
      </w:pPr>
      <w:r>
        <w:rPr>
          <w:rFonts w:hint="default" w:ascii="Times New Roman Bold Italic" w:hAnsi="Times New Roman Bold Italic" w:cs="Times New Roman Bold Italic"/>
          <w:b/>
          <w:bCs/>
          <w:i/>
          <w:iCs/>
          <w:color w:val="2F5597" w:themeColor="accent5" w:themeShade="BF"/>
          <w:sz w:val="24"/>
          <w:szCs w:val="24"/>
        </w:rPr>
        <w:t>Benefits:</w:t>
      </w:r>
    </w:p>
    <w:p w14:paraId="2D3AAAF8">
      <w:pPr>
        <w:jc w:val="both"/>
        <w:rPr>
          <w:rFonts w:hint="default" w:ascii="Times New Roman Regular" w:hAnsi="Times New Roman Regular" w:cs="Times New Roman Regular"/>
          <w:sz w:val="24"/>
          <w:szCs w:val="24"/>
        </w:rPr>
      </w:pPr>
    </w:p>
    <w:p w14:paraId="716A7CCC">
      <w:pPr>
        <w:numPr>
          <w:ilvl w:val="0"/>
          <w:numId w:val="2"/>
        </w:numPr>
        <w:ind w:left="840" w:leftChars="0" w:hanging="42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Access to a digital training platform that can support structured learning experiences</w:t>
      </w:r>
    </w:p>
    <w:p w14:paraId="4B59087C">
      <w:pPr>
        <w:jc w:val="both"/>
        <w:rPr>
          <w:rFonts w:hint="default" w:ascii="Times New Roman Regular" w:hAnsi="Times New Roman Regular" w:cs="Times New Roman Regular"/>
          <w:sz w:val="24"/>
          <w:szCs w:val="24"/>
        </w:rPr>
      </w:pPr>
    </w:p>
    <w:p w14:paraId="6ECDBFDF">
      <w:pPr>
        <w:numPr>
          <w:ilvl w:val="0"/>
          <w:numId w:val="2"/>
        </w:numPr>
        <w:ind w:left="840" w:leftChars="0" w:hanging="42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 scalable way to support learners through AI-enabled educational delivery</w:t>
      </w:r>
    </w:p>
    <w:p w14:paraId="208E9C2D">
      <w:pPr>
        <w:jc w:val="both"/>
        <w:rPr>
          <w:rFonts w:hint="default" w:ascii="Times New Roman Regular" w:hAnsi="Times New Roman Regular" w:cs="Times New Roman Regular"/>
          <w:sz w:val="24"/>
          <w:szCs w:val="24"/>
        </w:rPr>
      </w:pPr>
    </w:p>
    <w:p w14:paraId="1092CFC4">
      <w:pPr>
        <w:numPr>
          <w:ilvl w:val="0"/>
          <w:numId w:val="2"/>
        </w:numPr>
        <w:ind w:left="840" w:leftChars="0" w:hanging="42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 stronger institutional training experience under the AIIA ecosystem</w:t>
      </w:r>
    </w:p>
    <w:p w14:paraId="362C8097">
      <w:pPr>
        <w:jc w:val="both"/>
        <w:rPr>
          <w:rFonts w:hint="default" w:ascii="Times New Roman Regular" w:hAnsi="Times New Roman Regular" w:cs="Times New Roman Regular"/>
          <w:sz w:val="24"/>
          <w:szCs w:val="24"/>
        </w:rPr>
      </w:pPr>
    </w:p>
    <w:p w14:paraId="694333D6">
      <w:pPr>
        <w:numPr>
          <w:ilvl w:val="0"/>
          <w:numId w:val="2"/>
        </w:numPr>
        <w:ind w:left="840" w:leftChars="0" w:hanging="42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Cognify serves as AIIA’s learning infrastructure and can help ensure that affiliate training is supported by a consistent, modern, and scalable platform.</w:t>
      </w:r>
    </w:p>
    <w:p w14:paraId="55979A17">
      <w:pPr>
        <w:jc w:val="both"/>
        <w:rPr>
          <w:rFonts w:hint="default" w:ascii="Times New Roman Regular" w:hAnsi="Times New Roman Regular" w:cs="Times New Roman Regular"/>
          <w:sz w:val="24"/>
          <w:szCs w:val="24"/>
        </w:rPr>
      </w:pPr>
    </w:p>
    <w:p w14:paraId="1EEB871E">
      <w:pPr>
        <w:jc w:val="both"/>
        <w:rPr>
          <w:rFonts w:hint="default" w:ascii="Times New Roman Bold Italic" w:hAnsi="Times New Roman Bold Italic" w:cs="Times New Roman Bold Italic"/>
          <w:b/>
          <w:bCs/>
          <w:i/>
          <w:iCs/>
          <w:color w:val="2F5597" w:themeColor="accent5" w:themeShade="BF"/>
          <w:sz w:val="24"/>
          <w:szCs w:val="24"/>
        </w:rPr>
      </w:pPr>
      <w:r>
        <w:rPr>
          <w:rFonts w:hint="default" w:ascii="Times New Roman Bold Italic" w:hAnsi="Times New Roman Bold Italic" w:cs="Times New Roman Bold Italic"/>
          <w:b/>
          <w:bCs/>
          <w:i/>
          <w:iCs/>
          <w:color w:val="2F5597" w:themeColor="accent5" w:themeShade="BF"/>
          <w:sz w:val="24"/>
          <w:szCs w:val="24"/>
        </w:rPr>
        <w:t>5. Speaking, Events, and Visibility Opportunities</w:t>
      </w:r>
    </w:p>
    <w:p w14:paraId="16833C41">
      <w:pPr>
        <w:jc w:val="both"/>
        <w:rPr>
          <w:rFonts w:hint="default" w:ascii="Times New Roman Regular" w:hAnsi="Times New Roman Regular" w:cs="Times New Roman Regular"/>
          <w:sz w:val="24"/>
          <w:szCs w:val="24"/>
        </w:rPr>
      </w:pPr>
    </w:p>
    <w:p w14:paraId="79A3FAD7">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AIIA’s ecosystem includes summits, forums, and training programmes, including national and sector-focused AI events.</w:t>
      </w:r>
    </w:p>
    <w:p w14:paraId="309366BF">
      <w:pPr>
        <w:jc w:val="both"/>
        <w:rPr>
          <w:rFonts w:hint="default" w:ascii="Times New Roman Regular" w:hAnsi="Times New Roman Regular" w:cs="Times New Roman Regular"/>
          <w:sz w:val="24"/>
          <w:szCs w:val="24"/>
        </w:rPr>
      </w:pPr>
    </w:p>
    <w:p w14:paraId="56A0ECF8">
      <w:pPr>
        <w:jc w:val="both"/>
        <w:rPr>
          <w:rFonts w:hint="default" w:ascii="Times New Roman Bold Italic" w:hAnsi="Times New Roman Bold Italic" w:cs="Times New Roman Bold Italic"/>
          <w:b/>
          <w:bCs/>
          <w:i/>
          <w:iCs/>
          <w:color w:val="2F5597" w:themeColor="accent5" w:themeShade="BF"/>
          <w:sz w:val="24"/>
          <w:szCs w:val="24"/>
        </w:rPr>
      </w:pPr>
      <w:r>
        <w:rPr>
          <w:rFonts w:hint="default" w:ascii="Times New Roman Bold Italic" w:hAnsi="Times New Roman Bold Italic" w:cs="Times New Roman Bold Italic"/>
          <w:b/>
          <w:bCs/>
          <w:i/>
          <w:iCs/>
          <w:color w:val="2F5597" w:themeColor="accent5" w:themeShade="BF"/>
          <w:sz w:val="24"/>
          <w:szCs w:val="24"/>
        </w:rPr>
        <w:t>Affiliate benefits:</w:t>
      </w:r>
    </w:p>
    <w:p w14:paraId="0CD2B1CB">
      <w:pPr>
        <w:jc w:val="both"/>
        <w:rPr>
          <w:rFonts w:hint="default" w:ascii="Times New Roman Regular" w:hAnsi="Times New Roman Regular" w:cs="Times New Roman Regular"/>
          <w:sz w:val="24"/>
          <w:szCs w:val="24"/>
        </w:rPr>
      </w:pPr>
    </w:p>
    <w:p w14:paraId="0AE4DF4D">
      <w:pPr>
        <w:numPr>
          <w:ilvl w:val="0"/>
          <w:numId w:val="2"/>
        </w:numPr>
        <w:ind w:left="840" w:leftChars="0" w:hanging="42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Opportunities to speak at conferences, webinars, and events</w:t>
      </w:r>
    </w:p>
    <w:p w14:paraId="29F28AC7">
      <w:pPr>
        <w:jc w:val="both"/>
        <w:rPr>
          <w:rFonts w:hint="default" w:ascii="Times New Roman Regular" w:hAnsi="Times New Roman Regular" w:cs="Times New Roman Regular"/>
          <w:sz w:val="24"/>
          <w:szCs w:val="24"/>
        </w:rPr>
      </w:pPr>
    </w:p>
    <w:p w14:paraId="53D981C5">
      <w:pPr>
        <w:numPr>
          <w:ilvl w:val="0"/>
          <w:numId w:val="2"/>
        </w:numPr>
        <w:ind w:left="840" w:leftChars="0" w:hanging="42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Chances to moderate panels or contribute to thought leadership platforms</w:t>
      </w:r>
    </w:p>
    <w:p w14:paraId="4AFB136C">
      <w:pPr>
        <w:jc w:val="both"/>
        <w:rPr>
          <w:rFonts w:hint="default" w:ascii="Times New Roman Regular" w:hAnsi="Times New Roman Regular" w:cs="Times New Roman Regular"/>
          <w:sz w:val="24"/>
          <w:szCs w:val="24"/>
        </w:rPr>
      </w:pPr>
    </w:p>
    <w:p w14:paraId="6BFBDF10">
      <w:pPr>
        <w:numPr>
          <w:ilvl w:val="0"/>
          <w:numId w:val="2"/>
        </w:numPr>
        <w:ind w:left="840" w:leftChars="0" w:hanging="42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Visibility through AIIA channels and affiliate showcases</w:t>
      </w:r>
    </w:p>
    <w:p w14:paraId="00C325DC">
      <w:pPr>
        <w:jc w:val="both"/>
        <w:rPr>
          <w:rFonts w:hint="default" w:ascii="Times New Roman Regular" w:hAnsi="Times New Roman Regular" w:cs="Times New Roman Regular"/>
          <w:sz w:val="24"/>
          <w:szCs w:val="24"/>
        </w:rPr>
      </w:pPr>
    </w:p>
    <w:p w14:paraId="47F9753A">
      <w:pPr>
        <w:numPr>
          <w:ilvl w:val="0"/>
          <w:numId w:val="2"/>
        </w:numPr>
        <w:ind w:left="840" w:leftChars="0" w:hanging="42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Participation in stakeholder engagements and ecosystem dialogues</w:t>
      </w:r>
    </w:p>
    <w:p w14:paraId="22098FBE">
      <w:pPr>
        <w:jc w:val="both"/>
        <w:rPr>
          <w:rFonts w:hint="default" w:ascii="Times New Roman Regular" w:hAnsi="Times New Roman Regular" w:cs="Times New Roman Regular"/>
          <w:sz w:val="24"/>
          <w:szCs w:val="24"/>
        </w:rPr>
      </w:pPr>
    </w:p>
    <w:p w14:paraId="31A7422A">
      <w:pPr>
        <w:jc w:val="both"/>
        <w:rPr>
          <w:rFonts w:hint="default" w:ascii="Times New Roman Bold Italic" w:hAnsi="Times New Roman Bold Italic" w:cs="Times New Roman Bold Italic"/>
          <w:b/>
          <w:bCs/>
          <w:i/>
          <w:iCs/>
          <w:color w:val="2F5597" w:themeColor="accent5" w:themeShade="BF"/>
          <w:sz w:val="24"/>
          <w:szCs w:val="24"/>
        </w:rPr>
      </w:pPr>
      <w:r>
        <w:rPr>
          <w:rFonts w:hint="default" w:ascii="Times New Roman Bold Italic" w:hAnsi="Times New Roman Bold Italic" w:cs="Times New Roman Bold Italic"/>
          <w:b/>
          <w:bCs/>
          <w:i/>
          <w:iCs/>
          <w:color w:val="2F5597" w:themeColor="accent5" w:themeShade="BF"/>
          <w:sz w:val="24"/>
          <w:szCs w:val="24"/>
        </w:rPr>
        <w:t>6. Networking and Strategic Partnerships</w:t>
      </w:r>
    </w:p>
    <w:p w14:paraId="77C56949">
      <w:pPr>
        <w:jc w:val="both"/>
        <w:rPr>
          <w:rFonts w:hint="default" w:ascii="Times New Roman Regular" w:hAnsi="Times New Roman Regular" w:cs="Times New Roman Regular"/>
          <w:sz w:val="24"/>
          <w:szCs w:val="24"/>
        </w:rPr>
      </w:pPr>
    </w:p>
    <w:p w14:paraId="10EED85B">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AIIA emphasizes collaboration across Africa and highlights broad regional reach and partnerships.</w:t>
      </w:r>
    </w:p>
    <w:p w14:paraId="4F5001D3">
      <w:pPr>
        <w:jc w:val="both"/>
        <w:rPr>
          <w:rFonts w:hint="default" w:ascii="Times New Roman Regular" w:hAnsi="Times New Roman Regular" w:cs="Times New Roman Regular"/>
          <w:sz w:val="24"/>
          <w:szCs w:val="24"/>
        </w:rPr>
      </w:pPr>
    </w:p>
    <w:p w14:paraId="52A955A0">
      <w:pPr>
        <w:jc w:val="both"/>
        <w:rPr>
          <w:rFonts w:hint="default" w:ascii="Times New Roman Bold Italic" w:hAnsi="Times New Roman Bold Italic" w:cs="Times New Roman Bold Italic"/>
          <w:b/>
          <w:bCs/>
          <w:i/>
          <w:iCs/>
          <w:color w:val="2F5597" w:themeColor="accent5" w:themeShade="BF"/>
          <w:sz w:val="24"/>
          <w:szCs w:val="24"/>
        </w:rPr>
      </w:pPr>
      <w:r>
        <w:rPr>
          <w:rFonts w:hint="default" w:ascii="Times New Roman Bold Italic" w:hAnsi="Times New Roman Bold Italic" w:cs="Times New Roman Bold Italic"/>
          <w:b/>
          <w:bCs/>
          <w:i/>
          <w:iCs/>
          <w:color w:val="2F5597" w:themeColor="accent5" w:themeShade="BF"/>
          <w:sz w:val="24"/>
          <w:szCs w:val="24"/>
        </w:rPr>
        <w:t>Affiliate benefits:</w:t>
      </w:r>
    </w:p>
    <w:p w14:paraId="433B24F7">
      <w:pPr>
        <w:jc w:val="both"/>
        <w:rPr>
          <w:rFonts w:hint="default" w:ascii="Times New Roman Regular" w:hAnsi="Times New Roman Regular" w:cs="Times New Roman Regular"/>
          <w:sz w:val="24"/>
          <w:szCs w:val="24"/>
        </w:rPr>
      </w:pPr>
    </w:p>
    <w:p w14:paraId="0C119FA1">
      <w:pPr>
        <w:numPr>
          <w:ilvl w:val="0"/>
          <w:numId w:val="2"/>
        </w:numPr>
        <w:ind w:left="840" w:leftChars="0" w:hanging="42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Access to a growing network of AI professionals, executives, institutions, and innovators</w:t>
      </w:r>
    </w:p>
    <w:p w14:paraId="1926C4B8">
      <w:pPr>
        <w:jc w:val="both"/>
        <w:rPr>
          <w:rFonts w:hint="default" w:ascii="Times New Roman Regular" w:hAnsi="Times New Roman Regular" w:cs="Times New Roman Regular"/>
          <w:sz w:val="24"/>
          <w:szCs w:val="24"/>
        </w:rPr>
      </w:pPr>
    </w:p>
    <w:p w14:paraId="06158864">
      <w:pPr>
        <w:numPr>
          <w:ilvl w:val="0"/>
          <w:numId w:val="2"/>
        </w:numPr>
        <w:ind w:left="840" w:leftChars="0" w:hanging="42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Introductions to potential collaborators and clients</w:t>
      </w:r>
    </w:p>
    <w:p w14:paraId="3286BE7C">
      <w:pPr>
        <w:jc w:val="both"/>
        <w:rPr>
          <w:rFonts w:hint="default" w:ascii="Times New Roman Regular" w:hAnsi="Times New Roman Regular" w:cs="Times New Roman Regular"/>
          <w:sz w:val="24"/>
          <w:szCs w:val="24"/>
        </w:rPr>
      </w:pPr>
    </w:p>
    <w:p w14:paraId="7FCF19D2">
      <w:pPr>
        <w:numPr>
          <w:ilvl w:val="0"/>
          <w:numId w:val="2"/>
        </w:numPr>
        <w:ind w:left="840" w:leftChars="0" w:hanging="42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Partnership opportunities across countries and sectors</w:t>
      </w:r>
    </w:p>
    <w:p w14:paraId="0B6BF3A5">
      <w:pPr>
        <w:jc w:val="both"/>
        <w:rPr>
          <w:rFonts w:hint="default" w:ascii="Times New Roman Regular" w:hAnsi="Times New Roman Regular" w:cs="Times New Roman Regular"/>
          <w:sz w:val="24"/>
          <w:szCs w:val="24"/>
        </w:rPr>
      </w:pPr>
    </w:p>
    <w:p w14:paraId="4A0CD120">
      <w:pPr>
        <w:numPr>
          <w:ilvl w:val="0"/>
          <w:numId w:val="2"/>
        </w:numPr>
        <w:ind w:left="840" w:leftChars="0" w:hanging="42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Participation in AIIA-led communities of practice and knowledge-sharing platforms</w:t>
      </w:r>
    </w:p>
    <w:p w14:paraId="1BD31C3B">
      <w:pPr>
        <w:jc w:val="both"/>
        <w:rPr>
          <w:rFonts w:hint="default" w:ascii="Times New Roman Regular" w:hAnsi="Times New Roman Regular" w:cs="Times New Roman Regular"/>
          <w:sz w:val="24"/>
          <w:szCs w:val="24"/>
        </w:rPr>
      </w:pPr>
    </w:p>
    <w:p w14:paraId="2AA133B9">
      <w:pPr>
        <w:jc w:val="both"/>
        <w:rPr>
          <w:rFonts w:hint="default" w:ascii="Times New Roman Bold Italic" w:hAnsi="Times New Roman Bold Italic" w:cs="Times New Roman Bold Italic"/>
          <w:b/>
          <w:bCs/>
          <w:i/>
          <w:iCs/>
          <w:color w:val="2F5597" w:themeColor="accent5" w:themeShade="BF"/>
          <w:sz w:val="28"/>
          <w:szCs w:val="28"/>
        </w:rPr>
      </w:pPr>
      <w:r>
        <w:rPr>
          <w:rFonts w:hint="default" w:ascii="Times New Roman Bold Italic" w:hAnsi="Times New Roman Bold Italic" w:cs="Times New Roman Bold Italic"/>
          <w:b/>
          <w:bCs/>
          <w:i/>
          <w:iCs/>
          <w:color w:val="2F5597" w:themeColor="accent5" w:themeShade="BF"/>
          <w:sz w:val="28"/>
          <w:szCs w:val="28"/>
        </w:rPr>
        <w:t>Suggested Affiliate Categories</w:t>
      </w:r>
    </w:p>
    <w:p w14:paraId="4909949E">
      <w:pPr>
        <w:jc w:val="both"/>
        <w:rPr>
          <w:rFonts w:hint="default" w:ascii="Times New Roman Regular" w:hAnsi="Times New Roman Regular" w:cs="Times New Roman Regular"/>
          <w:sz w:val="24"/>
          <w:szCs w:val="24"/>
        </w:rPr>
      </w:pPr>
    </w:p>
    <w:p w14:paraId="66341687">
      <w:pPr>
        <w:jc w:val="both"/>
        <w:rPr>
          <w:rFonts w:hint="default" w:ascii="Times New Roman Bold Italic" w:hAnsi="Times New Roman Bold Italic" w:cs="Times New Roman Bold Italic"/>
          <w:b/>
          <w:bCs/>
          <w:i/>
          <w:iCs/>
          <w:color w:val="2F5597" w:themeColor="accent5" w:themeShade="BF"/>
          <w:sz w:val="24"/>
          <w:szCs w:val="24"/>
        </w:rPr>
      </w:pPr>
      <w:r>
        <w:rPr>
          <w:rFonts w:hint="default" w:ascii="Times New Roman Bold Italic" w:hAnsi="Times New Roman Bold Italic" w:cs="Times New Roman Bold Italic"/>
          <w:b/>
          <w:bCs/>
          <w:i/>
          <w:iCs/>
          <w:color w:val="2F5597" w:themeColor="accent5" w:themeShade="BF"/>
          <w:sz w:val="24"/>
          <w:szCs w:val="24"/>
        </w:rPr>
        <w:t>Individual Affiliate</w:t>
      </w:r>
    </w:p>
    <w:p w14:paraId="5CABDA47">
      <w:pPr>
        <w:jc w:val="both"/>
        <w:rPr>
          <w:rFonts w:hint="default" w:ascii="Times New Roman Regular" w:hAnsi="Times New Roman Regular" w:cs="Times New Roman Regular"/>
          <w:sz w:val="24"/>
          <w:szCs w:val="24"/>
        </w:rPr>
      </w:pPr>
    </w:p>
    <w:p w14:paraId="262E963E">
      <w:pPr>
        <w:numPr>
          <w:ilvl w:val="0"/>
          <w:numId w:val="2"/>
        </w:numPr>
        <w:ind w:left="840" w:leftChars="0" w:hanging="42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For professionals, consultants, trainers, researchers, and specialists.</w:t>
      </w:r>
    </w:p>
    <w:p w14:paraId="34D24AF9">
      <w:pPr>
        <w:jc w:val="both"/>
        <w:rPr>
          <w:rFonts w:hint="default" w:ascii="Times New Roman Regular" w:hAnsi="Times New Roman Regular" w:cs="Times New Roman Regular"/>
          <w:sz w:val="24"/>
          <w:szCs w:val="24"/>
        </w:rPr>
      </w:pPr>
    </w:p>
    <w:p w14:paraId="07E76CB9">
      <w:pPr>
        <w:jc w:val="both"/>
        <w:rPr>
          <w:rFonts w:hint="default" w:ascii="Times New Roman Bold Italic" w:hAnsi="Times New Roman Bold Italic" w:cs="Times New Roman Bold Italic"/>
          <w:b/>
          <w:bCs/>
          <w:i/>
          <w:iCs/>
          <w:color w:val="2F5597" w:themeColor="accent5" w:themeShade="BF"/>
          <w:sz w:val="24"/>
          <w:szCs w:val="24"/>
        </w:rPr>
      </w:pPr>
      <w:r>
        <w:rPr>
          <w:rFonts w:hint="default" w:ascii="Times New Roman Bold Italic" w:hAnsi="Times New Roman Bold Italic" w:cs="Times New Roman Bold Italic"/>
          <w:b/>
          <w:bCs/>
          <w:i/>
          <w:iCs/>
          <w:color w:val="2F5597" w:themeColor="accent5" w:themeShade="BF"/>
          <w:sz w:val="24"/>
          <w:szCs w:val="24"/>
        </w:rPr>
        <w:t>Institutional Affiliate</w:t>
      </w:r>
    </w:p>
    <w:p w14:paraId="1D876243">
      <w:pPr>
        <w:jc w:val="both"/>
        <w:rPr>
          <w:rFonts w:hint="default" w:ascii="Times New Roman Regular" w:hAnsi="Times New Roman Regular" w:cs="Times New Roman Regular"/>
          <w:sz w:val="24"/>
          <w:szCs w:val="24"/>
        </w:rPr>
      </w:pPr>
    </w:p>
    <w:p w14:paraId="71255FF2">
      <w:pPr>
        <w:numPr>
          <w:ilvl w:val="0"/>
          <w:numId w:val="2"/>
        </w:numPr>
        <w:ind w:left="840" w:leftChars="0" w:hanging="42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For universities, colleges, training centers, associations, NGOs, and professional bodies.</w:t>
      </w:r>
    </w:p>
    <w:p w14:paraId="0099861A">
      <w:pPr>
        <w:jc w:val="both"/>
        <w:rPr>
          <w:rFonts w:hint="default" w:ascii="Times New Roman Regular" w:hAnsi="Times New Roman Regular" w:cs="Times New Roman Regular"/>
          <w:sz w:val="24"/>
          <w:szCs w:val="24"/>
        </w:rPr>
      </w:pPr>
    </w:p>
    <w:p w14:paraId="25B3A963">
      <w:pPr>
        <w:jc w:val="both"/>
        <w:rPr>
          <w:rFonts w:hint="default" w:ascii="Times New Roman Bold Italic" w:hAnsi="Times New Roman Bold Italic" w:cs="Times New Roman Bold Italic"/>
          <w:b/>
          <w:bCs/>
          <w:i/>
          <w:iCs/>
          <w:color w:val="2F5597" w:themeColor="accent5" w:themeShade="BF"/>
          <w:sz w:val="24"/>
          <w:szCs w:val="24"/>
        </w:rPr>
      </w:pPr>
      <w:r>
        <w:rPr>
          <w:rFonts w:hint="default" w:ascii="Times New Roman Bold Italic" w:hAnsi="Times New Roman Bold Italic" w:cs="Times New Roman Bold Italic"/>
          <w:b/>
          <w:bCs/>
          <w:i/>
          <w:iCs/>
          <w:color w:val="2F5597" w:themeColor="accent5" w:themeShade="BF"/>
          <w:sz w:val="24"/>
          <w:szCs w:val="24"/>
        </w:rPr>
        <w:t>Corporate Affiliate</w:t>
      </w:r>
    </w:p>
    <w:p w14:paraId="7894DF94">
      <w:pPr>
        <w:jc w:val="both"/>
        <w:rPr>
          <w:rFonts w:hint="default" w:ascii="Times New Roman Regular" w:hAnsi="Times New Roman Regular" w:cs="Times New Roman Regular"/>
          <w:sz w:val="24"/>
          <w:szCs w:val="24"/>
        </w:rPr>
      </w:pPr>
    </w:p>
    <w:p w14:paraId="667E9EE8">
      <w:pPr>
        <w:numPr>
          <w:ilvl w:val="0"/>
          <w:numId w:val="2"/>
        </w:numPr>
        <w:ind w:left="840" w:leftChars="0" w:hanging="42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For companies seeking AI advisory, training, innovation partnerships, or ecosystem visibility.</w:t>
      </w:r>
    </w:p>
    <w:p w14:paraId="5988BCA7">
      <w:pPr>
        <w:jc w:val="both"/>
        <w:rPr>
          <w:rFonts w:hint="default" w:ascii="Times New Roman Regular" w:hAnsi="Times New Roman Regular" w:cs="Times New Roman Regular"/>
          <w:sz w:val="24"/>
          <w:szCs w:val="24"/>
        </w:rPr>
      </w:pPr>
    </w:p>
    <w:p w14:paraId="7C0F8418">
      <w:pPr>
        <w:jc w:val="both"/>
        <w:rPr>
          <w:rFonts w:hint="default" w:ascii="Times New Roman Bold Italic" w:hAnsi="Times New Roman Bold Italic" w:cs="Times New Roman Bold Italic"/>
          <w:b/>
          <w:bCs/>
          <w:i/>
          <w:iCs/>
          <w:color w:val="2F5597" w:themeColor="accent5" w:themeShade="BF"/>
          <w:sz w:val="24"/>
          <w:szCs w:val="24"/>
        </w:rPr>
      </w:pPr>
      <w:r>
        <w:rPr>
          <w:rFonts w:hint="default" w:ascii="Times New Roman Bold Italic" w:hAnsi="Times New Roman Bold Italic" w:cs="Times New Roman Bold Italic"/>
          <w:b/>
          <w:bCs/>
          <w:i/>
          <w:iCs/>
          <w:color w:val="2F5597" w:themeColor="accent5" w:themeShade="BF"/>
          <w:sz w:val="24"/>
          <w:szCs w:val="24"/>
        </w:rPr>
        <w:t>Strategic Partner Affiliate</w:t>
      </w:r>
    </w:p>
    <w:p w14:paraId="45005C54">
      <w:pPr>
        <w:jc w:val="both"/>
        <w:rPr>
          <w:rFonts w:hint="default" w:ascii="Times New Roman Regular" w:hAnsi="Times New Roman Regular" w:cs="Times New Roman Regular"/>
          <w:sz w:val="24"/>
          <w:szCs w:val="24"/>
        </w:rPr>
      </w:pPr>
    </w:p>
    <w:p w14:paraId="3F7CB396">
      <w:pPr>
        <w:numPr>
          <w:ilvl w:val="0"/>
          <w:numId w:val="2"/>
        </w:numPr>
        <w:ind w:left="840" w:leftChars="0" w:hanging="42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For organizations that want deeper collaboration in delivery, sponsorship, policy, research, or implementation.</w:t>
      </w:r>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 w:name="Times New Roman Regular">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 w:name="Times New Roman Bold Italic">
    <w:panose1 w:val="02020603050405020304"/>
    <w:charset w:val="00"/>
    <w:family w:val="auto"/>
    <w:pitch w:val="default"/>
    <w:sig w:usb0="E0002AEF" w:usb1="C0007841"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0609F">
    <w:pPr>
      <w:pStyle w:val="4"/>
      <w:jc w:val="center"/>
      <w:rPr>
        <w:rFonts w:hint="default"/>
        <w:color w:val="2F5597" w:themeColor="accent5" w:themeShade="BF"/>
        <w:sz w:val="16"/>
        <w:szCs w:val="16"/>
      </w:rPr>
    </w:pPr>
    <w:r>
      <w:rPr>
        <w:rFonts w:hint="default"/>
        <w:color w:val="2F5597" w:themeColor="accent5" w:themeShade="BF"/>
        <w:sz w:val="16"/>
        <w:szCs w:val="16"/>
      </w:rPr>
      <w:t>phone | +263717770666       email | admin@aiinstituteafrica.com        website | www.aiinstituteafrica.com</w:t>
    </w:r>
  </w:p>
  <w:p w14:paraId="62372048">
    <w:pPr>
      <w:pStyle w:val="4"/>
      <w:jc w:val="center"/>
      <w:rPr>
        <w:color w:val="2F5597" w:themeColor="accent5" w:themeShade="BF"/>
        <w:sz w:val="16"/>
        <w:szCs w:val="16"/>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6FDEE1"/>
    <w:multiLevelType w:val="singleLevel"/>
    <w:tmpl w:val="BF6FDEE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E5FAE122"/>
    <w:multiLevelType w:val="multilevel"/>
    <w:tmpl w:val="E5FAE122"/>
    <w:lvl w:ilvl="0" w:tentative="0">
      <w:start w:val="1"/>
      <w:numFmt w:val="bullet"/>
      <w:lvlText w:val=""/>
      <w:lvlJc w:val="left"/>
      <w:pPr>
        <w:tabs>
          <w:tab w:val="left" w:pos="840"/>
        </w:tabs>
        <w:ind w:left="840" w:leftChars="0" w:hanging="420" w:firstLineChars="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1FBC1EE"/>
    <w:rsid w:val="F1FBC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9</TotalTime>
  <ScaleCrop>false</ScaleCrop>
  <LinksUpToDate>false</LinksUpToDate>
  <CharactersWithSpaces>0</CharactersWithSpaces>
  <Application>WPS Office_12.1.23153.23153_F1E327BC-269C-435d-A152-05C5408002CA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2026-04-02T14:50:00Z</dcterms:created>
  <dc:creator>patiencemupikeni</dc:creator>
  <cp:lastModifiedBy>patiencemupikeni</cp:lastModifiedBy>
  <dcterms:modified xsi:type="dcterms:W3CDTF">2026-04-02T15:01:29Z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1033-12.1.23153.23153</vt:lpwstr>
  </property>
  <property fmtid="{D5CDD505-2E9C-101B-9397-08002B2CF9AE}" pid="3" name="ICV">
    <vt:lpwstr>77DFB627A61143082666CE69FB82138C_41</vt:lpwstr>
  </property>
</Properties>
</file>