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8"/>
          <w:szCs w:val="48"/>
        </w:rPr>
        <w:t xml:space="preserve">Aiia</w:t>
      </w:r>
    </w:p>
    <w:p>
      <w:pPr>
        <w:spacing w:after="200"/>
        <w:jc w:val="center"/>
      </w:pPr>
      <w:r>
        <w:rPr>
          <w:i/>
          <w:iCs/>
          <w:color w:val="C9930B"/>
          <w:sz w:val="20"/>
          <w:szCs w:val="20"/>
        </w:rPr>
        <w:t xml:space="preserve">Artificial Intelligence Institute Africa</w:t>
      </w:r>
    </w:p>
    <w:p>
      <w:pPr>
        <w:spacing w:after="100"/>
        <w:jc w:val="center"/>
      </w:pPr>
      <w:r>
        <w:rPr>
          <w:b/>
          <w:bCs/>
          <w:color w:val="1F3864"/>
          <w:sz w:val="36"/>
          <w:szCs w:val="36"/>
        </w:rPr>
        <w:t xml:space="preserve">PERFORMANCE TARGETS &amp; BONUS POLICY</w:t>
      </w:r>
    </w:p>
    <w:p>
      <w:pPr>
        <w:spacing w:after="300"/>
        <w:jc w:val="center"/>
      </w:pPr>
      <w:r>
        <w:rPr>
          <w:i/>
          <w:iCs/>
          <w:sz w:val="20"/>
          <w:szCs w:val="20"/>
        </w:rPr>
        <w:t xml:space="preserve">A Supplementary Policy to the Aiia Company Policy Framework &amp; Staff Operational Manual</w:t>
      </w:r>
    </w:p>
    <w:p>
      <w:pPr>
        <w:pBdr>
          <w:bottom w:val="single" w:color="1F3864" w:sz="6" w:space="1"/>
        </w:pBdr>
        <w:spacing w:after="2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Document Title</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Performance Targets &amp; Bonus Policy</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Applies To</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All Aiia employees, consultants, and department heads</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Effective Date</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____________________________</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Approved By</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Chairman (Dr Magaya) and Chief Executive Officer (Arthur)</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Review Cycle</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Annually, or as required by organizational growth</w:t>
            </w:r>
          </w:p>
        </w:tc>
      </w:tr>
    </w:tbl>
    <w:p>
      <w:pPr>
        <w:pStyle w:val="Heading1"/>
      </w:pPr>
      <w:r>
        <w:t xml:space="preserve">1. Purpose</w:t>
      </w:r>
    </w:p>
    <w:p>
      <w:pPr>
        <w:spacing w:after="160"/>
      </w:pPr>
      <w:r>
        <w:t xml:space="preserve">This policy establishes how performance targets are set, tracked, and rewarded at Aiia, and how salary bonuses and deductions are linked to target achievement. It supplements Section 10 (Employee Performance, Incentives, and Bonus Policy) and Section 26 (Daily Target Posting Policy) of the Aiia Company Policy Document, and operates within the chain-of-command principles set out in Section 6.</w:t>
      </w:r>
    </w:p>
    <w:p>
      <w:pPr>
        <w:pStyle w:val="Heading1"/>
      </w:pPr>
      <w:r>
        <w:t xml:space="preserve">2. Guiding Principle</w:t>
      </w:r>
    </w:p>
    <w:p>
      <w:pPr>
        <w:spacing w:after="160"/>
      </w:pPr>
      <w:r>
        <w:t xml:space="preserve">Salary bonuses at Aiia are directly linked to performance and target achievement. Employees who meet or exceed assigned targets are financially rewarded; employees who fail to meet assigned targets, where this is due to performance shortfalls within their control, may be subject to deductions. This system is designed to drive accountability, reward excellence, and align individual effort with Aiia's growth objectives.</w:t>
      </w:r>
    </w:p>
    <w:p>
      <w:pPr>
        <w:pStyle w:val="Heading1"/>
      </w:pPr>
      <w:r>
        <w:t xml:space="preserve">3. Setting Targets</w:t>
      </w:r>
    </w:p>
    <w:p>
      <w:pPr>
        <w:pStyle w:val="ListParagraph"/>
        <w:numPr>
          <w:ilvl w:val="0"/>
          <w:numId w:val="2"/>
        </w:numPr>
        <w:spacing w:after="80"/>
      </w:pPr>
      <w:r>
        <w:rPr>
          <w:b w:val="false"/>
          <w:bCs w:val="false"/>
        </w:rPr>
        <w:t xml:space="preserve">Performance targets are set at the beginning of each month for every employee, aligned to their department's responsibilities (Technical Operations, Development Standards, Innovation Planning, HR &amp; Finance, Business Operations, or Business Development).</w:t>
      </w:r>
    </w:p>
    <w:p>
      <w:pPr>
        <w:pStyle w:val="ListParagraph"/>
        <w:numPr>
          <w:ilvl w:val="0"/>
          <w:numId w:val="2"/>
        </w:numPr>
        <w:spacing w:after="80"/>
      </w:pPr>
      <w:r>
        <w:rPr>
          <w:b w:val="false"/>
          <w:bCs w:val="false"/>
        </w:rPr>
        <w:t xml:space="preserve">Targets must be specific, measurable, and clearly communicated to the employee in writing before the month begins.</w:t>
      </w:r>
    </w:p>
    <w:p>
      <w:pPr>
        <w:pStyle w:val="ListParagraph"/>
        <w:numPr>
          <w:ilvl w:val="0"/>
          <w:numId w:val="2"/>
        </w:numPr>
        <w:spacing w:after="80"/>
      </w:pPr>
      <w:r>
        <w:rPr>
          <w:b w:val="false"/>
          <w:bCs w:val="false"/>
        </w:rPr>
        <w:t xml:space="preserve">Each target must be classified by severity level — Low, Mid, or High — based on its complexity, business impact, and urgency.</w:t>
      </w:r>
    </w:p>
    <w:p>
      <w:pPr>
        <w:pStyle w:val="ListParagraph"/>
        <w:numPr>
          <w:ilvl w:val="0"/>
          <w:numId w:val="2"/>
        </w:numPr>
        <w:spacing w:after="80"/>
      </w:pPr>
      <w:r>
        <w:rPr>
          <w:b w:val="false"/>
          <w:bCs w:val="false"/>
        </w:rPr>
        <w:t xml:space="preserve">Department heads are responsible for proposing monthly targets, which must be reviewed and confirmed by the CEO and Chairman.</w:t>
      </w:r>
    </w:p>
    <w:p>
      <w:pPr>
        <w:pStyle w:val="Heading1"/>
      </w:pPr>
      <w:r>
        <w:t xml:space="preserve">4. Weekly Tracking</w:t>
      </w:r>
    </w:p>
    <w:p>
      <w:pPr>
        <w:pStyle w:val="ListParagraph"/>
        <w:numPr>
          <w:ilvl w:val="0"/>
          <w:numId w:val="2"/>
        </w:numPr>
        <w:spacing w:after="80"/>
      </w:pPr>
      <w:r>
        <w:rPr>
          <w:b w:val="false"/>
          <w:bCs w:val="false"/>
        </w:rPr>
        <w:t xml:space="preserve">All monthly targets are broken down and tracked on a weekly basis to monitor progress and allow for early correction.</w:t>
      </w:r>
    </w:p>
    <w:p>
      <w:pPr>
        <w:pStyle w:val="ListParagraph"/>
        <w:numPr>
          <w:ilvl w:val="0"/>
          <w:numId w:val="2"/>
        </w:numPr>
        <w:spacing w:after="80"/>
      </w:pPr>
      <w:r>
        <w:rPr>
          <w:b w:val="false"/>
          <w:bCs w:val="false"/>
        </w:rPr>
        <w:t xml:space="preserve">Employees must submit a Weekly Target Report detailing progress against each assigned target, including KPIs reached and any obstacles encountered.</w:t>
      </w:r>
    </w:p>
    <w:p>
      <w:pPr>
        <w:pStyle w:val="ListParagraph"/>
        <w:numPr>
          <w:ilvl w:val="0"/>
          <w:numId w:val="2"/>
        </w:numPr>
        <w:spacing w:after="80"/>
      </w:pPr>
      <w:r>
        <w:rPr>
          <w:b w:val="false"/>
          <w:bCs w:val="false"/>
        </w:rPr>
        <w:t xml:space="preserve">Weekly Target Reports must be submitted through the official chain of command, consistent with Section 26 (Daily Target Posting Policy).</w:t>
      </w:r>
    </w:p>
    <w:p>
      <w:pPr>
        <w:pStyle w:val="ListParagraph"/>
        <w:numPr>
          <w:ilvl w:val="0"/>
          <w:numId w:val="2"/>
        </w:numPr>
        <w:spacing w:after="80"/>
      </w:pPr>
      <w:r>
        <w:rPr>
          <w:b w:val="false"/>
          <w:bCs w:val="false"/>
        </w:rPr>
        <w:t xml:space="preserve">Weekly Target Reports are reviewed by both the CEO and Chairman, who assess progress and flag any targets at risk of being missed.</w:t>
      </w:r>
    </w:p>
    <w:p>
      <w:pPr>
        <w:pStyle w:val="Heading1"/>
      </w:pPr>
      <w:r>
        <w:t xml:space="preserve">5. Bonus Structure</w:t>
      </w:r>
    </w:p>
    <w:p>
      <w:pPr>
        <w:spacing w:after="160"/>
      </w:pPr>
      <w:r>
        <w:t xml:space="preserve">Where a target is met or exceeded based on KPI performance, a bonus is applied according to the severity level assigned to that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90"/>
              <w:left w:type="dxa" w:w="120"/>
              <w:bottom w:type="dxa" w:w="90"/>
              <w:right w:type="dxa" w:w="120"/>
            </w:tcMar>
          </w:tcPr>
          <w:p>
            <w:r>
              <w:rPr>
                <w:b/>
                <w:bCs/>
                <w:color w:val="FFFFFF"/>
              </w:rPr>
              <w:t xml:space="preserve">Severity Level</w:t>
            </w:r>
          </w:p>
        </w:tc>
        <w:tc>
          <w:tcPr>
            <w:tcW w:type="dxa" w:w="3120"/>
            <w:tcBorders>
              <w:top w:val="single" w:color="BFBFBF" w:sz="4"/>
              <w:left w:val="single" w:color="BFBFBF" w:sz="4"/>
              <w:bottom w:val="single" w:color="BFBFBF" w:sz="4"/>
              <w:right w:val="single" w:color="BFBFBF" w:sz="4"/>
            </w:tcBorders>
            <w:shd w:fill="1F3864" w:val="clear"/>
            <w:tcMar>
              <w:top w:type="dxa" w:w="90"/>
              <w:left w:type="dxa" w:w="120"/>
              <w:bottom w:type="dxa" w:w="90"/>
              <w:right w:type="dxa" w:w="120"/>
            </w:tcMar>
          </w:tcPr>
          <w:p>
            <w:r>
              <w:rPr>
                <w:b/>
                <w:bCs/>
                <w:color w:val="FFFFFF"/>
              </w:rPr>
              <w:t xml:space="preserve">Description</w:t>
            </w:r>
          </w:p>
        </w:tc>
        <w:tc>
          <w:tcPr>
            <w:tcW w:type="dxa" w:w="3120"/>
            <w:tcBorders>
              <w:top w:val="single" w:color="BFBFBF" w:sz="4"/>
              <w:left w:val="single" w:color="BFBFBF" w:sz="4"/>
              <w:bottom w:val="single" w:color="BFBFBF" w:sz="4"/>
              <w:right w:val="single" w:color="BFBFBF" w:sz="4"/>
            </w:tcBorders>
            <w:shd w:fill="1F3864" w:val="clear"/>
            <w:tcMar>
              <w:top w:type="dxa" w:w="90"/>
              <w:left w:type="dxa" w:w="120"/>
              <w:bottom w:type="dxa" w:w="90"/>
              <w:right w:type="dxa" w:w="120"/>
            </w:tcMar>
          </w:tcPr>
          <w:p>
            <w:r>
              <w:rPr>
                <w:b/>
                <w:bCs/>
                <w:color w:val="FFFFFF"/>
              </w:rPr>
              <w:t xml:space="preserve">Bonus Amount</w:t>
            </w:r>
          </w:p>
        </w:tc>
      </w:tr>
      <w:tr>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Low</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Routine or low-impact targets</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bCs/>
                <w:color w:val="2E7D32"/>
              </w:rPr>
              <w:t xml:space="preserve">$15</w:t>
            </w:r>
          </w:p>
        </w:tc>
      </w:tr>
      <w:tr>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Mid</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Moderate complexity or impact targets</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bCs/>
                <w:color w:val="2E7D32"/>
              </w:rPr>
              <w:t xml:space="preserve">$20</w:t>
            </w:r>
          </w:p>
        </w:tc>
      </w:tr>
      <w:tr>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High</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High complexity, high-impact, or business-critical targets</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bCs/>
                <w:color w:val="2E7D32"/>
              </w:rPr>
              <w:t xml:space="preserve">$25</w:t>
            </w:r>
          </w:p>
        </w:tc>
      </w:tr>
    </w:tbl>
    <w:p>
      <w:pPr>
        <w:spacing w:after="160" w:before="160"/>
      </w:pPr>
    </w:p>
    <w:p>
      <w:pPr>
        <w:pStyle w:val="ListParagraph"/>
        <w:numPr>
          <w:ilvl w:val="0"/>
          <w:numId w:val="2"/>
        </w:numPr>
        <w:spacing w:after="80"/>
      </w:pPr>
      <w:r>
        <w:rPr>
          <w:b w:val="false"/>
          <w:bCs w:val="false"/>
        </w:rPr>
        <w:t xml:space="preserve">Bonuses are calculated per target achieved, not per employee per month — an employee completing multiple qualifying targets in a given period may earn multiple bonuses.</w:t>
      </w:r>
    </w:p>
    <w:p>
      <w:pPr>
        <w:pStyle w:val="ListParagraph"/>
        <w:numPr>
          <w:ilvl w:val="0"/>
          <w:numId w:val="2"/>
        </w:numPr>
        <w:spacing w:after="80"/>
      </w:pPr>
      <w:r>
        <w:rPr>
          <w:b w:val="false"/>
          <w:bCs w:val="false"/>
        </w:rPr>
        <w:t xml:space="preserve">Bonuses are paid out only after KPI achievement is verified and approval has been granted by both the CEO and Chairman.</w:t>
      </w:r>
    </w:p>
    <w:p>
      <w:pPr>
        <w:pStyle w:val="Heading1"/>
      </w:pPr>
      <w:r>
        <w:t xml:space="preserve">6. Deductions for Missed Targets</w:t>
      </w:r>
    </w:p>
    <w:p>
      <w:pPr>
        <w:spacing w:after="160"/>
      </w:pPr>
      <w:r>
        <w:t xml:space="preserve">Where a target is not met, and the shortfall is determined to be within the employee's reasonable control, a deduction may be applied using the same severity-based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1F3864" w:val="clear"/>
            <w:tcMar>
              <w:top w:type="dxa" w:w="90"/>
              <w:left w:type="dxa" w:w="120"/>
              <w:bottom w:type="dxa" w:w="90"/>
              <w:right w:type="dxa" w:w="120"/>
            </w:tcMar>
          </w:tcPr>
          <w:p>
            <w:r>
              <w:rPr>
                <w:b/>
                <w:bCs/>
                <w:color w:val="FFFFFF"/>
              </w:rPr>
              <w:t xml:space="preserve">Severity Level</w:t>
            </w:r>
          </w:p>
        </w:tc>
        <w:tc>
          <w:tcPr>
            <w:tcW w:type="dxa" w:w="3120"/>
            <w:tcBorders>
              <w:top w:val="single" w:color="BFBFBF" w:sz="4"/>
              <w:left w:val="single" w:color="BFBFBF" w:sz="4"/>
              <w:bottom w:val="single" w:color="BFBFBF" w:sz="4"/>
              <w:right w:val="single" w:color="BFBFBF" w:sz="4"/>
            </w:tcBorders>
            <w:shd w:fill="1F3864" w:val="clear"/>
            <w:tcMar>
              <w:top w:type="dxa" w:w="90"/>
              <w:left w:type="dxa" w:w="120"/>
              <w:bottom w:type="dxa" w:w="90"/>
              <w:right w:type="dxa" w:w="120"/>
            </w:tcMar>
          </w:tcPr>
          <w:p>
            <w:r>
              <w:rPr>
                <w:b/>
                <w:bCs/>
                <w:color w:val="FFFFFF"/>
              </w:rPr>
              <w:t xml:space="preserve">Description</w:t>
            </w:r>
          </w:p>
        </w:tc>
        <w:tc>
          <w:tcPr>
            <w:tcW w:type="dxa" w:w="3120"/>
            <w:tcBorders>
              <w:top w:val="single" w:color="BFBFBF" w:sz="4"/>
              <w:left w:val="single" w:color="BFBFBF" w:sz="4"/>
              <w:bottom w:val="single" w:color="BFBFBF" w:sz="4"/>
              <w:right w:val="single" w:color="BFBFBF" w:sz="4"/>
            </w:tcBorders>
            <w:shd w:fill="1F3864" w:val="clear"/>
            <w:tcMar>
              <w:top w:type="dxa" w:w="90"/>
              <w:left w:type="dxa" w:w="120"/>
              <w:bottom w:type="dxa" w:w="90"/>
              <w:right w:type="dxa" w:w="120"/>
            </w:tcMar>
          </w:tcPr>
          <w:p>
            <w:r>
              <w:rPr>
                <w:b/>
                <w:bCs/>
                <w:color w:val="FFFFFF"/>
              </w:rPr>
              <w:t xml:space="preserve">Deduction Amount</w:t>
            </w:r>
          </w:p>
        </w:tc>
      </w:tr>
      <w:tr>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Low</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Routine or low-impact targets missed</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bCs/>
                <w:color w:val="B3261E"/>
              </w:rPr>
              <w:t xml:space="preserve">$15</w:t>
            </w:r>
          </w:p>
        </w:tc>
      </w:tr>
      <w:tr>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Mid</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Moderate complexity or impact targets missed</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bCs/>
                <w:color w:val="B3261E"/>
              </w:rPr>
              <w:t xml:space="preserve">$20</w:t>
            </w:r>
          </w:p>
        </w:tc>
      </w:tr>
      <w:tr>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High</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High complexity, high-impact, or business-critical targets missed</w:t>
            </w:r>
          </w:p>
        </w:tc>
        <w:tc>
          <w:tcPr>
            <w:tcW w:type="dxa" w:w="312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bCs/>
                <w:color w:val="B3261E"/>
              </w:rPr>
              <w:t xml:space="preserve">$25</w:t>
            </w:r>
          </w:p>
        </w:tc>
      </w:tr>
    </w:tbl>
    <w:p>
      <w:pPr>
        <w:spacing w:after="160" w:before="160"/>
      </w:pPr>
    </w:p>
    <w:p>
      <w:pPr>
        <w:pStyle w:val="ListParagraph"/>
        <w:numPr>
          <w:ilvl w:val="0"/>
          <w:numId w:val="2"/>
        </w:numPr>
        <w:spacing w:after="80"/>
      </w:pPr>
      <w:r>
        <w:rPr>
          <w:b w:val="false"/>
          <w:bCs w:val="false"/>
        </w:rPr>
        <w:t xml:space="preserve">Deductions are applied where necessary, taking into account the severity of the missed target and the circumstances surrounding the shortfall.</w:t>
      </w:r>
    </w:p>
    <w:p>
      <w:pPr>
        <w:pStyle w:val="ListParagraph"/>
        <w:numPr>
          <w:ilvl w:val="0"/>
          <w:numId w:val="2"/>
        </w:numPr>
        <w:spacing w:after="80"/>
      </w:pPr>
      <w:r>
        <w:rPr>
          <w:b w:val="false"/>
          <w:bCs w:val="false"/>
        </w:rPr>
        <w:t xml:space="preserve">Deductions will not be applied automatically; each missed target is reviewed by the CEO and Chairman before any deduction is finalized, to ensure fairness.</w:t>
      </w:r>
    </w:p>
    <w:p>
      <w:pPr>
        <w:pStyle w:val="ListParagraph"/>
        <w:numPr>
          <w:ilvl w:val="0"/>
          <w:numId w:val="2"/>
        </w:numPr>
        <w:spacing w:after="80"/>
      </w:pPr>
      <w:r>
        <w:rPr>
          <w:b w:val="false"/>
          <w:bCs w:val="false"/>
        </w:rPr>
        <w:t xml:space="preserve">Factors outside the employee's control (e.g. unavailability of required data, resourcing constraints, or delays caused by other departments) will be considered before a deduction is approved, consistent with Aiia's commitment to fair and accountable decision-making.</w:t>
      </w:r>
    </w:p>
    <w:p>
      <w:pPr>
        <w:pStyle w:val="ListParagraph"/>
        <w:numPr>
          <w:ilvl w:val="0"/>
          <w:numId w:val="2"/>
        </w:numPr>
        <w:spacing w:after="80"/>
      </w:pPr>
      <w:r>
        <w:rPr>
          <w:b w:val="false"/>
          <w:bCs w:val="false"/>
        </w:rPr>
        <w:t xml:space="preserve">Repeated or severe failure to meet targets may additionally be addressed under the Company's broader performance and conduct policies (Sections 9, 10, and 24).</w:t>
      </w:r>
    </w:p>
    <w:p>
      <w:pPr>
        <w:pStyle w:val="Heading1"/>
      </w:pPr>
      <w:r>
        <w:t xml:space="preserve">7. Reporting and Approval Workflow</w:t>
      </w:r>
    </w:p>
    <w:p>
      <w:pPr>
        <w:pStyle w:val="ListParagraph"/>
        <w:numPr>
          <w:ilvl w:val="0"/>
          <w:numId w:val="3"/>
        </w:numPr>
        <w:spacing w:after="80"/>
      </w:pPr>
      <w:r>
        <w:t xml:space="preserve">Beginning of month: Department heads propose monthly targets; targets are reviewed and confirmed by the CEO and Chairman.</w:t>
      </w:r>
    </w:p>
    <w:p>
      <w:pPr>
        <w:pStyle w:val="ListParagraph"/>
        <w:numPr>
          <w:ilvl w:val="0"/>
          <w:numId w:val="3"/>
        </w:numPr>
        <w:spacing w:after="80"/>
      </w:pPr>
      <w:r>
        <w:t xml:space="preserve">Weekly: Employees submit Weekly Target Reports detailing progress, KPIs reached, and any obstacles.</w:t>
      </w:r>
    </w:p>
    <w:p>
      <w:pPr>
        <w:pStyle w:val="ListParagraph"/>
        <w:numPr>
          <w:ilvl w:val="0"/>
          <w:numId w:val="3"/>
        </w:numPr>
        <w:spacing w:after="80"/>
      </w:pPr>
      <w:r>
        <w:t xml:space="preserve">Weekly: Reports are reviewed jointly by the CEO and Chairman, who assess performance against each target's severity level.</w:t>
      </w:r>
    </w:p>
    <w:p>
      <w:pPr>
        <w:pStyle w:val="ListParagraph"/>
        <w:numPr>
          <w:ilvl w:val="0"/>
          <w:numId w:val="3"/>
        </w:numPr>
        <w:spacing w:after="80"/>
      </w:pPr>
      <w:r>
        <w:t xml:space="preserve">End of month: KPI achievement is confirmed; qualifying bonuses and any necessary deductions are calculated.</w:t>
      </w:r>
    </w:p>
    <w:p>
      <w:pPr>
        <w:pStyle w:val="ListParagraph"/>
        <w:numPr>
          <w:ilvl w:val="0"/>
          <w:numId w:val="3"/>
        </w:numPr>
        <w:spacing w:after="80"/>
      </w:pPr>
      <w:r>
        <w:t xml:space="preserve">Final approval: All bonuses and deductions require the joint written approval of both the CEO and the Chairman before being processed.</w:t>
      </w:r>
    </w:p>
    <w:p>
      <w:pPr>
        <w:pStyle w:val="Heading1"/>
      </w:pPr>
      <w:r>
        <w:t xml:space="preserve">8. Employee Responsibilities</w:t>
      </w:r>
    </w:p>
    <w:p>
      <w:pPr>
        <w:pStyle w:val="ListParagraph"/>
        <w:numPr>
          <w:ilvl w:val="0"/>
          <w:numId w:val="2"/>
        </w:numPr>
        <w:spacing w:after="80"/>
      </w:pPr>
      <w:r>
        <w:rPr>
          <w:b w:val="false"/>
          <w:bCs w:val="false"/>
        </w:rPr>
        <w:t xml:space="preserve">Understand and acknowledge assigned monthly targets and their severity classification.</w:t>
      </w:r>
    </w:p>
    <w:p>
      <w:pPr>
        <w:pStyle w:val="ListParagraph"/>
        <w:numPr>
          <w:ilvl w:val="0"/>
          <w:numId w:val="2"/>
        </w:numPr>
        <w:spacing w:after="80"/>
      </w:pPr>
      <w:r>
        <w:rPr>
          <w:b w:val="false"/>
          <w:bCs w:val="false"/>
        </w:rPr>
        <w:t xml:space="preserve">Submit accurate and timely Weekly Target Reports through the approved reporting channel.</w:t>
      </w:r>
    </w:p>
    <w:p>
      <w:pPr>
        <w:pStyle w:val="ListParagraph"/>
        <w:numPr>
          <w:ilvl w:val="0"/>
          <w:numId w:val="2"/>
        </w:numPr>
        <w:spacing w:after="80"/>
      </w:pPr>
      <w:r>
        <w:rPr>
          <w:b w:val="false"/>
          <w:bCs w:val="false"/>
        </w:rPr>
        <w:t xml:space="preserve">Proactively flag any obstacles likely to affect target completion as early as possible.</w:t>
      </w:r>
    </w:p>
    <w:p>
      <w:pPr>
        <w:pStyle w:val="ListParagraph"/>
        <w:numPr>
          <w:ilvl w:val="0"/>
          <w:numId w:val="2"/>
        </w:numPr>
        <w:spacing w:after="80"/>
      </w:pPr>
      <w:r>
        <w:rPr>
          <w:b w:val="false"/>
          <w:bCs w:val="false"/>
        </w:rPr>
        <w:t xml:space="preserve">Maintain professionalism and availability in line with Sections 9 and 24 of the Company Policy Document.</w:t>
      </w:r>
    </w:p>
    <w:p>
      <w:pPr>
        <w:pStyle w:val="Heading1"/>
      </w:pPr>
      <w:r>
        <w:t xml:space="preserve">9. Weekly Target Report Form</w:t>
      </w:r>
    </w:p>
    <w:p>
      <w:pPr>
        <w:spacing w:after="160"/>
      </w:pPr>
      <w:r>
        <w:t xml:space="preserve">To be completed by the employee and submitted weekly for review by the CEO and Chairman.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Employee Name</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Department / Team</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Reporting Week</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From: ___________  To: ___________</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Target(s) Assigned</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Severity Level(s)</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Low   ☐ Mid   ☐ High</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KPIs Reached This Week</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Obstacles / Notes</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Target Status</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Met   ☐ Partially Met   ☐ Not Met</w:t>
            </w:r>
          </w:p>
        </w:tc>
      </w:tr>
    </w:tbl>
    <w:p>
      <w:pPr>
        <w:pStyle w:val="Heading1"/>
      </w:pPr>
      <w:r>
        <w:t xml:space="preserve">10. Bonus / Deduction Approval Record</w:t>
      </w:r>
    </w:p>
    <w:p>
      <w:pPr>
        <w:spacing w:after="160"/>
      </w:pPr>
      <w:r>
        <w:t xml:space="preserve">To be completed jointly by the CEO and Chairman following review of the Weekly Target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Target Description</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Severity Level</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Low ($15)   ☐ Mid ($20)   ☐ High ($25)</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Outcome</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Bonus Applied   ☐ Deduction Applied   ☐ No Action</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Amount</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w:t>
            </w:r>
          </w:p>
        </w:tc>
      </w:tr>
      <w:tr>
        <w:tc>
          <w:tcPr>
            <w:tcW w:type="dxa" w:w="3120"/>
            <w:tcBorders>
              <w:top w:val="single" w:color="BFBFBF" w:sz="4"/>
              <w:left w:val="single" w:color="BFBFBF" w:sz="4"/>
              <w:bottom w:val="single" w:color="BFBFBF" w:sz="4"/>
              <w:right w:val="single" w:color="BFBFBF" w:sz="4"/>
            </w:tcBorders>
            <w:shd w:fill="EDF2F8" w:val="clear"/>
            <w:tcMar>
              <w:top w:type="dxa" w:w="90"/>
              <w:left w:type="dxa" w:w="120"/>
              <w:bottom w:type="dxa" w:w="90"/>
              <w:right w:type="dxa" w:w="120"/>
            </w:tcMar>
          </w:tcPr>
          <w:p>
            <w:r>
              <w:rPr>
                <w:b/>
                <w:bCs/>
              </w:rPr>
              <w:t xml:space="preserve">Justification / Comments</w:t>
            </w:r>
          </w:p>
        </w:tc>
        <w:tc>
          <w:tcPr>
            <w:tcW w:type="dxa" w:w="6240"/>
            <w:tcBorders>
              <w:top w:val="single" w:color="BFBFBF" w:sz="4"/>
              <w:left w:val="single" w:color="BFBFBF" w:sz="4"/>
              <w:bottom w:val="single" w:color="BFBFBF" w:sz="4"/>
              <w:right w:val="single" w:color="BFBFBF" w:sz="4"/>
            </w:tcBorders>
            <w:tcMar>
              <w:top w:type="dxa" w:w="90"/>
              <w:left w:type="dxa" w:w="120"/>
              <w:bottom w:type="dxa" w:w="90"/>
              <w:right w:type="dxa" w:w="120"/>
            </w:tcMar>
          </w:tcPr>
          <w:p>
            <w:r>
              <w:rPr>
                <w:b w:val="false"/>
                <w:bCs w:val="false"/>
              </w:rPr>
              <w:t xml:space="preserve"/>
            </w:r>
          </w:p>
        </w:tc>
      </w:tr>
    </w:tbl>
    <w:p>
      <w:pPr>
        <w:pStyle w:val="Heading1"/>
      </w:pPr>
      <w:r>
        <w:t xml:space="preserve">11. Approval &amp; Signatures</w:t>
      </w:r>
    </w:p>
    <w:p>
      <w:pPr>
        <w:spacing w:after="160"/>
      </w:pPr>
      <w:r>
        <w:t xml:space="preserve">This policy, and any bonus or deduction issued under it, is valid only when signed by the employee's Department Head and jointly approved by both the Chief Executive Officer and the Chairman.</w:t>
      </w:r>
    </w:p>
    <w:p>
      <w:pPr>
        <w:spacing w:after="60" w:before="200"/>
      </w:pPr>
      <w:r>
        <w:rPr>
          <w:b/>
          <w:bCs/>
          <w:color w:val="1F3864"/>
        </w:rPr>
        <w:t xml:space="preserve">Employee</w:t>
      </w:r>
    </w:p>
    <w:p>
      <w:pPr>
        <w:spacing w:after="60"/>
      </w:pPr>
      <w:r>
        <w:rPr>
          <w:b/>
          <w:bCs/>
        </w:rPr>
        <w:t xml:space="preserve">Signed: </w:t>
      </w:r>
      <w:r>
        <w:t xml:space="preserve">________________________________________________</w:t>
      </w:r>
    </w:p>
    <w:p>
      <w:pPr>
        <w:spacing w:after="60"/>
      </w:pPr>
      <w:r>
        <w:rPr>
          <w:b/>
          <w:bCs/>
        </w:rPr>
        <w:t xml:space="preserve">Name: </w:t>
      </w:r>
      <w:r>
        <w:t xml:space="preserve">________________________________________________</w:t>
      </w:r>
    </w:p>
    <w:p>
      <w:pPr>
        <w:spacing w:after="60"/>
      </w:pPr>
      <w:r>
        <w:rPr>
          <w:b/>
          <w:bCs/>
        </w:rPr>
        <w:t xml:space="preserve">Date: </w:t>
      </w:r>
      <w:r>
        <w:t xml:space="preserve">________________________________________________</w:t>
      </w:r>
    </w:p>
    <w:p>
      <w:pPr>
        <w:spacing w:after="60" w:before="200"/>
      </w:pPr>
      <w:r>
        <w:rPr>
          <w:b/>
          <w:bCs/>
          <w:color w:val="1F3864"/>
        </w:rPr>
        <w:t xml:space="preserve">Department Head</w:t>
      </w:r>
    </w:p>
    <w:p>
      <w:pPr>
        <w:spacing w:after="60"/>
      </w:pPr>
      <w:r>
        <w:rPr>
          <w:b/>
          <w:bCs/>
        </w:rPr>
        <w:t xml:space="preserve">Signed: </w:t>
      </w:r>
      <w:r>
        <w:t xml:space="preserve">________________________________________________</w:t>
      </w:r>
    </w:p>
    <w:p>
      <w:pPr>
        <w:spacing w:after="60"/>
      </w:pPr>
      <w:r>
        <w:rPr>
          <w:b/>
          <w:bCs/>
        </w:rPr>
        <w:t xml:space="preserve">Name: </w:t>
      </w:r>
      <w:r>
        <w:t xml:space="preserve">________________________________________________</w:t>
      </w:r>
    </w:p>
    <w:p>
      <w:pPr>
        <w:spacing w:after="60"/>
      </w:pPr>
      <w:r>
        <w:rPr>
          <w:b/>
          <w:bCs/>
        </w:rPr>
        <w:t xml:space="preserve">Date: </w:t>
      </w:r>
      <w:r>
        <w:t xml:space="preserve">________________________________________________</w:t>
      </w:r>
    </w:p>
    <w:p>
      <w:pPr>
        <w:spacing w:after="60" w:before="200"/>
      </w:pPr>
      <w:r>
        <w:rPr>
          <w:b/>
          <w:bCs/>
          <w:color w:val="C9930B"/>
        </w:rPr>
        <w:t xml:space="preserve">Chief Executive Officer (Arthur)</w:t>
      </w:r>
    </w:p>
    <w:p>
      <w:pPr>
        <w:spacing w:after="60"/>
      </w:pPr>
      <w:r>
        <w:rPr>
          <w:b/>
          <w:bCs/>
        </w:rPr>
        <w:t xml:space="preserve">Signed: </w:t>
      </w:r>
      <w:r>
        <w:t xml:space="preserve">________________________________________________</w:t>
      </w:r>
    </w:p>
    <w:p>
      <w:pPr>
        <w:spacing w:after="60"/>
      </w:pPr>
      <w:r>
        <w:rPr>
          <w:b/>
          <w:bCs/>
        </w:rPr>
        <w:t xml:space="preserve">Name: </w:t>
      </w:r>
      <w:r>
        <w:t xml:space="preserve">________________________________________________</w:t>
      </w:r>
    </w:p>
    <w:p>
      <w:pPr>
        <w:spacing w:after="60"/>
      </w:pPr>
      <w:r>
        <w:rPr>
          <w:b/>
          <w:bCs/>
        </w:rPr>
        <w:t xml:space="preserve">Date: </w:t>
      </w:r>
      <w:r>
        <w:t xml:space="preserve">________________________________________________</w:t>
      </w:r>
    </w:p>
    <w:p>
      <w:pPr>
        <w:spacing w:after="60" w:before="200"/>
      </w:pPr>
      <w:r>
        <w:rPr>
          <w:b/>
          <w:bCs/>
          <w:color w:val="C9930B"/>
        </w:rPr>
        <w:t xml:space="preserve">Chairman (Dr Magaya)</w:t>
      </w:r>
    </w:p>
    <w:p>
      <w:pPr>
        <w:spacing w:after="60"/>
      </w:pPr>
      <w:r>
        <w:rPr>
          <w:b/>
          <w:bCs/>
        </w:rPr>
        <w:t xml:space="preserve">Signed: </w:t>
      </w:r>
      <w:r>
        <w:t xml:space="preserve">________________________________________________</w:t>
      </w:r>
    </w:p>
    <w:p>
      <w:pPr>
        <w:spacing w:after="60"/>
      </w:pPr>
      <w:r>
        <w:rPr>
          <w:b/>
          <w:bCs/>
        </w:rPr>
        <w:t xml:space="preserve">Name: </w:t>
      </w:r>
      <w:r>
        <w:t xml:space="preserve">________________________________________________</w:t>
      </w:r>
    </w:p>
    <w:p>
      <w:pPr>
        <w:spacing w:after="60"/>
      </w:pPr>
      <w:r>
        <w:rPr>
          <w:b/>
          <w:bCs/>
        </w:rPr>
        <w:t xml:space="preserve">Date: </w:t>
      </w:r>
      <w:r>
        <w:t xml:space="preserve">________________________________________________</w:t>
      </w:r>
    </w:p>
    <w:p>
      <w:pPr>
        <w:pBdr>
          <w:bottom w:val="single" w:color="1F3864" w:sz="6" w:space="1"/>
        </w:pBdr>
        <w:spacing w:after="200" w:before="100"/>
      </w:pPr>
    </w:p>
    <w:p>
      <w:pPr>
        <w:spacing w:before="200"/>
        <w:jc w:val="center"/>
      </w:pPr>
      <w:r>
        <w:rPr>
          <w:i/>
          <w:iCs/>
          <w:color w:val="808080"/>
          <w:sz w:val="18"/>
          <w:szCs w:val="18"/>
        </w:rPr>
        <w:t xml:space="preserve">Aiia — Artificial Intelligence Institute Africa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C993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2026-06-30T13:19:37.269Z</dcterms:created>
  <dcterms:modified xsi:type="dcterms:W3CDTF">2026-06-30T13:19:37.283Z</dcterms:modified>
</cp:coreProperties>
</file>

<file path=docProps/custom.xml><?xml version="1.0" encoding="utf-8"?>
<Properties xmlns="http://schemas.openxmlformats.org/officeDocument/2006/custom-properties" xmlns:vt="http://schemas.openxmlformats.org/officeDocument/2006/docPropsVTypes"/>
</file>