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Leave Policy (Balanced)</w:t>
      </w:r>
    </w:p>
    <w:p>
      <w:r>
        <w:t>Purpose</w:t>
        <w:br/>
        <w:t>The Company recognises that employees require time away from work for rest, personal commitments and wellbeing while ensuring business continuity.</w:t>
      </w:r>
    </w:p>
    <w:p>
      <w:pPr>
        <w:pStyle w:val="Heading2"/>
      </w:pPr>
      <w:r>
        <w:t>Policy</w:t>
      </w:r>
    </w:p>
    <w:p>
      <w:pPr>
        <w:pStyle w:val="ListBullet"/>
      </w:pPr>
      <w:r>
        <w:rPr>
          <w:sz w:val="22"/>
        </w:rPr>
        <w:t>Submit leave requests at least 7 working days in advance.</w:t>
      </w:r>
    </w:p>
    <w:p>
      <w:pPr>
        <w:pStyle w:val="ListBullet"/>
      </w:pPr>
      <w:r>
        <w:rPr>
          <w:sz w:val="22"/>
        </w:rPr>
        <w:t>Leave approval is subject to operational requirements.</w:t>
      </w:r>
    </w:p>
    <w:p>
      <w:pPr>
        <w:pStyle w:val="ListBullet"/>
      </w:pPr>
      <w:r>
        <w:rPr>
          <w:sz w:val="22"/>
        </w:rPr>
        <w:t>Managers will make reasonable efforts to approve preferred dates.</w:t>
      </w:r>
    </w:p>
    <w:p>
      <w:pPr>
        <w:pStyle w:val="ListBullet"/>
      </w:pPr>
      <w:r>
        <w:rPr>
          <w:sz w:val="22"/>
        </w:rPr>
        <w:t>Do not make travel arrangements until leave is approved.</w:t>
      </w:r>
    </w:p>
    <w:p>
      <w:pPr>
        <w:pStyle w:val="ListBullet"/>
      </w:pPr>
      <w:r>
        <w:rPr>
          <w:sz w:val="22"/>
        </w:rPr>
        <w:t>Leave requests are considered fairly while maintaining adequate staffing.</w:t>
      </w:r>
    </w:p>
    <w:p>
      <w:pPr>
        <w:pStyle w:val="ListBullet"/>
      </w:pPr>
      <w:r>
        <w:rPr>
          <w:sz w:val="22"/>
        </w:rPr>
        <w:t>Plan leave early to avoid scheduling conflicts.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