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12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00"/>
        <w:gridCol w:w="2880"/>
        <w:gridCol w:w="3480"/>
        <w:gridCol w:w="2880"/>
      </w:tblGrid>
      <w:tr w14:paraId="72EB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40" w:type="dxa"/>
            <w:gridSpan w:val="5"/>
            <w:tcBorders>
              <w:top w:val="nil"/>
              <w:left w:val="nil"/>
              <w:bottom w:val="nil"/>
              <w:right w:val="nil"/>
            </w:tcBorders>
            <w:shd w:val="clear" w:color="auto" w:fill="1B3A5C"/>
            <w:tcMar>
              <w:top w:w="1800" w:type="dxa"/>
              <w:left w:w="1440" w:type="dxa"/>
              <w:bottom w:w="1440" w:type="dxa"/>
              <w:right w:w="1440" w:type="dxa"/>
            </w:tcMar>
          </w:tcPr>
          <w:p w14:paraId="54EEAFC1">
            <w:pPr>
              <w:spacing w:after="120"/>
            </w:pPr>
            <w:r>
              <w:rPr>
                <w:b/>
                <w:bCs/>
                <w:color w:val="88BBDD"/>
                <w:sz w:val="18"/>
                <w:szCs w:val="18"/>
              </w:rPr>
              <w:t>CONFIDENTIAL | STRATEGY &amp; INNOVATION</w:t>
            </w:r>
          </w:p>
          <w:p w14:paraId="4BFEF04B">
            <w:pPr>
              <w:spacing w:after="200"/>
            </w:pPr>
            <w:r>
              <w:rPr>
                <w:color w:val="AACCEE"/>
                <w:sz w:val="26"/>
                <w:szCs w:val="26"/>
              </w:rPr>
              <w:t>FRT Innovation Framework – Team 1</w:t>
            </w:r>
          </w:p>
          <w:p w14:paraId="3A8B716A">
            <w:pPr>
              <w:spacing w:after="80"/>
            </w:pPr>
            <w:r>
              <w:rPr>
                <w:b/>
                <w:bCs/>
                <w:color w:val="FFFFFF"/>
                <w:sz w:val="52"/>
                <w:szCs w:val="52"/>
              </w:rPr>
              <w:t>Strategic Business Model</w:t>
            </w:r>
          </w:p>
          <w:p w14:paraId="2CE56388">
            <w:pPr>
              <w:spacing w:after="80"/>
            </w:pPr>
            <w:r>
              <w:rPr>
                <w:b/>
                <w:bCs/>
                <w:color w:val="FFFFFF"/>
                <w:sz w:val="52"/>
                <w:szCs w:val="52"/>
              </w:rPr>
              <w:t>Development</w:t>
            </w:r>
          </w:p>
        </w:tc>
      </w:tr>
      <w:tr w14:paraId="6BFF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gridSpan w:val="2"/>
            <w:tcBorders>
              <w:top w:val="nil"/>
              <w:left w:val="nil"/>
              <w:bottom w:val="nil"/>
              <w:right w:val="nil"/>
            </w:tcBorders>
            <w:shd w:val="clear" w:color="auto" w:fill="2E6DA4"/>
            <w:tcMar>
              <w:top w:w="180" w:type="dxa"/>
              <w:left w:w="0" w:type="dxa"/>
              <w:bottom w:w="180" w:type="dxa"/>
              <w:right w:w="0" w:type="dxa"/>
            </w:tcMar>
          </w:tcPr>
          <w:p w14:paraId="77F2C553"/>
        </w:tc>
        <w:tc>
          <w:tcPr>
            <w:tcW w:w="9240" w:type="dxa"/>
            <w:gridSpan w:val="3"/>
            <w:tcBorders>
              <w:top w:val="nil"/>
              <w:left w:val="nil"/>
              <w:bottom w:val="nil"/>
              <w:right w:val="nil"/>
            </w:tcBorders>
            <w:shd w:val="clear" w:color="auto" w:fill="4A90C4"/>
            <w:tcMar>
              <w:top w:w="180" w:type="dxa"/>
              <w:left w:w="0" w:type="dxa"/>
              <w:bottom w:w="180" w:type="dxa"/>
              <w:right w:w="0" w:type="dxa"/>
            </w:tcMar>
          </w:tcPr>
          <w:p w14:paraId="214EAE4B"/>
        </w:tc>
      </w:tr>
      <w:tr w14:paraId="63F8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40" w:type="dxa"/>
            <w:gridSpan w:val="5"/>
            <w:tcBorders>
              <w:top w:val="nil"/>
              <w:left w:val="nil"/>
              <w:bottom w:val="nil"/>
              <w:right w:val="nil"/>
            </w:tcBorders>
            <w:shd w:val="clear" w:color="auto" w:fill="FFFFFF"/>
            <w:tcMar>
              <w:top w:w="500" w:type="dxa"/>
              <w:left w:w="1440" w:type="dxa"/>
              <w:bottom w:w="300" w:type="dxa"/>
              <w:right w:w="1440" w:type="dxa"/>
            </w:tcMar>
          </w:tcPr>
          <w:p w14:paraId="5AE5408C">
            <w:pPr>
              <w:spacing w:after="80"/>
            </w:pPr>
            <w:r>
              <w:rPr>
                <w:b/>
                <w:bCs/>
                <w:color w:val="1B3A5C"/>
                <w:sz w:val="20"/>
                <w:szCs w:val="20"/>
              </w:rPr>
              <w:t>TARGET SECTOR</w:t>
            </w:r>
          </w:p>
          <w:p w14:paraId="439E0248">
            <w:r>
              <w:rPr>
                <w:b/>
                <w:bCs/>
                <w:color w:val="2E6DA4"/>
                <w:sz w:val="26"/>
                <w:szCs w:val="26"/>
              </w:rPr>
              <w:t>Gen Z  ·  Schools / Education  ·  Agriculture ·  Pensions ·  Civil Servants</w:t>
            </w:r>
          </w:p>
        </w:tc>
      </w:tr>
      <w:tr w14:paraId="3CB1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880" w:type="dxa"/>
        </w:trPr>
        <w:tc>
          <w:tcPr>
            <w:tcW w:w="2400" w:type="dxa"/>
            <w:tcBorders>
              <w:top w:val="nil"/>
              <w:left w:val="nil"/>
              <w:bottom w:val="nil"/>
              <w:right w:val="nil"/>
            </w:tcBorders>
            <w:shd w:val="clear" w:color="auto" w:fill="EBF3FB"/>
            <w:tcMar>
              <w:top w:w="0" w:type="dxa"/>
              <w:left w:w="1440" w:type="dxa"/>
              <w:bottom w:w="0" w:type="dxa"/>
              <w:right w:w="0" w:type="dxa"/>
            </w:tcMar>
          </w:tcPr>
          <w:p w14:paraId="1812A6DC"/>
        </w:tc>
        <w:tc>
          <w:tcPr>
            <w:tcW w:w="3480" w:type="dxa"/>
            <w:gridSpan w:val="2"/>
            <w:tcBorders>
              <w:top w:val="nil"/>
              <w:left w:val="single" w:color="2E6DA4" w:sz="8" w:space="0"/>
              <w:bottom w:val="nil"/>
              <w:right w:val="nil"/>
            </w:tcBorders>
            <w:shd w:val="clear" w:color="auto" w:fill="FFFFFF"/>
            <w:tcMar>
              <w:top w:w="120" w:type="dxa"/>
              <w:left w:w="160" w:type="dxa"/>
              <w:bottom w:w="120" w:type="dxa"/>
              <w:right w:w="160" w:type="dxa"/>
            </w:tcMar>
          </w:tcPr>
          <w:p w14:paraId="2DA5E8E6">
            <w:pPr>
              <w:spacing w:after="40"/>
            </w:pPr>
            <w:r>
              <w:rPr>
                <w:b/>
                <w:bCs/>
                <w:color w:val="2E6DA4"/>
                <w:sz w:val="18"/>
                <w:szCs w:val="18"/>
              </w:rPr>
              <w:t>PREPARED BY</w:t>
            </w:r>
          </w:p>
          <w:p w14:paraId="3AD688FC">
            <w:r>
              <w:rPr>
                <w:i/>
                <w:iCs/>
                <w:color w:val="555555"/>
                <w:sz w:val="20"/>
                <w:szCs w:val="20"/>
              </w:rPr>
              <w:t>[</w:t>
            </w:r>
            <w:r>
              <w:rPr>
                <w:rFonts w:hint="default"/>
                <w:i/>
                <w:iCs/>
                <w:color w:val="555555"/>
                <w:sz w:val="20"/>
                <w:szCs w:val="20"/>
                <w:lang w:val="en-ZA"/>
              </w:rPr>
              <w:t>gen z</w:t>
            </w:r>
            <w:r>
              <w:rPr>
                <w:i/>
                <w:iCs/>
                <w:color w:val="555555"/>
                <w:sz w:val="20"/>
                <w:szCs w:val="20"/>
              </w:rPr>
              <w:t xml:space="preserve">/ </w:t>
            </w:r>
            <w:r>
              <w:rPr>
                <w:rFonts w:hint="default"/>
                <w:i/>
                <w:iCs/>
                <w:color w:val="555555"/>
                <w:sz w:val="20"/>
                <w:szCs w:val="20"/>
                <w:lang w:val="en-ZA"/>
              </w:rPr>
              <w:t>Rubiem</w:t>
            </w:r>
            <w:r>
              <w:rPr>
                <w:i/>
                <w:iCs/>
                <w:color w:val="555555"/>
                <w:sz w:val="20"/>
                <w:szCs w:val="20"/>
              </w:rPr>
              <w:t>]</w:t>
            </w:r>
          </w:p>
        </w:tc>
        <w:tc>
          <w:tcPr>
            <w:tcW w:w="3480" w:type="dxa"/>
            <w:tcBorders>
              <w:top w:val="nil"/>
              <w:left w:val="single" w:color="2E6DA4" w:sz="8" w:space="0"/>
              <w:bottom w:val="nil"/>
              <w:right w:val="nil"/>
            </w:tcBorders>
            <w:shd w:val="clear" w:color="auto" w:fill="FFFFFF"/>
            <w:tcMar>
              <w:top w:w="120" w:type="dxa"/>
              <w:left w:w="160" w:type="dxa"/>
              <w:bottom w:w="120" w:type="dxa"/>
              <w:right w:w="160" w:type="dxa"/>
            </w:tcMar>
          </w:tcPr>
          <w:p w14:paraId="4C228CD3">
            <w:pPr>
              <w:spacing w:after="40"/>
            </w:pPr>
            <w:r>
              <w:rPr>
                <w:b/>
                <w:bCs/>
                <w:color w:val="2E6DA4"/>
                <w:sz w:val="18"/>
                <w:szCs w:val="18"/>
              </w:rPr>
              <w:t>DATE | VERSION</w:t>
            </w:r>
          </w:p>
          <w:p w14:paraId="768E43DB">
            <w:r>
              <w:rPr>
                <w:i/>
                <w:iCs/>
                <w:color w:val="555555"/>
                <w:sz w:val="20"/>
                <w:szCs w:val="20"/>
              </w:rPr>
              <w:t>[</w:t>
            </w:r>
            <w:r>
              <w:rPr>
                <w:i/>
                <w:iCs/>
                <w:color w:val="555555"/>
                <w:sz w:val="20"/>
                <w:szCs w:val="20"/>
                <w:lang w:val="en-ZA"/>
              </w:rPr>
              <w:t>March 16, 2026</w:t>
            </w:r>
            <w:r>
              <w:rPr>
                <w:i/>
                <w:iCs/>
                <w:color w:val="555555"/>
                <w:sz w:val="20"/>
                <w:szCs w:val="20"/>
              </w:rPr>
              <w:t>]  |  v1.0</w:t>
            </w:r>
          </w:p>
        </w:tc>
      </w:tr>
      <w:tr w14:paraId="4F12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40" w:type="dxa"/>
            <w:gridSpan w:val="5"/>
            <w:tcBorders>
              <w:top w:val="nil"/>
              <w:left w:val="nil"/>
              <w:bottom w:val="nil"/>
              <w:right w:val="nil"/>
            </w:tcBorders>
            <w:shd w:val="clear" w:color="auto" w:fill="F0F0F0"/>
            <w:tcMar>
              <w:top w:w="200" w:type="dxa"/>
              <w:left w:w="1440" w:type="dxa"/>
              <w:bottom w:w="200" w:type="dxa"/>
              <w:right w:w="1440" w:type="dxa"/>
            </w:tcMar>
          </w:tcPr>
          <w:p w14:paraId="713389E7">
            <w:r>
              <w:rPr>
                <w:i/>
                <w:iCs/>
                <w:color w:val="555555"/>
                <w:sz w:val="16"/>
                <w:szCs w:val="16"/>
              </w:rPr>
              <w:t>.</w:t>
            </w:r>
          </w:p>
        </w:tc>
      </w:tr>
    </w:tbl>
    <w:p w14:paraId="2729C60A">
      <w:pPr>
        <w:sectPr>
          <w:pgSz w:w="12240" w:h="15840"/>
          <w:pgMar w:top="0" w:right="0" w:bottom="0" w:left="0" w:header="708" w:footer="708" w:gutter="0"/>
          <w:cols w:space="720" w:num="1"/>
          <w:docGrid w:linePitch="360" w:charSpace="0"/>
        </w:sectPr>
      </w:pPr>
    </w:p>
    <w:p w14:paraId="3D3766C4">
      <w:pPr>
        <w:spacing w:after="120"/>
      </w:pPr>
      <w:r>
        <w:rPr>
          <w:b/>
          <w:bCs/>
          <w:color w:val="2E6DA4"/>
          <w:sz w:val="20"/>
          <w:szCs w:val="20"/>
        </w:rPr>
        <w:t>HOW TO USE THIS TEMPLATE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E0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2489E331">
            <w:pPr>
              <w:spacing w:before="60" w:after="80"/>
            </w:pPr>
            <w:r>
              <w:rPr>
                <w:b/>
                <w:bCs/>
                <w:color w:val="1B3A5C"/>
              </w:rPr>
              <w:t>Analyst Guidance</w:t>
            </w:r>
          </w:p>
          <w:p w14:paraId="6BDFBAA6">
            <w:pPr>
              <w:spacing w:before="30" w:after="30"/>
            </w:pPr>
            <w:r>
              <w:rPr>
                <w:i/>
                <w:iCs/>
                <w:color w:val="555555"/>
                <w:sz w:val="20"/>
                <w:szCs w:val="20"/>
              </w:rPr>
              <w:t>This template is structured to mirror McKinsey-style strategy documentation. Complete every section sequentially — each builds on the last.</w:t>
            </w:r>
          </w:p>
          <w:p w14:paraId="07AA35FF">
            <w:pPr>
              <w:spacing w:before="30" w:after="30"/>
            </w:pPr>
            <w:r>
              <w:rPr>
                <w:i/>
                <w:iCs/>
                <w:color w:val="555555"/>
                <w:sz w:val="20"/>
                <w:szCs w:val="20"/>
              </w:rPr>
              <w:t>Blue callout boxes like this one contain guidance and worked examples. Replace or delete them in your final submission.</w:t>
            </w:r>
          </w:p>
          <w:p w14:paraId="6FF5DF44">
            <w:pPr>
              <w:spacing w:before="30" w:after="30"/>
            </w:pPr>
            <w:r>
              <w:rPr>
                <w:i/>
                <w:iCs/>
                <w:color w:val="555555"/>
                <w:sz w:val="20"/>
                <w:szCs w:val="20"/>
              </w:rPr>
              <w:t>Fields marked with [brackets] are mandatory fill-in zones. Underlined lines are free-text input areas.</w:t>
            </w:r>
          </w:p>
          <w:p w14:paraId="289D05C6">
            <w:pPr>
              <w:spacing w:before="30" w:after="30"/>
            </w:pPr>
            <w:r>
              <w:rPr>
                <w:i/>
                <w:iCs/>
                <w:color w:val="555555"/>
                <w:sz w:val="20"/>
                <w:szCs w:val="20"/>
              </w:rPr>
              <w:t>Supporting data, market research, and financial models should be appended as numbered exhibits.</w:t>
            </w:r>
          </w:p>
          <w:p w14:paraId="3288CF22">
            <w:pPr>
              <w:spacing w:before="30" w:after="30"/>
            </w:pPr>
            <w:r>
              <w:rPr>
                <w:i/>
                <w:iCs/>
                <w:color w:val="555555"/>
                <w:sz w:val="20"/>
                <w:szCs w:val="20"/>
              </w:rPr>
              <w:t>Recommended total length: 25–40 pages. Sections may be expanded or contracted proportionally to sector complexity.</w:t>
            </w:r>
          </w:p>
        </w:tc>
      </w:tr>
    </w:tbl>
    <w:p w14:paraId="462B8D7B">
      <w:pPr>
        <w:spacing w:line="160" w:lineRule="auto"/>
      </w:pPr>
    </w:p>
    <w:p w14:paraId="33072C9D">
      <w:pPr>
        <w:pStyle w:val="2"/>
        <w:spacing w:before="0"/>
      </w:pPr>
      <w:bookmarkStart w:id="0" w:name="_Toc224559725"/>
      <w:r>
        <w:t>Table of Contents</w:t>
      </w:r>
      <w:bookmarkEnd w:id="0"/>
    </w:p>
    <w:sdt>
      <w:sdtPr>
        <w:alias w:val="Table of Contents"/>
        <w:id w:val="-1917309356"/>
      </w:sdtPr>
      <w:sdtContent>
        <w:p w14:paraId="5A7867B9">
          <w:pPr>
            <w:pStyle w:val="15"/>
            <w:tabs>
              <w:tab w:val="right" w:leader="dot" w:pos="10070"/>
            </w:tabs>
            <w:rPr>
              <w:rFonts w:asciiTheme="minorHAnsi" w:hAnsiTheme="minorHAnsi" w:eastAsiaTheme="minorEastAsia" w:cstheme="minorBidi"/>
            </w:rPr>
          </w:pPr>
          <w:r>
            <w:fldChar w:fldCharType="begin"/>
          </w:r>
          <w:r>
            <w:instrText xml:space="preserve">TOC \h \o "1-3"</w:instrText>
          </w:r>
          <w:r>
            <w:fldChar w:fldCharType="separate"/>
          </w:r>
          <w:r>
            <w:fldChar w:fldCharType="begin"/>
          </w:r>
          <w:r>
            <w:instrText xml:space="preserve"> HYPERLINK \l "_Toc224559725" </w:instrText>
          </w:r>
          <w:r>
            <w:fldChar w:fldCharType="separate"/>
          </w:r>
          <w:r>
            <w:rPr>
              <w:rStyle w:val="13"/>
            </w:rPr>
            <w:t>Table of Contents</w:t>
          </w:r>
          <w:r>
            <w:tab/>
          </w:r>
          <w:r>
            <w:fldChar w:fldCharType="begin"/>
          </w:r>
          <w:r>
            <w:instrText xml:space="preserve"> PAGEREF _Toc224559725 \h </w:instrText>
          </w:r>
          <w:r>
            <w:fldChar w:fldCharType="separate"/>
          </w:r>
          <w:r>
            <w:t>2</w:t>
          </w:r>
          <w:r>
            <w:fldChar w:fldCharType="end"/>
          </w:r>
          <w:r>
            <w:fldChar w:fldCharType="end"/>
          </w:r>
        </w:p>
        <w:p w14:paraId="05FD1178">
          <w:pPr>
            <w:pStyle w:val="15"/>
            <w:tabs>
              <w:tab w:val="right" w:leader="dot" w:pos="10070"/>
            </w:tabs>
            <w:rPr>
              <w:rFonts w:asciiTheme="minorHAnsi" w:hAnsiTheme="minorHAnsi" w:eastAsiaTheme="minorEastAsia" w:cstheme="minorBidi"/>
            </w:rPr>
          </w:pPr>
          <w:r>
            <w:fldChar w:fldCharType="begin"/>
          </w:r>
          <w:r>
            <w:instrText xml:space="preserve"> HYPERLINK \l "_Toc224559726" </w:instrText>
          </w:r>
          <w:r>
            <w:fldChar w:fldCharType="separate"/>
          </w:r>
          <w:r>
            <w:rPr>
              <w:rStyle w:val="13"/>
            </w:rPr>
            <w:t>1  Executive Summary</w:t>
          </w:r>
          <w:r>
            <w:tab/>
          </w:r>
          <w:r>
            <w:fldChar w:fldCharType="begin"/>
          </w:r>
          <w:r>
            <w:instrText xml:space="preserve"> PAGEREF _Toc224559726 \h </w:instrText>
          </w:r>
          <w:r>
            <w:fldChar w:fldCharType="separate"/>
          </w:r>
          <w:r>
            <w:t>4</w:t>
          </w:r>
          <w:r>
            <w:fldChar w:fldCharType="end"/>
          </w:r>
          <w:r>
            <w:fldChar w:fldCharType="end"/>
          </w:r>
        </w:p>
        <w:p w14:paraId="752FAA18">
          <w:pPr>
            <w:pStyle w:val="16"/>
            <w:tabs>
              <w:tab w:val="right" w:leader="dot" w:pos="10070"/>
            </w:tabs>
            <w:rPr>
              <w:rFonts w:asciiTheme="minorHAnsi" w:hAnsiTheme="minorHAnsi" w:eastAsiaTheme="minorEastAsia" w:cstheme="minorBidi"/>
            </w:rPr>
          </w:pPr>
          <w:r>
            <w:fldChar w:fldCharType="begin"/>
          </w:r>
          <w:r>
            <w:instrText xml:space="preserve"> HYPERLINK \l "_Toc224559727" </w:instrText>
          </w:r>
          <w:r>
            <w:fldChar w:fldCharType="separate"/>
          </w:r>
          <w:r>
            <w:rPr>
              <w:rStyle w:val="13"/>
            </w:rPr>
            <w:t>Strategic Rationale</w:t>
          </w:r>
          <w:r>
            <w:tab/>
          </w:r>
          <w:r>
            <w:fldChar w:fldCharType="begin"/>
          </w:r>
          <w:r>
            <w:instrText xml:space="preserve"> PAGEREF _Toc224559727 \h </w:instrText>
          </w:r>
          <w:r>
            <w:fldChar w:fldCharType="separate"/>
          </w:r>
          <w:r>
            <w:t>4</w:t>
          </w:r>
          <w:r>
            <w:fldChar w:fldCharType="end"/>
          </w:r>
          <w:r>
            <w:fldChar w:fldCharType="end"/>
          </w:r>
        </w:p>
        <w:p w14:paraId="3D63357F">
          <w:pPr>
            <w:pStyle w:val="16"/>
            <w:tabs>
              <w:tab w:val="right" w:leader="dot" w:pos="10070"/>
            </w:tabs>
            <w:rPr>
              <w:rFonts w:asciiTheme="minorHAnsi" w:hAnsiTheme="minorHAnsi" w:eastAsiaTheme="minorEastAsia" w:cstheme="minorBidi"/>
            </w:rPr>
          </w:pPr>
          <w:r>
            <w:fldChar w:fldCharType="begin"/>
          </w:r>
          <w:r>
            <w:instrText xml:space="preserve"> HYPERLINK \l "_Toc224559728" </w:instrText>
          </w:r>
          <w:r>
            <w:fldChar w:fldCharType="separate"/>
          </w:r>
          <w:r>
            <w:rPr>
              <w:rStyle w:val="13"/>
            </w:rPr>
            <w:t>Key Financials at a Glance</w:t>
          </w:r>
          <w:r>
            <w:tab/>
          </w:r>
          <w:r>
            <w:fldChar w:fldCharType="begin"/>
          </w:r>
          <w:r>
            <w:instrText xml:space="preserve"> PAGEREF _Toc224559728 \h </w:instrText>
          </w:r>
          <w:r>
            <w:fldChar w:fldCharType="separate"/>
          </w:r>
          <w:r>
            <w:t>4</w:t>
          </w:r>
          <w:r>
            <w:fldChar w:fldCharType="end"/>
          </w:r>
          <w:r>
            <w:fldChar w:fldCharType="end"/>
          </w:r>
        </w:p>
        <w:p w14:paraId="040A6CC2">
          <w:pPr>
            <w:pStyle w:val="15"/>
            <w:tabs>
              <w:tab w:val="right" w:leader="dot" w:pos="10070"/>
            </w:tabs>
            <w:rPr>
              <w:rFonts w:asciiTheme="minorHAnsi" w:hAnsiTheme="minorHAnsi" w:eastAsiaTheme="minorEastAsia" w:cstheme="minorBidi"/>
            </w:rPr>
          </w:pPr>
          <w:r>
            <w:fldChar w:fldCharType="begin"/>
          </w:r>
          <w:r>
            <w:instrText xml:space="preserve"> HYPERLINK \l "_Toc224559729" </w:instrText>
          </w:r>
          <w:r>
            <w:fldChar w:fldCharType="separate"/>
          </w:r>
          <w:r>
            <w:rPr>
              <w:rStyle w:val="13"/>
            </w:rPr>
            <w:t>2  Market Opportunity Analysis</w:t>
          </w:r>
          <w:r>
            <w:tab/>
          </w:r>
          <w:r>
            <w:fldChar w:fldCharType="begin"/>
          </w:r>
          <w:r>
            <w:instrText xml:space="preserve"> PAGEREF _Toc224559729 \h </w:instrText>
          </w:r>
          <w:r>
            <w:fldChar w:fldCharType="separate"/>
          </w:r>
          <w:r>
            <w:t>5</w:t>
          </w:r>
          <w:r>
            <w:fldChar w:fldCharType="end"/>
          </w:r>
          <w:r>
            <w:fldChar w:fldCharType="end"/>
          </w:r>
        </w:p>
        <w:p w14:paraId="1C758CC8">
          <w:pPr>
            <w:pStyle w:val="16"/>
            <w:tabs>
              <w:tab w:val="right" w:leader="dot" w:pos="10070"/>
            </w:tabs>
            <w:rPr>
              <w:rFonts w:asciiTheme="minorHAnsi" w:hAnsiTheme="minorHAnsi" w:eastAsiaTheme="minorEastAsia" w:cstheme="minorBidi"/>
            </w:rPr>
          </w:pPr>
          <w:r>
            <w:fldChar w:fldCharType="begin"/>
          </w:r>
          <w:r>
            <w:instrText xml:space="preserve"> HYPERLINK \l "_Toc224559730" </w:instrText>
          </w:r>
          <w:r>
            <w:fldChar w:fldCharType="separate"/>
          </w:r>
          <w:r>
            <w:rPr>
              <w:rStyle w:val="13"/>
            </w:rPr>
            <w:t>2.1 Target Market Definition</w:t>
          </w:r>
          <w:r>
            <w:tab/>
          </w:r>
          <w:r>
            <w:fldChar w:fldCharType="begin"/>
          </w:r>
          <w:r>
            <w:instrText xml:space="preserve"> PAGEREF _Toc224559730 \h </w:instrText>
          </w:r>
          <w:r>
            <w:fldChar w:fldCharType="separate"/>
          </w:r>
          <w:r>
            <w:t>5</w:t>
          </w:r>
          <w:r>
            <w:fldChar w:fldCharType="end"/>
          </w:r>
          <w:r>
            <w:fldChar w:fldCharType="end"/>
          </w:r>
        </w:p>
        <w:p w14:paraId="7BCB44C0">
          <w:pPr>
            <w:pStyle w:val="16"/>
            <w:tabs>
              <w:tab w:val="right" w:leader="dot" w:pos="10070"/>
            </w:tabs>
            <w:rPr>
              <w:rFonts w:asciiTheme="minorHAnsi" w:hAnsiTheme="minorHAnsi" w:eastAsiaTheme="minorEastAsia" w:cstheme="minorBidi"/>
            </w:rPr>
          </w:pPr>
          <w:r>
            <w:fldChar w:fldCharType="begin"/>
          </w:r>
          <w:r>
            <w:instrText xml:space="preserve"> HYPERLINK \l "_Toc224559731" </w:instrText>
          </w:r>
          <w:r>
            <w:fldChar w:fldCharType="separate"/>
          </w:r>
          <w:r>
            <w:rPr>
              <w:rStyle w:val="13"/>
            </w:rPr>
            <w:t>2.2 Market Sizing</w:t>
          </w:r>
          <w:r>
            <w:tab/>
          </w:r>
          <w:r>
            <w:fldChar w:fldCharType="begin"/>
          </w:r>
          <w:r>
            <w:instrText xml:space="preserve"> PAGEREF _Toc224559731 \h </w:instrText>
          </w:r>
          <w:r>
            <w:fldChar w:fldCharType="separate"/>
          </w:r>
          <w:r>
            <w:t>5</w:t>
          </w:r>
          <w:r>
            <w:fldChar w:fldCharType="end"/>
          </w:r>
          <w:r>
            <w:fldChar w:fldCharType="end"/>
          </w:r>
        </w:p>
        <w:p w14:paraId="32B081D3">
          <w:pPr>
            <w:pStyle w:val="16"/>
            <w:tabs>
              <w:tab w:val="right" w:leader="dot" w:pos="10070"/>
            </w:tabs>
            <w:rPr>
              <w:rFonts w:asciiTheme="minorHAnsi" w:hAnsiTheme="minorHAnsi" w:eastAsiaTheme="minorEastAsia" w:cstheme="minorBidi"/>
            </w:rPr>
          </w:pPr>
          <w:r>
            <w:fldChar w:fldCharType="begin"/>
          </w:r>
          <w:r>
            <w:instrText xml:space="preserve"> HYPERLINK \l "_Toc224559732" </w:instrText>
          </w:r>
          <w:r>
            <w:fldChar w:fldCharType="separate"/>
          </w:r>
          <w:r>
            <w:rPr>
              <w:rStyle w:val="13"/>
            </w:rPr>
            <w:t>2.3 Key Customer Pain Points</w:t>
          </w:r>
          <w:r>
            <w:tab/>
          </w:r>
          <w:r>
            <w:fldChar w:fldCharType="begin"/>
          </w:r>
          <w:r>
            <w:instrText xml:space="preserve"> PAGEREF _Toc224559732 \h </w:instrText>
          </w:r>
          <w:r>
            <w:fldChar w:fldCharType="separate"/>
          </w:r>
          <w:r>
            <w:t>5</w:t>
          </w:r>
          <w:r>
            <w:fldChar w:fldCharType="end"/>
          </w:r>
          <w:r>
            <w:fldChar w:fldCharType="end"/>
          </w:r>
        </w:p>
        <w:p w14:paraId="1D478D00">
          <w:pPr>
            <w:pStyle w:val="16"/>
            <w:tabs>
              <w:tab w:val="right" w:leader="dot" w:pos="10070"/>
            </w:tabs>
            <w:rPr>
              <w:rFonts w:asciiTheme="minorHAnsi" w:hAnsiTheme="minorHAnsi" w:eastAsiaTheme="minorEastAsia" w:cstheme="minorBidi"/>
            </w:rPr>
          </w:pPr>
          <w:r>
            <w:fldChar w:fldCharType="begin"/>
          </w:r>
          <w:r>
            <w:instrText xml:space="preserve"> HYPERLINK \l "_Toc224559733" </w:instrText>
          </w:r>
          <w:r>
            <w:fldChar w:fldCharType="separate"/>
          </w:r>
          <w:r>
            <w:rPr>
              <w:rStyle w:val="13"/>
            </w:rPr>
            <w:t>2.4 Market Dynamics &amp; Trends</w:t>
          </w:r>
          <w:r>
            <w:tab/>
          </w:r>
          <w:r>
            <w:fldChar w:fldCharType="begin"/>
          </w:r>
          <w:r>
            <w:instrText xml:space="preserve"> PAGEREF _Toc224559733 \h </w:instrText>
          </w:r>
          <w:r>
            <w:fldChar w:fldCharType="separate"/>
          </w:r>
          <w:r>
            <w:t>6</w:t>
          </w:r>
          <w:r>
            <w:fldChar w:fldCharType="end"/>
          </w:r>
          <w:r>
            <w:fldChar w:fldCharType="end"/>
          </w:r>
        </w:p>
        <w:p w14:paraId="52A31B4E">
          <w:pPr>
            <w:pStyle w:val="15"/>
            <w:tabs>
              <w:tab w:val="right" w:leader="dot" w:pos="10070"/>
            </w:tabs>
            <w:rPr>
              <w:rFonts w:asciiTheme="minorHAnsi" w:hAnsiTheme="minorHAnsi" w:eastAsiaTheme="minorEastAsia" w:cstheme="minorBidi"/>
            </w:rPr>
          </w:pPr>
          <w:r>
            <w:fldChar w:fldCharType="begin"/>
          </w:r>
          <w:r>
            <w:instrText xml:space="preserve"> HYPERLINK \l "_Toc224559734" </w:instrText>
          </w:r>
          <w:r>
            <w:fldChar w:fldCharType="separate"/>
          </w:r>
          <w:r>
            <w:rPr>
              <w:rStyle w:val="13"/>
            </w:rPr>
            <w:t>3 Customer Segmentation</w:t>
          </w:r>
          <w:r>
            <w:tab/>
          </w:r>
          <w:r>
            <w:fldChar w:fldCharType="begin"/>
          </w:r>
          <w:r>
            <w:instrText xml:space="preserve"> PAGEREF _Toc224559734 \h </w:instrText>
          </w:r>
          <w:r>
            <w:fldChar w:fldCharType="separate"/>
          </w:r>
          <w:r>
            <w:t>7</w:t>
          </w:r>
          <w:r>
            <w:fldChar w:fldCharType="end"/>
          </w:r>
          <w:r>
            <w:fldChar w:fldCharType="end"/>
          </w:r>
        </w:p>
        <w:p w14:paraId="06D07CBA">
          <w:pPr>
            <w:pStyle w:val="16"/>
            <w:tabs>
              <w:tab w:val="right" w:leader="dot" w:pos="10070"/>
            </w:tabs>
            <w:rPr>
              <w:rFonts w:asciiTheme="minorHAnsi" w:hAnsiTheme="minorHAnsi" w:eastAsiaTheme="minorEastAsia" w:cstheme="minorBidi"/>
            </w:rPr>
          </w:pPr>
          <w:r>
            <w:fldChar w:fldCharType="begin"/>
          </w:r>
          <w:r>
            <w:instrText xml:space="preserve"> HYPERLINK \l "_Toc224559735" </w:instrText>
          </w:r>
          <w:r>
            <w:fldChar w:fldCharType="separate"/>
          </w:r>
          <w:r>
            <w:rPr>
              <w:rStyle w:val="13"/>
            </w:rPr>
            <w:t>3.1 Primary Customer Segment</w:t>
          </w:r>
          <w:r>
            <w:tab/>
          </w:r>
          <w:r>
            <w:fldChar w:fldCharType="begin"/>
          </w:r>
          <w:r>
            <w:instrText xml:space="preserve"> PAGEREF _Toc224559735 \h </w:instrText>
          </w:r>
          <w:r>
            <w:fldChar w:fldCharType="separate"/>
          </w:r>
          <w:r>
            <w:t>7</w:t>
          </w:r>
          <w:r>
            <w:fldChar w:fldCharType="end"/>
          </w:r>
          <w:r>
            <w:fldChar w:fldCharType="end"/>
          </w:r>
        </w:p>
        <w:p w14:paraId="54E6E951">
          <w:pPr>
            <w:pStyle w:val="16"/>
            <w:tabs>
              <w:tab w:val="right" w:leader="dot" w:pos="10070"/>
            </w:tabs>
            <w:rPr>
              <w:rFonts w:asciiTheme="minorHAnsi" w:hAnsiTheme="minorHAnsi" w:eastAsiaTheme="minorEastAsia" w:cstheme="minorBidi"/>
            </w:rPr>
          </w:pPr>
          <w:r>
            <w:fldChar w:fldCharType="begin"/>
          </w:r>
          <w:r>
            <w:instrText xml:space="preserve"> HYPERLINK \l "_Toc224559736" </w:instrText>
          </w:r>
          <w:r>
            <w:fldChar w:fldCharType="separate"/>
          </w:r>
          <w:r>
            <w:rPr>
              <w:rStyle w:val="13"/>
            </w:rPr>
            <w:t>3.2 Secondary Customer Segment(s)</w:t>
          </w:r>
          <w:r>
            <w:tab/>
          </w:r>
          <w:r>
            <w:fldChar w:fldCharType="begin"/>
          </w:r>
          <w:r>
            <w:instrText xml:space="preserve"> PAGEREF _Toc224559736 \h </w:instrText>
          </w:r>
          <w:r>
            <w:fldChar w:fldCharType="separate"/>
          </w:r>
          <w:r>
            <w:t>7</w:t>
          </w:r>
          <w:r>
            <w:fldChar w:fldCharType="end"/>
          </w:r>
          <w:r>
            <w:fldChar w:fldCharType="end"/>
          </w:r>
        </w:p>
        <w:p w14:paraId="54188F39">
          <w:pPr>
            <w:pStyle w:val="16"/>
            <w:tabs>
              <w:tab w:val="right" w:leader="dot" w:pos="10070"/>
            </w:tabs>
            <w:rPr>
              <w:rFonts w:asciiTheme="minorHAnsi" w:hAnsiTheme="minorHAnsi" w:eastAsiaTheme="minorEastAsia" w:cstheme="minorBidi"/>
            </w:rPr>
          </w:pPr>
          <w:r>
            <w:fldChar w:fldCharType="begin"/>
          </w:r>
          <w:r>
            <w:instrText xml:space="preserve"> HYPERLINK \l "_Toc224559737" </w:instrText>
          </w:r>
          <w:r>
            <w:fldChar w:fldCharType="separate"/>
          </w:r>
          <w:r>
            <w:rPr>
              <w:rStyle w:val="13"/>
            </w:rPr>
            <w:t>3.3 Customer Persona</w:t>
          </w:r>
          <w:r>
            <w:tab/>
          </w:r>
          <w:r>
            <w:fldChar w:fldCharType="begin"/>
          </w:r>
          <w:r>
            <w:instrText xml:space="preserve"> PAGEREF _Toc224559737 \h </w:instrText>
          </w:r>
          <w:r>
            <w:fldChar w:fldCharType="separate"/>
          </w:r>
          <w:r>
            <w:t>7</w:t>
          </w:r>
          <w:r>
            <w:fldChar w:fldCharType="end"/>
          </w:r>
          <w:r>
            <w:fldChar w:fldCharType="end"/>
          </w:r>
        </w:p>
        <w:p w14:paraId="1B8268DA">
          <w:pPr>
            <w:pStyle w:val="15"/>
            <w:tabs>
              <w:tab w:val="right" w:leader="dot" w:pos="10070"/>
            </w:tabs>
            <w:rPr>
              <w:rFonts w:asciiTheme="minorHAnsi" w:hAnsiTheme="minorHAnsi" w:eastAsiaTheme="minorEastAsia" w:cstheme="minorBidi"/>
            </w:rPr>
          </w:pPr>
          <w:r>
            <w:fldChar w:fldCharType="begin"/>
          </w:r>
          <w:r>
            <w:instrText xml:space="preserve"> HYPERLINK \l "_Toc224559738" </w:instrText>
          </w:r>
          <w:r>
            <w:fldChar w:fldCharType="separate"/>
          </w:r>
          <w:r>
            <w:rPr>
              <w:rStyle w:val="13"/>
            </w:rPr>
            <w:t>4 Value Proposition</w:t>
          </w:r>
          <w:r>
            <w:tab/>
          </w:r>
          <w:r>
            <w:fldChar w:fldCharType="begin"/>
          </w:r>
          <w:r>
            <w:instrText xml:space="preserve"> PAGEREF _Toc224559738 \h </w:instrText>
          </w:r>
          <w:r>
            <w:fldChar w:fldCharType="separate"/>
          </w:r>
          <w:r>
            <w:t>9</w:t>
          </w:r>
          <w:r>
            <w:fldChar w:fldCharType="end"/>
          </w:r>
          <w:r>
            <w:fldChar w:fldCharType="end"/>
          </w:r>
        </w:p>
        <w:p w14:paraId="5D8E8F4F">
          <w:pPr>
            <w:pStyle w:val="16"/>
            <w:tabs>
              <w:tab w:val="right" w:leader="dot" w:pos="10070"/>
            </w:tabs>
            <w:rPr>
              <w:rFonts w:asciiTheme="minorHAnsi" w:hAnsiTheme="minorHAnsi" w:eastAsiaTheme="minorEastAsia" w:cstheme="minorBidi"/>
            </w:rPr>
          </w:pPr>
          <w:r>
            <w:fldChar w:fldCharType="begin"/>
          </w:r>
          <w:r>
            <w:instrText xml:space="preserve"> HYPERLINK \l "_Toc224559739" </w:instrText>
          </w:r>
          <w:r>
            <w:fldChar w:fldCharType="separate"/>
          </w:r>
          <w:r>
            <w:rPr>
              <w:rStyle w:val="13"/>
            </w:rPr>
            <w:t>4.1  Value Proposition Statement</w:t>
          </w:r>
          <w:r>
            <w:tab/>
          </w:r>
          <w:r>
            <w:fldChar w:fldCharType="begin"/>
          </w:r>
          <w:r>
            <w:instrText xml:space="preserve"> PAGEREF _Toc224559739 \h </w:instrText>
          </w:r>
          <w:r>
            <w:fldChar w:fldCharType="separate"/>
          </w:r>
          <w:r>
            <w:t>9</w:t>
          </w:r>
          <w:r>
            <w:fldChar w:fldCharType="end"/>
          </w:r>
          <w:r>
            <w:fldChar w:fldCharType="end"/>
          </w:r>
        </w:p>
        <w:p w14:paraId="7150899D">
          <w:pPr>
            <w:pStyle w:val="15"/>
            <w:tabs>
              <w:tab w:val="right" w:leader="dot" w:pos="10070"/>
            </w:tabs>
            <w:rPr>
              <w:rFonts w:asciiTheme="minorHAnsi" w:hAnsiTheme="minorHAnsi" w:eastAsiaTheme="minorEastAsia" w:cstheme="minorBidi"/>
            </w:rPr>
          </w:pPr>
          <w:r>
            <w:fldChar w:fldCharType="begin"/>
          </w:r>
          <w:r>
            <w:instrText xml:space="preserve"> HYPERLINK \l "_Toc224559740" </w:instrText>
          </w:r>
          <w:r>
            <w:fldChar w:fldCharType="separate"/>
          </w:r>
          <w:r>
            <w:rPr>
              <w:rStyle w:val="13"/>
            </w:rPr>
            <w:t>5  Product / Service Design</w:t>
          </w:r>
          <w:r>
            <w:tab/>
          </w:r>
          <w:r>
            <w:fldChar w:fldCharType="begin"/>
          </w:r>
          <w:r>
            <w:instrText xml:space="preserve"> PAGEREF _Toc224559740 \h </w:instrText>
          </w:r>
          <w:r>
            <w:fldChar w:fldCharType="separate"/>
          </w:r>
          <w:r>
            <w:t>10</w:t>
          </w:r>
          <w:r>
            <w:fldChar w:fldCharType="end"/>
          </w:r>
          <w:r>
            <w:fldChar w:fldCharType="end"/>
          </w:r>
        </w:p>
        <w:p w14:paraId="12D42C31">
          <w:pPr>
            <w:pStyle w:val="16"/>
            <w:tabs>
              <w:tab w:val="right" w:leader="dot" w:pos="10070"/>
            </w:tabs>
            <w:rPr>
              <w:rFonts w:asciiTheme="minorHAnsi" w:hAnsiTheme="minorHAnsi" w:eastAsiaTheme="minorEastAsia" w:cstheme="minorBidi"/>
            </w:rPr>
          </w:pPr>
          <w:r>
            <w:fldChar w:fldCharType="begin"/>
          </w:r>
          <w:r>
            <w:instrText xml:space="preserve"> HYPERLINK \l "_Toc224559741" </w:instrText>
          </w:r>
          <w:r>
            <w:fldChar w:fldCharType="separate"/>
          </w:r>
          <w:r>
            <w:rPr>
              <w:rStyle w:val="13"/>
            </w:rPr>
            <w:t>5.1  Product Overview</w:t>
          </w:r>
          <w:r>
            <w:tab/>
          </w:r>
          <w:r>
            <w:fldChar w:fldCharType="begin"/>
          </w:r>
          <w:r>
            <w:instrText xml:space="preserve"> PAGEREF _Toc224559741 \h </w:instrText>
          </w:r>
          <w:r>
            <w:fldChar w:fldCharType="separate"/>
          </w:r>
          <w:r>
            <w:t>10</w:t>
          </w:r>
          <w:r>
            <w:fldChar w:fldCharType="end"/>
          </w:r>
          <w:r>
            <w:fldChar w:fldCharType="end"/>
          </w:r>
        </w:p>
        <w:p w14:paraId="5D63521E">
          <w:pPr>
            <w:pStyle w:val="16"/>
            <w:tabs>
              <w:tab w:val="right" w:leader="dot" w:pos="10070"/>
            </w:tabs>
            <w:rPr>
              <w:rFonts w:asciiTheme="minorHAnsi" w:hAnsiTheme="minorHAnsi" w:eastAsiaTheme="minorEastAsia" w:cstheme="minorBidi"/>
            </w:rPr>
          </w:pPr>
          <w:r>
            <w:fldChar w:fldCharType="begin"/>
          </w:r>
          <w:r>
            <w:instrText xml:space="preserve"> HYPERLINK \l "_Toc224559742" </w:instrText>
          </w:r>
          <w:r>
            <w:fldChar w:fldCharType="separate"/>
          </w:r>
          <w:r>
            <w:rPr>
              <w:rStyle w:val="13"/>
            </w:rPr>
            <w:t>5.2 Feature Specification (MVP vs Full Product)</w:t>
          </w:r>
          <w:r>
            <w:tab/>
          </w:r>
          <w:r>
            <w:fldChar w:fldCharType="begin"/>
          </w:r>
          <w:r>
            <w:instrText xml:space="preserve"> PAGEREF _Toc224559742 \h </w:instrText>
          </w:r>
          <w:r>
            <w:fldChar w:fldCharType="separate"/>
          </w:r>
          <w:r>
            <w:t>10</w:t>
          </w:r>
          <w:r>
            <w:fldChar w:fldCharType="end"/>
          </w:r>
          <w:r>
            <w:fldChar w:fldCharType="end"/>
          </w:r>
        </w:p>
        <w:p w14:paraId="4A7404B1">
          <w:pPr>
            <w:pStyle w:val="16"/>
            <w:tabs>
              <w:tab w:val="right" w:leader="dot" w:pos="10070"/>
            </w:tabs>
            <w:rPr>
              <w:rFonts w:asciiTheme="minorHAnsi" w:hAnsiTheme="minorHAnsi" w:eastAsiaTheme="minorEastAsia" w:cstheme="minorBidi"/>
            </w:rPr>
          </w:pPr>
          <w:r>
            <w:fldChar w:fldCharType="begin"/>
          </w:r>
          <w:r>
            <w:instrText xml:space="preserve"> HYPERLINK \l "_Toc224559743" </w:instrText>
          </w:r>
          <w:r>
            <w:fldChar w:fldCharType="separate"/>
          </w:r>
          <w:r>
            <w:rPr>
              <w:rStyle w:val="13"/>
            </w:rPr>
            <w:t>5.3 Pricing Strategy</w:t>
          </w:r>
          <w:r>
            <w:tab/>
          </w:r>
          <w:r>
            <w:fldChar w:fldCharType="begin"/>
          </w:r>
          <w:r>
            <w:instrText xml:space="preserve"> PAGEREF _Toc224559743 \h </w:instrText>
          </w:r>
          <w:r>
            <w:fldChar w:fldCharType="separate"/>
          </w:r>
          <w:r>
            <w:t>10</w:t>
          </w:r>
          <w:r>
            <w:fldChar w:fldCharType="end"/>
          </w:r>
          <w:r>
            <w:fldChar w:fldCharType="end"/>
          </w:r>
        </w:p>
        <w:p w14:paraId="43372708">
          <w:pPr>
            <w:pStyle w:val="15"/>
            <w:tabs>
              <w:tab w:val="right" w:leader="dot" w:pos="10070"/>
            </w:tabs>
            <w:rPr>
              <w:rFonts w:asciiTheme="minorHAnsi" w:hAnsiTheme="minorHAnsi" w:eastAsiaTheme="minorEastAsia" w:cstheme="minorBidi"/>
            </w:rPr>
          </w:pPr>
          <w:r>
            <w:fldChar w:fldCharType="begin"/>
          </w:r>
          <w:r>
            <w:instrText xml:space="preserve"> HYPERLINK \l "_Toc224559744" </w:instrText>
          </w:r>
          <w:r>
            <w:fldChar w:fldCharType="separate"/>
          </w:r>
          <w:r>
            <w:rPr>
              <w:rStyle w:val="13"/>
            </w:rPr>
            <w:t>6 Revenue Model</w:t>
          </w:r>
          <w:r>
            <w:tab/>
          </w:r>
          <w:r>
            <w:fldChar w:fldCharType="begin"/>
          </w:r>
          <w:r>
            <w:instrText xml:space="preserve"> PAGEREF _Toc224559744 \h </w:instrText>
          </w:r>
          <w:r>
            <w:fldChar w:fldCharType="separate"/>
          </w:r>
          <w:r>
            <w:t>11</w:t>
          </w:r>
          <w:r>
            <w:fldChar w:fldCharType="end"/>
          </w:r>
          <w:r>
            <w:fldChar w:fldCharType="end"/>
          </w:r>
        </w:p>
        <w:p w14:paraId="68EB0DC7">
          <w:pPr>
            <w:pStyle w:val="16"/>
            <w:tabs>
              <w:tab w:val="right" w:leader="dot" w:pos="10070"/>
            </w:tabs>
            <w:rPr>
              <w:rFonts w:asciiTheme="minorHAnsi" w:hAnsiTheme="minorHAnsi" w:eastAsiaTheme="minorEastAsia" w:cstheme="minorBidi"/>
            </w:rPr>
          </w:pPr>
          <w:r>
            <w:fldChar w:fldCharType="begin"/>
          </w:r>
          <w:r>
            <w:instrText xml:space="preserve"> HYPERLINK \l "_Toc224559745" </w:instrText>
          </w:r>
          <w:r>
            <w:fldChar w:fldCharType="separate"/>
          </w:r>
          <w:r>
            <w:rPr>
              <w:rStyle w:val="13"/>
            </w:rPr>
            <w:t>6.1  Revenue Streams</w:t>
          </w:r>
          <w:r>
            <w:tab/>
          </w:r>
          <w:r>
            <w:fldChar w:fldCharType="begin"/>
          </w:r>
          <w:r>
            <w:instrText xml:space="preserve"> PAGEREF _Toc224559745 \h </w:instrText>
          </w:r>
          <w:r>
            <w:fldChar w:fldCharType="separate"/>
          </w:r>
          <w:r>
            <w:t>11</w:t>
          </w:r>
          <w:r>
            <w:fldChar w:fldCharType="end"/>
          </w:r>
          <w:r>
            <w:fldChar w:fldCharType="end"/>
          </w:r>
        </w:p>
        <w:p w14:paraId="08FE2675">
          <w:pPr>
            <w:pStyle w:val="15"/>
            <w:tabs>
              <w:tab w:val="right" w:leader="dot" w:pos="10070"/>
            </w:tabs>
            <w:rPr>
              <w:rFonts w:asciiTheme="minorHAnsi" w:hAnsiTheme="minorHAnsi" w:eastAsiaTheme="minorEastAsia" w:cstheme="minorBidi"/>
            </w:rPr>
          </w:pPr>
          <w:r>
            <w:fldChar w:fldCharType="begin"/>
          </w:r>
          <w:r>
            <w:instrText xml:space="preserve"> HYPERLINK \l "_Toc224559746" </w:instrText>
          </w:r>
          <w:r>
            <w:fldChar w:fldCharType="separate"/>
          </w:r>
          <w:r>
            <w:rPr>
              <w:rStyle w:val="13"/>
            </w:rPr>
            <w:t>7  Unit Economics</w:t>
          </w:r>
          <w:r>
            <w:tab/>
          </w:r>
          <w:r>
            <w:fldChar w:fldCharType="begin"/>
          </w:r>
          <w:r>
            <w:instrText xml:space="preserve"> PAGEREF _Toc224559746 \h </w:instrText>
          </w:r>
          <w:r>
            <w:fldChar w:fldCharType="separate"/>
          </w:r>
          <w:r>
            <w:t>12</w:t>
          </w:r>
          <w:r>
            <w:fldChar w:fldCharType="end"/>
          </w:r>
          <w:r>
            <w:fldChar w:fldCharType="end"/>
          </w:r>
        </w:p>
        <w:p w14:paraId="19583372">
          <w:pPr>
            <w:pStyle w:val="16"/>
            <w:tabs>
              <w:tab w:val="right" w:leader="dot" w:pos="10070"/>
            </w:tabs>
            <w:rPr>
              <w:rFonts w:asciiTheme="minorHAnsi" w:hAnsiTheme="minorHAnsi" w:eastAsiaTheme="minorEastAsia" w:cstheme="minorBidi"/>
            </w:rPr>
          </w:pPr>
          <w:r>
            <w:fldChar w:fldCharType="begin"/>
          </w:r>
          <w:r>
            <w:instrText xml:space="preserve"> HYPERLINK \l "_Toc224559747" </w:instrText>
          </w:r>
          <w:r>
            <w:fldChar w:fldCharType="separate"/>
          </w:r>
          <w:r>
            <w:rPr>
              <w:rStyle w:val="13"/>
            </w:rPr>
            <w:t>7.1  Cost Structure</w:t>
          </w:r>
          <w:r>
            <w:tab/>
          </w:r>
          <w:r>
            <w:fldChar w:fldCharType="begin"/>
          </w:r>
          <w:r>
            <w:instrText xml:space="preserve"> PAGEREF _Toc224559747 \h </w:instrText>
          </w:r>
          <w:r>
            <w:fldChar w:fldCharType="separate"/>
          </w:r>
          <w:r>
            <w:t>12</w:t>
          </w:r>
          <w:r>
            <w:fldChar w:fldCharType="end"/>
          </w:r>
          <w:r>
            <w:fldChar w:fldCharType="end"/>
          </w:r>
        </w:p>
        <w:p w14:paraId="316128D9">
          <w:pPr>
            <w:pStyle w:val="16"/>
            <w:tabs>
              <w:tab w:val="right" w:leader="dot" w:pos="10070"/>
            </w:tabs>
            <w:rPr>
              <w:rFonts w:asciiTheme="minorHAnsi" w:hAnsiTheme="minorHAnsi" w:eastAsiaTheme="minorEastAsia" w:cstheme="minorBidi"/>
            </w:rPr>
          </w:pPr>
          <w:r>
            <w:fldChar w:fldCharType="begin"/>
          </w:r>
          <w:r>
            <w:instrText xml:space="preserve"> HYPERLINK \l "_Toc224559748" </w:instrText>
          </w:r>
          <w:r>
            <w:fldChar w:fldCharType="separate"/>
          </w:r>
          <w:r>
            <w:rPr>
              <w:rStyle w:val="13"/>
            </w:rPr>
            <w:t>7.2  LTV : CAC Analysis</w:t>
          </w:r>
          <w:r>
            <w:tab/>
          </w:r>
          <w:r>
            <w:fldChar w:fldCharType="begin"/>
          </w:r>
          <w:r>
            <w:instrText xml:space="preserve"> PAGEREF _Toc224559748 \h </w:instrText>
          </w:r>
          <w:r>
            <w:fldChar w:fldCharType="separate"/>
          </w:r>
          <w:r>
            <w:t>12</w:t>
          </w:r>
          <w:r>
            <w:fldChar w:fldCharType="end"/>
          </w:r>
          <w:r>
            <w:fldChar w:fldCharType="end"/>
          </w:r>
        </w:p>
        <w:p w14:paraId="5D595398">
          <w:pPr>
            <w:pStyle w:val="16"/>
            <w:tabs>
              <w:tab w:val="right" w:leader="dot" w:pos="10070"/>
            </w:tabs>
            <w:rPr>
              <w:rFonts w:asciiTheme="minorHAnsi" w:hAnsiTheme="minorHAnsi" w:eastAsiaTheme="minorEastAsia" w:cstheme="minorBidi"/>
            </w:rPr>
          </w:pPr>
          <w:r>
            <w:fldChar w:fldCharType="begin"/>
          </w:r>
          <w:r>
            <w:instrText xml:space="preserve"> HYPERLINK \l "_Toc224559749" </w:instrText>
          </w:r>
          <w:r>
            <w:fldChar w:fldCharType="separate"/>
          </w:r>
          <w:r>
            <w:rPr>
              <w:rStyle w:val="13"/>
            </w:rPr>
            <w:t>7.3  Break-Even Analysis</w:t>
          </w:r>
          <w:r>
            <w:tab/>
          </w:r>
          <w:r>
            <w:fldChar w:fldCharType="begin"/>
          </w:r>
          <w:r>
            <w:instrText xml:space="preserve"> PAGEREF _Toc224559749 \h </w:instrText>
          </w:r>
          <w:r>
            <w:fldChar w:fldCharType="separate"/>
          </w:r>
          <w:r>
            <w:t>13</w:t>
          </w:r>
          <w:r>
            <w:fldChar w:fldCharType="end"/>
          </w:r>
          <w:r>
            <w:fldChar w:fldCharType="end"/>
          </w:r>
        </w:p>
        <w:p w14:paraId="6D40FD71">
          <w:pPr>
            <w:pStyle w:val="16"/>
            <w:tabs>
              <w:tab w:val="right" w:leader="dot" w:pos="10070"/>
            </w:tabs>
            <w:rPr>
              <w:rFonts w:asciiTheme="minorHAnsi" w:hAnsiTheme="minorHAnsi" w:eastAsiaTheme="minorEastAsia" w:cstheme="minorBidi"/>
            </w:rPr>
          </w:pPr>
          <w:r>
            <w:fldChar w:fldCharType="begin"/>
          </w:r>
          <w:r>
            <w:instrText xml:space="preserve"> HYPERLINK \l "_Toc224559750" </w:instrText>
          </w:r>
          <w:r>
            <w:fldChar w:fldCharType="separate"/>
          </w:r>
          <w:r>
            <w:rPr>
              <w:rStyle w:val="13"/>
            </w:rPr>
            <w:t>7.4  Business Model Type</w:t>
          </w:r>
          <w:r>
            <w:tab/>
          </w:r>
          <w:r>
            <w:fldChar w:fldCharType="begin"/>
          </w:r>
          <w:r>
            <w:instrText xml:space="preserve"> PAGEREF _Toc224559750 \h </w:instrText>
          </w:r>
          <w:r>
            <w:fldChar w:fldCharType="separate"/>
          </w:r>
          <w:r>
            <w:t>13</w:t>
          </w:r>
          <w:r>
            <w:fldChar w:fldCharType="end"/>
          </w:r>
          <w:r>
            <w:fldChar w:fldCharType="end"/>
          </w:r>
        </w:p>
        <w:p w14:paraId="59E1654E">
          <w:pPr>
            <w:pStyle w:val="15"/>
            <w:tabs>
              <w:tab w:val="right" w:leader="dot" w:pos="10070"/>
            </w:tabs>
            <w:rPr>
              <w:rFonts w:asciiTheme="minorHAnsi" w:hAnsiTheme="minorHAnsi" w:eastAsiaTheme="minorEastAsia" w:cstheme="minorBidi"/>
            </w:rPr>
          </w:pPr>
          <w:r>
            <w:fldChar w:fldCharType="begin"/>
          </w:r>
          <w:r>
            <w:instrText xml:space="preserve"> HYPERLINK \l "_Toc224559751" </w:instrText>
          </w:r>
          <w:r>
            <w:fldChar w:fldCharType="separate"/>
          </w:r>
          <w:r>
            <w:rPr>
              <w:rStyle w:val="13"/>
            </w:rPr>
            <w:t>8  Customer Acquisition Strategy</w:t>
          </w:r>
          <w:r>
            <w:tab/>
          </w:r>
          <w:r>
            <w:fldChar w:fldCharType="begin"/>
          </w:r>
          <w:r>
            <w:instrText xml:space="preserve"> PAGEREF _Toc224559751 \h </w:instrText>
          </w:r>
          <w:r>
            <w:fldChar w:fldCharType="separate"/>
          </w:r>
          <w:r>
            <w:t>14</w:t>
          </w:r>
          <w:r>
            <w:fldChar w:fldCharType="end"/>
          </w:r>
          <w:r>
            <w:fldChar w:fldCharType="end"/>
          </w:r>
        </w:p>
        <w:p w14:paraId="0046F80E">
          <w:pPr>
            <w:pStyle w:val="16"/>
            <w:tabs>
              <w:tab w:val="right" w:leader="dot" w:pos="10070"/>
            </w:tabs>
            <w:rPr>
              <w:rFonts w:asciiTheme="minorHAnsi" w:hAnsiTheme="minorHAnsi" w:eastAsiaTheme="minorEastAsia" w:cstheme="minorBidi"/>
            </w:rPr>
          </w:pPr>
          <w:r>
            <w:fldChar w:fldCharType="begin"/>
          </w:r>
          <w:r>
            <w:instrText xml:space="preserve"> HYPERLINK \l "_Toc224559752" </w:instrText>
          </w:r>
          <w:r>
            <w:fldChar w:fldCharType="separate"/>
          </w:r>
          <w:r>
            <w:rPr>
              <w:rStyle w:val="13"/>
            </w:rPr>
            <w:t>8.1  Acquisition Channels</w:t>
          </w:r>
          <w:r>
            <w:tab/>
          </w:r>
          <w:r>
            <w:fldChar w:fldCharType="begin"/>
          </w:r>
          <w:r>
            <w:instrText xml:space="preserve"> PAGEREF _Toc224559752 \h </w:instrText>
          </w:r>
          <w:r>
            <w:fldChar w:fldCharType="separate"/>
          </w:r>
          <w:r>
            <w:t>14</w:t>
          </w:r>
          <w:r>
            <w:fldChar w:fldCharType="end"/>
          </w:r>
          <w:r>
            <w:fldChar w:fldCharType="end"/>
          </w:r>
        </w:p>
        <w:p w14:paraId="2E024B28">
          <w:pPr>
            <w:pStyle w:val="16"/>
            <w:tabs>
              <w:tab w:val="right" w:leader="dot" w:pos="10070"/>
            </w:tabs>
            <w:rPr>
              <w:rFonts w:asciiTheme="minorHAnsi" w:hAnsiTheme="minorHAnsi" w:eastAsiaTheme="minorEastAsia" w:cstheme="minorBidi"/>
            </w:rPr>
          </w:pPr>
          <w:r>
            <w:fldChar w:fldCharType="begin"/>
          </w:r>
          <w:r>
            <w:instrText xml:space="preserve"> HYPERLINK \l "_Toc224559753" </w:instrText>
          </w:r>
          <w:r>
            <w:fldChar w:fldCharType="separate"/>
          </w:r>
          <w:r>
            <w:rPr>
              <w:rStyle w:val="13"/>
            </w:rPr>
            <w:t>8.2  Onboarding Funnel</w:t>
          </w:r>
          <w:r>
            <w:tab/>
          </w:r>
          <w:r>
            <w:fldChar w:fldCharType="begin"/>
          </w:r>
          <w:r>
            <w:instrText xml:space="preserve"> PAGEREF _Toc224559753 \h </w:instrText>
          </w:r>
          <w:r>
            <w:fldChar w:fldCharType="separate"/>
          </w:r>
          <w:r>
            <w:t>14</w:t>
          </w:r>
          <w:r>
            <w:fldChar w:fldCharType="end"/>
          </w:r>
          <w:r>
            <w:fldChar w:fldCharType="end"/>
          </w:r>
        </w:p>
        <w:p w14:paraId="2B9660FC">
          <w:pPr>
            <w:pStyle w:val="15"/>
            <w:tabs>
              <w:tab w:val="right" w:leader="dot" w:pos="10070"/>
            </w:tabs>
            <w:rPr>
              <w:rFonts w:asciiTheme="minorHAnsi" w:hAnsiTheme="minorHAnsi" w:eastAsiaTheme="minorEastAsia" w:cstheme="minorBidi"/>
            </w:rPr>
          </w:pPr>
          <w:r>
            <w:fldChar w:fldCharType="begin"/>
          </w:r>
          <w:r>
            <w:instrText xml:space="preserve"> HYPERLINK \l "_Toc224559754" </w:instrText>
          </w:r>
          <w:r>
            <w:fldChar w:fldCharType="separate"/>
          </w:r>
          <w:r>
            <w:rPr>
              <w:rStyle w:val="13"/>
            </w:rPr>
            <w:t>9  Distribution Channels</w:t>
          </w:r>
          <w:r>
            <w:tab/>
          </w:r>
          <w:r>
            <w:fldChar w:fldCharType="begin"/>
          </w:r>
          <w:r>
            <w:instrText xml:space="preserve"> PAGEREF _Toc224559754 \h </w:instrText>
          </w:r>
          <w:r>
            <w:fldChar w:fldCharType="separate"/>
          </w:r>
          <w:r>
            <w:t>16</w:t>
          </w:r>
          <w:r>
            <w:fldChar w:fldCharType="end"/>
          </w:r>
          <w:r>
            <w:fldChar w:fldCharType="end"/>
          </w:r>
        </w:p>
        <w:p w14:paraId="3CCA43AF">
          <w:pPr>
            <w:pStyle w:val="16"/>
            <w:tabs>
              <w:tab w:val="right" w:leader="dot" w:pos="10070"/>
            </w:tabs>
            <w:rPr>
              <w:rFonts w:asciiTheme="minorHAnsi" w:hAnsiTheme="minorHAnsi" w:eastAsiaTheme="minorEastAsia" w:cstheme="minorBidi"/>
            </w:rPr>
          </w:pPr>
          <w:r>
            <w:fldChar w:fldCharType="begin"/>
          </w:r>
          <w:r>
            <w:instrText xml:space="preserve"> HYPERLINK \l "_Toc224559755" </w:instrText>
          </w:r>
          <w:r>
            <w:fldChar w:fldCharType="separate"/>
          </w:r>
          <w:r>
            <w:rPr>
              <w:rStyle w:val="13"/>
            </w:rPr>
            <w:t>9.1  Channel Mix</w:t>
          </w:r>
          <w:r>
            <w:tab/>
          </w:r>
          <w:r>
            <w:fldChar w:fldCharType="begin"/>
          </w:r>
          <w:r>
            <w:instrText xml:space="preserve"> PAGEREF _Toc224559755 \h </w:instrText>
          </w:r>
          <w:r>
            <w:fldChar w:fldCharType="separate"/>
          </w:r>
          <w:r>
            <w:t>16</w:t>
          </w:r>
          <w:r>
            <w:fldChar w:fldCharType="end"/>
          </w:r>
          <w:r>
            <w:fldChar w:fldCharType="end"/>
          </w:r>
        </w:p>
        <w:p w14:paraId="05BF3089">
          <w:pPr>
            <w:pStyle w:val="16"/>
            <w:tabs>
              <w:tab w:val="right" w:leader="dot" w:pos="10070"/>
            </w:tabs>
            <w:rPr>
              <w:rFonts w:asciiTheme="minorHAnsi" w:hAnsiTheme="minorHAnsi" w:eastAsiaTheme="minorEastAsia" w:cstheme="minorBidi"/>
            </w:rPr>
          </w:pPr>
          <w:r>
            <w:fldChar w:fldCharType="begin"/>
          </w:r>
          <w:r>
            <w:instrText xml:space="preserve"> HYPERLINK \l "_Toc224559756" </w:instrText>
          </w:r>
          <w:r>
            <w:fldChar w:fldCharType="separate"/>
          </w:r>
          <w:r>
            <w:rPr>
              <w:rStyle w:val="13"/>
            </w:rPr>
            <w:t>9.2  Critical Channel Rationale</w:t>
          </w:r>
          <w:r>
            <w:tab/>
          </w:r>
          <w:r>
            <w:fldChar w:fldCharType="begin"/>
          </w:r>
          <w:r>
            <w:instrText xml:space="preserve"> PAGEREF _Toc224559756 \h </w:instrText>
          </w:r>
          <w:r>
            <w:fldChar w:fldCharType="separate"/>
          </w:r>
          <w:r>
            <w:t>16</w:t>
          </w:r>
          <w:r>
            <w:fldChar w:fldCharType="end"/>
          </w:r>
          <w:r>
            <w:fldChar w:fldCharType="end"/>
          </w:r>
        </w:p>
        <w:p w14:paraId="3BD0FD8E">
          <w:pPr>
            <w:pStyle w:val="15"/>
            <w:tabs>
              <w:tab w:val="right" w:leader="dot" w:pos="10070"/>
            </w:tabs>
            <w:rPr>
              <w:rFonts w:asciiTheme="minorHAnsi" w:hAnsiTheme="minorHAnsi" w:eastAsiaTheme="minorEastAsia" w:cstheme="minorBidi"/>
            </w:rPr>
          </w:pPr>
          <w:r>
            <w:fldChar w:fldCharType="begin"/>
          </w:r>
          <w:r>
            <w:instrText xml:space="preserve"> HYPERLINK \l "_Toc224559757" </w:instrText>
          </w:r>
          <w:r>
            <w:fldChar w:fldCharType="separate"/>
          </w:r>
          <w:r>
            <w:rPr>
              <w:rStyle w:val="13"/>
            </w:rPr>
            <w:t>10  Strategic Partnerships (Optional)</w:t>
          </w:r>
          <w:r>
            <w:tab/>
          </w:r>
          <w:r>
            <w:fldChar w:fldCharType="begin"/>
          </w:r>
          <w:r>
            <w:instrText xml:space="preserve"> PAGEREF _Toc224559757 \h </w:instrText>
          </w:r>
          <w:r>
            <w:fldChar w:fldCharType="separate"/>
          </w:r>
          <w:r>
            <w:t>17</w:t>
          </w:r>
          <w:r>
            <w:fldChar w:fldCharType="end"/>
          </w:r>
          <w:r>
            <w:fldChar w:fldCharType="end"/>
          </w:r>
        </w:p>
        <w:p w14:paraId="4CE808DF">
          <w:pPr>
            <w:pStyle w:val="15"/>
            <w:tabs>
              <w:tab w:val="right" w:leader="dot" w:pos="10070"/>
            </w:tabs>
            <w:rPr>
              <w:rFonts w:asciiTheme="minorHAnsi" w:hAnsiTheme="minorHAnsi" w:eastAsiaTheme="minorEastAsia" w:cstheme="minorBidi"/>
            </w:rPr>
          </w:pPr>
          <w:r>
            <w:fldChar w:fldCharType="begin"/>
          </w:r>
          <w:r>
            <w:instrText xml:space="preserve"> HYPERLINK \l "_Toc224559758" </w:instrText>
          </w:r>
          <w:r>
            <w:fldChar w:fldCharType="separate"/>
          </w:r>
          <w:r>
            <w:rPr>
              <w:rStyle w:val="13"/>
            </w:rPr>
            <w:t>11  Risk Analysis</w:t>
          </w:r>
          <w:r>
            <w:tab/>
          </w:r>
          <w:r>
            <w:fldChar w:fldCharType="begin"/>
          </w:r>
          <w:r>
            <w:instrText xml:space="preserve"> PAGEREF _Toc224559758 \h </w:instrText>
          </w:r>
          <w:r>
            <w:fldChar w:fldCharType="separate"/>
          </w:r>
          <w:r>
            <w:t>18</w:t>
          </w:r>
          <w:r>
            <w:fldChar w:fldCharType="end"/>
          </w:r>
          <w:r>
            <w:fldChar w:fldCharType="end"/>
          </w:r>
        </w:p>
        <w:p w14:paraId="12B51356">
          <w:pPr>
            <w:pStyle w:val="15"/>
            <w:tabs>
              <w:tab w:val="right" w:leader="dot" w:pos="10070"/>
            </w:tabs>
            <w:rPr>
              <w:rFonts w:asciiTheme="minorHAnsi" w:hAnsiTheme="minorHAnsi" w:eastAsiaTheme="minorEastAsia" w:cstheme="minorBidi"/>
            </w:rPr>
          </w:pPr>
          <w:r>
            <w:fldChar w:fldCharType="begin"/>
          </w:r>
          <w:r>
            <w:instrText xml:space="preserve"> HYPERLINK \l "_Toc224559759" </w:instrText>
          </w:r>
          <w:r>
            <w:fldChar w:fldCharType="separate"/>
          </w:r>
          <w:r>
            <w:rPr>
              <w:rStyle w:val="13"/>
            </w:rPr>
            <w:t>12  Regulatory &amp; Compliance Considerations</w:t>
          </w:r>
          <w:r>
            <w:tab/>
          </w:r>
          <w:r>
            <w:fldChar w:fldCharType="begin"/>
          </w:r>
          <w:r>
            <w:instrText xml:space="preserve"> PAGEREF _Toc224559759 \h </w:instrText>
          </w:r>
          <w:r>
            <w:fldChar w:fldCharType="separate"/>
          </w:r>
          <w:r>
            <w:t>19</w:t>
          </w:r>
          <w:r>
            <w:fldChar w:fldCharType="end"/>
          </w:r>
          <w:r>
            <w:fldChar w:fldCharType="end"/>
          </w:r>
        </w:p>
        <w:p w14:paraId="1A0585E9">
          <w:pPr>
            <w:pStyle w:val="15"/>
            <w:tabs>
              <w:tab w:val="right" w:leader="dot" w:pos="10070"/>
            </w:tabs>
            <w:rPr>
              <w:rFonts w:asciiTheme="minorHAnsi" w:hAnsiTheme="minorHAnsi" w:eastAsiaTheme="minorEastAsia" w:cstheme="minorBidi"/>
            </w:rPr>
          </w:pPr>
          <w:r>
            <w:fldChar w:fldCharType="begin"/>
          </w:r>
          <w:r>
            <w:instrText xml:space="preserve"> HYPERLINK \l "_Toc224559760" </w:instrText>
          </w:r>
          <w:r>
            <w:fldChar w:fldCharType="separate"/>
          </w:r>
          <w:r>
            <w:rPr>
              <w:rStyle w:val="13"/>
            </w:rPr>
            <w:t>13  Implementation Requirements</w:t>
          </w:r>
          <w:r>
            <w:tab/>
          </w:r>
          <w:r>
            <w:fldChar w:fldCharType="begin"/>
          </w:r>
          <w:r>
            <w:instrText xml:space="preserve"> PAGEREF _Toc224559760 \h </w:instrText>
          </w:r>
          <w:r>
            <w:fldChar w:fldCharType="separate"/>
          </w:r>
          <w:r>
            <w:t>20</w:t>
          </w:r>
          <w:r>
            <w:fldChar w:fldCharType="end"/>
          </w:r>
          <w:r>
            <w:fldChar w:fldCharType="end"/>
          </w:r>
        </w:p>
        <w:p w14:paraId="2E89D785">
          <w:pPr>
            <w:pStyle w:val="16"/>
            <w:tabs>
              <w:tab w:val="right" w:leader="dot" w:pos="10070"/>
            </w:tabs>
            <w:rPr>
              <w:rFonts w:asciiTheme="minorHAnsi" w:hAnsiTheme="minorHAnsi" w:eastAsiaTheme="minorEastAsia" w:cstheme="minorBidi"/>
            </w:rPr>
          </w:pPr>
          <w:r>
            <w:fldChar w:fldCharType="begin"/>
          </w:r>
          <w:r>
            <w:instrText xml:space="preserve"> HYPERLINK \l "_Toc224559761" </w:instrText>
          </w:r>
          <w:r>
            <w:fldChar w:fldCharType="separate"/>
          </w:r>
          <w:r>
            <w:rPr>
              <w:rStyle w:val="13"/>
            </w:rPr>
            <w:t>13.1  Technology &amp; Systems</w:t>
          </w:r>
          <w:r>
            <w:tab/>
          </w:r>
          <w:r>
            <w:fldChar w:fldCharType="begin"/>
          </w:r>
          <w:r>
            <w:instrText xml:space="preserve"> PAGEREF _Toc224559761 \h </w:instrText>
          </w:r>
          <w:r>
            <w:fldChar w:fldCharType="separate"/>
          </w:r>
          <w:r>
            <w:t>20</w:t>
          </w:r>
          <w:r>
            <w:fldChar w:fldCharType="end"/>
          </w:r>
          <w:r>
            <w:fldChar w:fldCharType="end"/>
          </w:r>
        </w:p>
        <w:p w14:paraId="25C17BFF">
          <w:pPr>
            <w:pStyle w:val="15"/>
            <w:tabs>
              <w:tab w:val="right" w:leader="dot" w:pos="10070"/>
            </w:tabs>
            <w:rPr>
              <w:rFonts w:asciiTheme="minorHAnsi" w:hAnsiTheme="minorHAnsi" w:eastAsiaTheme="minorEastAsia" w:cstheme="minorBidi"/>
            </w:rPr>
          </w:pPr>
          <w:r>
            <w:fldChar w:fldCharType="begin"/>
          </w:r>
          <w:r>
            <w:instrText xml:space="preserve"> HYPERLINK \l "_Toc224559762" </w:instrText>
          </w:r>
          <w:r>
            <w:fldChar w:fldCharType="separate"/>
          </w:r>
          <w:r>
            <w:rPr>
              <w:rStyle w:val="13"/>
            </w:rPr>
            <w:t>14  Competitive Landscape</w:t>
          </w:r>
          <w:r>
            <w:tab/>
          </w:r>
          <w:r>
            <w:fldChar w:fldCharType="begin"/>
          </w:r>
          <w:r>
            <w:instrText xml:space="preserve"> PAGEREF _Toc224559762 \h </w:instrText>
          </w:r>
          <w:r>
            <w:fldChar w:fldCharType="separate"/>
          </w:r>
          <w:r>
            <w:t>21</w:t>
          </w:r>
          <w:r>
            <w:fldChar w:fldCharType="end"/>
          </w:r>
          <w:r>
            <w:fldChar w:fldCharType="end"/>
          </w:r>
        </w:p>
        <w:p w14:paraId="41AB7DCB">
          <w:pPr>
            <w:pStyle w:val="16"/>
            <w:tabs>
              <w:tab w:val="right" w:leader="dot" w:pos="10070"/>
            </w:tabs>
            <w:rPr>
              <w:rFonts w:asciiTheme="minorHAnsi" w:hAnsiTheme="minorHAnsi" w:eastAsiaTheme="minorEastAsia" w:cstheme="minorBidi"/>
            </w:rPr>
          </w:pPr>
          <w:r>
            <w:fldChar w:fldCharType="begin"/>
          </w:r>
          <w:r>
            <w:instrText xml:space="preserve"> HYPERLINK \l "_Toc224559763" </w:instrText>
          </w:r>
          <w:r>
            <w:fldChar w:fldCharType="separate"/>
          </w:r>
          <w:r>
            <w:rPr>
              <w:rStyle w:val="13"/>
            </w:rPr>
            <w:t>14.1  Competitive Map</w:t>
          </w:r>
          <w:r>
            <w:tab/>
          </w:r>
          <w:r>
            <w:fldChar w:fldCharType="begin"/>
          </w:r>
          <w:r>
            <w:instrText xml:space="preserve"> PAGEREF _Toc224559763 \h </w:instrText>
          </w:r>
          <w:r>
            <w:fldChar w:fldCharType="separate"/>
          </w:r>
          <w:r>
            <w:t>21</w:t>
          </w:r>
          <w:r>
            <w:fldChar w:fldCharType="end"/>
          </w:r>
          <w:r>
            <w:fldChar w:fldCharType="end"/>
          </w:r>
        </w:p>
        <w:p w14:paraId="440089AB">
          <w:pPr>
            <w:pStyle w:val="16"/>
            <w:tabs>
              <w:tab w:val="right" w:leader="dot" w:pos="10070"/>
            </w:tabs>
            <w:rPr>
              <w:rFonts w:asciiTheme="minorHAnsi" w:hAnsiTheme="minorHAnsi" w:eastAsiaTheme="minorEastAsia" w:cstheme="minorBidi"/>
            </w:rPr>
          </w:pPr>
          <w:r>
            <w:fldChar w:fldCharType="begin"/>
          </w:r>
          <w:r>
            <w:instrText xml:space="preserve"> HYPERLINK \l "_Toc224559764" </w:instrText>
          </w:r>
          <w:r>
            <w:fldChar w:fldCharType="separate"/>
          </w:r>
          <w:r>
            <w:rPr>
              <w:rStyle w:val="13"/>
            </w:rPr>
            <w:t>14.2  Sustainable Competitive Advantage</w:t>
          </w:r>
          <w:r>
            <w:tab/>
          </w:r>
          <w:r>
            <w:fldChar w:fldCharType="begin"/>
          </w:r>
          <w:r>
            <w:instrText xml:space="preserve"> PAGEREF _Toc224559764 \h </w:instrText>
          </w:r>
          <w:r>
            <w:fldChar w:fldCharType="separate"/>
          </w:r>
          <w:r>
            <w:t>21</w:t>
          </w:r>
          <w:r>
            <w:fldChar w:fldCharType="end"/>
          </w:r>
          <w:r>
            <w:fldChar w:fldCharType="end"/>
          </w:r>
        </w:p>
        <w:p w14:paraId="60CFFE13">
          <w:pPr>
            <w:pStyle w:val="15"/>
            <w:tabs>
              <w:tab w:val="right" w:leader="dot" w:pos="10070"/>
            </w:tabs>
            <w:rPr>
              <w:rFonts w:asciiTheme="minorHAnsi" w:hAnsiTheme="minorHAnsi" w:eastAsiaTheme="minorEastAsia" w:cstheme="minorBidi"/>
            </w:rPr>
          </w:pPr>
          <w:r>
            <w:fldChar w:fldCharType="begin"/>
          </w:r>
          <w:r>
            <w:instrText xml:space="preserve"> HYPERLINK \l "_Toc224559765" </w:instrText>
          </w:r>
          <w:r>
            <w:fldChar w:fldCharType="separate"/>
          </w:r>
          <w:r>
            <w:rPr>
              <w:rStyle w:val="13"/>
            </w:rPr>
            <w:t>15  Strategic Impact</w:t>
          </w:r>
          <w:r>
            <w:tab/>
          </w:r>
          <w:r>
            <w:fldChar w:fldCharType="begin"/>
          </w:r>
          <w:r>
            <w:instrText xml:space="preserve"> PAGEREF _Toc224559765 \h </w:instrText>
          </w:r>
          <w:r>
            <w:fldChar w:fldCharType="separate"/>
          </w:r>
          <w:r>
            <w:t>22</w:t>
          </w:r>
          <w:r>
            <w:fldChar w:fldCharType="end"/>
          </w:r>
          <w:r>
            <w:fldChar w:fldCharType="end"/>
          </w:r>
        </w:p>
        <w:p w14:paraId="387447F6">
          <w:pPr>
            <w:pStyle w:val="15"/>
            <w:tabs>
              <w:tab w:val="right" w:leader="dot" w:pos="10070"/>
            </w:tabs>
            <w:rPr>
              <w:rFonts w:asciiTheme="minorHAnsi" w:hAnsiTheme="minorHAnsi" w:eastAsiaTheme="minorEastAsia" w:cstheme="minorBidi"/>
            </w:rPr>
          </w:pPr>
          <w:r>
            <w:fldChar w:fldCharType="begin"/>
          </w:r>
          <w:r>
            <w:instrText xml:space="preserve"> HYPERLINK \l "_Toc224559766" </w:instrText>
          </w:r>
          <w:r>
            <w:fldChar w:fldCharType="separate"/>
          </w:r>
          <w:r>
            <w:rPr>
              <w:rStyle w:val="13"/>
            </w:rPr>
            <w:t>16  Scalability Potential</w:t>
          </w:r>
          <w:r>
            <w:tab/>
          </w:r>
          <w:r>
            <w:fldChar w:fldCharType="begin"/>
          </w:r>
          <w:r>
            <w:instrText xml:space="preserve"> PAGEREF _Toc224559766 \h </w:instrText>
          </w:r>
          <w:r>
            <w:fldChar w:fldCharType="separate"/>
          </w:r>
          <w:r>
            <w:t>23</w:t>
          </w:r>
          <w:r>
            <w:fldChar w:fldCharType="end"/>
          </w:r>
          <w:r>
            <w:fldChar w:fldCharType="end"/>
          </w:r>
        </w:p>
        <w:p w14:paraId="60170F68">
          <w:pPr>
            <w:pStyle w:val="16"/>
            <w:tabs>
              <w:tab w:val="right" w:leader="dot" w:pos="10070"/>
            </w:tabs>
            <w:rPr>
              <w:rFonts w:asciiTheme="minorHAnsi" w:hAnsiTheme="minorHAnsi" w:eastAsiaTheme="minorEastAsia" w:cstheme="minorBidi"/>
            </w:rPr>
          </w:pPr>
          <w:r>
            <w:fldChar w:fldCharType="begin"/>
          </w:r>
          <w:r>
            <w:instrText xml:space="preserve"> HYPERLINK \l "_Toc224559767" </w:instrText>
          </w:r>
          <w:r>
            <w:fldChar w:fldCharType="separate"/>
          </w:r>
          <w:r>
            <w:rPr>
              <w:rStyle w:val="13"/>
            </w:rPr>
            <w:t>16.1  Scaling Dimensions</w:t>
          </w:r>
          <w:r>
            <w:tab/>
          </w:r>
          <w:r>
            <w:fldChar w:fldCharType="begin"/>
          </w:r>
          <w:r>
            <w:instrText xml:space="preserve"> PAGEREF _Toc224559767 \h </w:instrText>
          </w:r>
          <w:r>
            <w:fldChar w:fldCharType="separate"/>
          </w:r>
          <w:r>
            <w:t>23</w:t>
          </w:r>
          <w:r>
            <w:fldChar w:fldCharType="end"/>
          </w:r>
          <w:r>
            <w:fldChar w:fldCharType="end"/>
          </w:r>
        </w:p>
        <w:p w14:paraId="3FB94929">
          <w:pPr>
            <w:pStyle w:val="15"/>
            <w:tabs>
              <w:tab w:val="right" w:leader="dot" w:pos="10070"/>
            </w:tabs>
            <w:rPr>
              <w:rFonts w:asciiTheme="minorHAnsi" w:hAnsiTheme="minorHAnsi" w:eastAsiaTheme="minorEastAsia" w:cstheme="minorBidi"/>
            </w:rPr>
          </w:pPr>
          <w:r>
            <w:fldChar w:fldCharType="begin"/>
          </w:r>
          <w:r>
            <w:instrText xml:space="preserve"> HYPERLINK \l "_Toc224559768" </w:instrText>
          </w:r>
          <w:r>
            <w:fldChar w:fldCharType="separate"/>
          </w:r>
          <w:r>
            <w:rPr>
              <w:rStyle w:val="13"/>
            </w:rPr>
            <w:t>17  Success Metrics (KPIs)</w:t>
          </w:r>
          <w:r>
            <w:tab/>
          </w:r>
          <w:r>
            <w:fldChar w:fldCharType="begin"/>
          </w:r>
          <w:r>
            <w:instrText xml:space="preserve"> PAGEREF _Toc224559768 \h </w:instrText>
          </w:r>
          <w:r>
            <w:fldChar w:fldCharType="separate"/>
          </w:r>
          <w:r>
            <w:t>24</w:t>
          </w:r>
          <w:r>
            <w:fldChar w:fldCharType="end"/>
          </w:r>
          <w:r>
            <w:fldChar w:fldCharType="end"/>
          </w:r>
        </w:p>
        <w:p w14:paraId="3EC6BF44">
          <w:pPr>
            <w:pStyle w:val="15"/>
            <w:tabs>
              <w:tab w:val="right" w:leader="dot" w:pos="10070"/>
            </w:tabs>
            <w:rPr>
              <w:rFonts w:asciiTheme="minorHAnsi" w:hAnsiTheme="minorHAnsi" w:eastAsiaTheme="minorEastAsia" w:cstheme="minorBidi"/>
            </w:rPr>
          </w:pPr>
          <w:r>
            <w:fldChar w:fldCharType="begin"/>
          </w:r>
          <w:r>
            <w:instrText xml:space="preserve"> HYPERLINK \l "_Toc224559769" </w:instrText>
          </w:r>
          <w:r>
            <w:fldChar w:fldCharType="separate"/>
          </w:r>
          <w:r>
            <w:rPr>
              <w:rStyle w:val="13"/>
            </w:rPr>
            <w:t>18  Implementation Roadmap</w:t>
          </w:r>
          <w:r>
            <w:tab/>
          </w:r>
          <w:r>
            <w:fldChar w:fldCharType="begin"/>
          </w:r>
          <w:r>
            <w:instrText xml:space="preserve"> PAGEREF _Toc224559769 \h </w:instrText>
          </w:r>
          <w:r>
            <w:fldChar w:fldCharType="separate"/>
          </w:r>
          <w:r>
            <w:t>25</w:t>
          </w:r>
          <w:r>
            <w:fldChar w:fldCharType="end"/>
          </w:r>
          <w:r>
            <w:fldChar w:fldCharType="end"/>
          </w:r>
        </w:p>
        <w:p w14:paraId="27AB8140">
          <w:pPr>
            <w:pStyle w:val="16"/>
            <w:tabs>
              <w:tab w:val="right" w:leader="dot" w:pos="10070"/>
            </w:tabs>
            <w:rPr>
              <w:rFonts w:asciiTheme="minorHAnsi" w:hAnsiTheme="minorHAnsi" w:eastAsiaTheme="minorEastAsia" w:cstheme="minorBidi"/>
            </w:rPr>
          </w:pPr>
          <w:r>
            <w:fldChar w:fldCharType="begin"/>
          </w:r>
          <w:r>
            <w:instrText xml:space="preserve"> HYPERLINK \l "_Toc224559770" </w:instrText>
          </w:r>
          <w:r>
            <w:fldChar w:fldCharType="separate"/>
          </w:r>
          <w:r>
            <w:rPr>
              <w:rStyle w:val="13"/>
            </w:rPr>
            <w:t>18.1 Critical Path Milestones</w:t>
          </w:r>
          <w:r>
            <w:tab/>
          </w:r>
          <w:r>
            <w:fldChar w:fldCharType="begin"/>
          </w:r>
          <w:r>
            <w:instrText xml:space="preserve"> PAGEREF _Toc224559770 \h </w:instrText>
          </w:r>
          <w:r>
            <w:fldChar w:fldCharType="separate"/>
          </w:r>
          <w:r>
            <w:t>25</w:t>
          </w:r>
          <w:r>
            <w:fldChar w:fldCharType="end"/>
          </w:r>
          <w:r>
            <w:fldChar w:fldCharType="end"/>
          </w:r>
        </w:p>
        <w:p w14:paraId="221A3C29">
          <w:pPr>
            <w:pStyle w:val="15"/>
            <w:tabs>
              <w:tab w:val="right" w:leader="dot" w:pos="10070"/>
            </w:tabs>
            <w:rPr>
              <w:rFonts w:asciiTheme="minorHAnsi" w:hAnsiTheme="minorHAnsi" w:eastAsiaTheme="minorEastAsia" w:cstheme="minorBidi"/>
            </w:rPr>
          </w:pPr>
          <w:r>
            <w:fldChar w:fldCharType="begin"/>
          </w:r>
          <w:r>
            <w:instrText xml:space="preserve"> HYPERLINK \l "_Toc224559771" </w:instrText>
          </w:r>
          <w:r>
            <w:fldChar w:fldCharType="separate"/>
          </w:r>
          <w:r>
            <w:rPr>
              <w:rStyle w:val="13"/>
            </w:rPr>
            <w:t>19  Strategic Recommendation</w:t>
          </w:r>
          <w:r>
            <w:tab/>
          </w:r>
          <w:r>
            <w:fldChar w:fldCharType="begin"/>
          </w:r>
          <w:r>
            <w:instrText xml:space="preserve"> PAGEREF _Toc224559771 \h </w:instrText>
          </w:r>
          <w:r>
            <w:fldChar w:fldCharType="separate"/>
          </w:r>
          <w:r>
            <w:t>26</w:t>
          </w:r>
          <w:r>
            <w:fldChar w:fldCharType="end"/>
          </w:r>
          <w:r>
            <w:fldChar w:fldCharType="end"/>
          </w:r>
        </w:p>
        <w:p w14:paraId="150E36C8">
          <w:pPr>
            <w:pStyle w:val="16"/>
            <w:tabs>
              <w:tab w:val="right" w:leader="dot" w:pos="10070"/>
            </w:tabs>
            <w:rPr>
              <w:rFonts w:asciiTheme="minorHAnsi" w:hAnsiTheme="minorHAnsi" w:eastAsiaTheme="minorEastAsia" w:cstheme="minorBidi"/>
            </w:rPr>
          </w:pPr>
          <w:r>
            <w:fldChar w:fldCharType="begin"/>
          </w:r>
          <w:r>
            <w:instrText xml:space="preserve"> HYPERLINK \l "_Toc224559772" </w:instrText>
          </w:r>
          <w:r>
            <w:fldChar w:fldCharType="separate"/>
          </w:r>
          <w:r>
            <w:rPr>
              <w:rStyle w:val="13"/>
            </w:rPr>
            <w:t>19.1 Recommendation</w:t>
          </w:r>
          <w:r>
            <w:tab/>
          </w:r>
          <w:r>
            <w:fldChar w:fldCharType="begin"/>
          </w:r>
          <w:r>
            <w:instrText xml:space="preserve"> PAGEREF _Toc224559772 \h </w:instrText>
          </w:r>
          <w:r>
            <w:fldChar w:fldCharType="separate"/>
          </w:r>
          <w:r>
            <w:t>26</w:t>
          </w:r>
          <w:r>
            <w:fldChar w:fldCharType="end"/>
          </w:r>
          <w:r>
            <w:fldChar w:fldCharType="end"/>
          </w:r>
        </w:p>
        <w:p w14:paraId="5D03F4E1">
          <w:pPr>
            <w:pStyle w:val="16"/>
            <w:tabs>
              <w:tab w:val="right" w:leader="dot" w:pos="10070"/>
            </w:tabs>
            <w:rPr>
              <w:rFonts w:asciiTheme="minorHAnsi" w:hAnsiTheme="minorHAnsi" w:eastAsiaTheme="minorEastAsia" w:cstheme="minorBidi"/>
            </w:rPr>
          </w:pPr>
          <w:r>
            <w:fldChar w:fldCharType="begin"/>
          </w:r>
          <w:r>
            <w:instrText xml:space="preserve"> HYPERLINK \l "_Toc224559773" </w:instrText>
          </w:r>
          <w:r>
            <w:fldChar w:fldCharType="separate"/>
          </w:r>
          <w:r>
            <w:rPr>
              <w:rStyle w:val="13"/>
            </w:rPr>
            <w:t>19.2  Three Primary Reasons</w:t>
          </w:r>
          <w:r>
            <w:tab/>
          </w:r>
          <w:r>
            <w:fldChar w:fldCharType="begin"/>
          </w:r>
          <w:r>
            <w:instrText xml:space="preserve"> PAGEREF _Toc224559773 \h </w:instrText>
          </w:r>
          <w:r>
            <w:fldChar w:fldCharType="separate"/>
          </w:r>
          <w:r>
            <w:t>26</w:t>
          </w:r>
          <w:r>
            <w:fldChar w:fldCharType="end"/>
          </w:r>
          <w:r>
            <w:fldChar w:fldCharType="end"/>
          </w:r>
        </w:p>
        <w:p w14:paraId="7EB96CD6">
          <w:pPr>
            <w:pStyle w:val="16"/>
            <w:tabs>
              <w:tab w:val="right" w:leader="dot" w:pos="10070"/>
            </w:tabs>
            <w:rPr>
              <w:rFonts w:asciiTheme="minorHAnsi" w:hAnsiTheme="minorHAnsi" w:eastAsiaTheme="minorEastAsia" w:cstheme="minorBidi"/>
            </w:rPr>
          </w:pPr>
          <w:r>
            <w:fldChar w:fldCharType="begin"/>
          </w:r>
          <w:r>
            <w:instrText xml:space="preserve"> HYPERLINK \l "_Toc224559774" </w:instrText>
          </w:r>
          <w:r>
            <w:fldChar w:fldCharType="separate"/>
          </w:r>
          <w:r>
            <w:rPr>
              <w:rStyle w:val="13"/>
            </w:rPr>
            <w:t>19.3  Top Risks to This Recommendation</w:t>
          </w:r>
          <w:r>
            <w:tab/>
          </w:r>
          <w:r>
            <w:fldChar w:fldCharType="begin"/>
          </w:r>
          <w:r>
            <w:instrText xml:space="preserve"> PAGEREF _Toc224559774 \h </w:instrText>
          </w:r>
          <w:r>
            <w:fldChar w:fldCharType="separate"/>
          </w:r>
          <w:r>
            <w:t>26</w:t>
          </w:r>
          <w:r>
            <w:fldChar w:fldCharType="end"/>
          </w:r>
          <w:r>
            <w:fldChar w:fldCharType="end"/>
          </w:r>
        </w:p>
        <w:p w14:paraId="69A72529">
          <w:r>
            <w:fldChar w:fldCharType="end"/>
          </w:r>
        </w:p>
      </w:sdtContent>
    </w:sdt>
    <w:p w14:paraId="14CFCF09">
      <w:r>
        <w:br w:type="page"/>
      </w:r>
    </w:p>
    <w:p w14:paraId="641EBD2D">
      <w:pPr>
        <w:pStyle w:val="2"/>
        <w:spacing w:before="0"/>
      </w:pPr>
      <w:bookmarkStart w:id="1" w:name="_Toc224559726"/>
      <w:r>
        <w:rPr>
          <w:color w:val="2E6DA4"/>
        </w:rPr>
        <w:t xml:space="preserve">1  </w:t>
      </w:r>
      <w:r>
        <w:t>Executive Summary</w:t>
      </w:r>
      <w:bookmarkEnd w:id="1"/>
    </w:p>
    <w:p w14:paraId="2DE86614">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89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75A5DA3E">
            <w:pPr>
              <w:spacing w:before="60" w:after="80"/>
            </w:pPr>
            <w:r>
              <w:rPr>
                <w:b/>
                <w:bCs/>
                <w:color w:val="1B3A5C"/>
              </w:rPr>
              <w:t>Purpose of this Section</w:t>
            </w:r>
          </w:p>
          <w:p w14:paraId="1BF23B17">
            <w:pPr>
              <w:spacing w:before="30" w:after="30"/>
            </w:pPr>
            <w:r>
              <w:rPr>
                <w:i/>
                <w:iCs/>
                <w:color w:val="555555"/>
                <w:sz w:val="20"/>
                <w:szCs w:val="20"/>
              </w:rPr>
              <w:t>The Executive Summary is the most-read section. It must stand alone — a senior decision-maker should be able to read only this section and understand the full investment case.</w:t>
            </w:r>
          </w:p>
          <w:p w14:paraId="0001EA36">
            <w:pPr>
              <w:spacing w:before="30" w:after="30"/>
            </w:pPr>
            <w:r>
              <w:rPr>
                <w:i/>
                <w:iCs/>
                <w:color w:val="555555"/>
                <w:sz w:val="20"/>
                <w:szCs w:val="20"/>
              </w:rPr>
              <w:t>Write this section last. Limit to one page. Use crisp, assertive language. Lead with the strategic recommendation.</w:t>
            </w:r>
          </w:p>
        </w:tc>
      </w:tr>
    </w:tbl>
    <w:p w14:paraId="72C0A7F0">
      <w:pPr>
        <w:spacing w:line="120" w:lineRule="auto"/>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EFB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D6E9F8"/>
            <w:tcMar>
              <w:top w:w="100" w:type="dxa"/>
              <w:left w:w="140" w:type="dxa"/>
              <w:bottom w:w="100" w:type="dxa"/>
              <w:right w:w="140" w:type="dxa"/>
            </w:tcMar>
          </w:tcPr>
          <w:p w14:paraId="1C9CA1BA">
            <w:r>
              <w:rPr>
                <w:b/>
                <w:bCs/>
                <w:color w:val="1B3A5C"/>
                <w:sz w:val="20"/>
                <w:szCs w:val="20"/>
              </w:rPr>
              <w:t>Field</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712FDAB">
            <w:r>
              <w:rPr>
                <w:b/>
                <w:bCs/>
                <w:color w:val="1B3A5C"/>
                <w:sz w:val="20"/>
                <w:szCs w:val="20"/>
              </w:rPr>
              <w:t>Response</w:t>
            </w:r>
          </w:p>
        </w:tc>
      </w:tr>
      <w:tr w14:paraId="5E52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E17CB1F">
            <w:r>
              <w:rPr>
                <w:color w:val="1B3A5C"/>
                <w:sz w:val="20"/>
                <w:szCs w:val="20"/>
              </w:rPr>
              <w:t>Business Model Name</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A223586">
            <w:pPr>
              <w:pStyle w:val="3"/>
              <w:jc w:val="center"/>
              <w:rPr>
                <w:rFonts w:hint="default"/>
                <w:lang w:val="en-ZA"/>
              </w:rPr>
            </w:pPr>
            <w:r>
              <w:rPr>
                <w:rFonts w:hint="default"/>
                <w:i/>
                <w:iCs/>
                <w:color w:val="555555"/>
                <w:sz w:val="20"/>
                <w:szCs w:val="20"/>
                <w:lang w:val="en-ZA"/>
              </w:rPr>
              <w:t xml:space="preserve">AFC Young Hustler Account </w:t>
            </w:r>
          </w:p>
        </w:tc>
      </w:tr>
      <w:tr w14:paraId="403F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4717CDE">
            <w:r>
              <w:rPr>
                <w:color w:val="1B3A5C"/>
                <w:sz w:val="20"/>
                <w:szCs w:val="20"/>
              </w:rPr>
              <w:t>Target Sector</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EB391AC">
            <w:r>
              <w:rPr>
                <w:i/>
                <w:iCs/>
                <w:color w:val="555555"/>
                <w:sz w:val="20"/>
                <w:szCs w:val="20"/>
              </w:rPr>
              <w:t>[Gen Z</w:t>
            </w:r>
            <w:r>
              <w:rPr>
                <w:rFonts w:hint="default"/>
                <w:i/>
                <w:iCs/>
                <w:color w:val="555555"/>
                <w:sz w:val="20"/>
                <w:szCs w:val="20"/>
                <w:lang w:val="en-ZA"/>
              </w:rPr>
              <w:t>/youth entrepreneurship</w:t>
            </w:r>
            <w:r>
              <w:rPr>
                <w:i/>
                <w:iCs/>
                <w:color w:val="555555"/>
                <w:sz w:val="20"/>
                <w:szCs w:val="20"/>
              </w:rPr>
              <w:t xml:space="preserve"> ]</w:t>
            </w:r>
          </w:p>
        </w:tc>
      </w:tr>
      <w:tr w14:paraId="5E41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3DA955F">
            <w:r>
              <w:rPr>
                <w:color w:val="1B3A5C"/>
                <w:sz w:val="20"/>
                <w:szCs w:val="20"/>
              </w:rPr>
              <w:t>Core Product / Service</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419634B">
            <w:r>
              <w:rPr>
                <w:rFonts w:hint="default"/>
                <w:i/>
                <w:iCs/>
                <w:color w:val="555555"/>
                <w:sz w:val="20"/>
                <w:szCs w:val="20"/>
              </w:rPr>
              <w:t>A digital-first transactional business account designed for youth entrepreneurs, enabling them to receive payments, manage business finances, accept merchant payments, and access micro-credit to grow their businesses.</w:t>
            </w:r>
          </w:p>
        </w:tc>
      </w:tr>
      <w:tr w14:paraId="4E16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5A6F2C4">
            <w:r>
              <w:rPr>
                <w:color w:val="1B3A5C"/>
                <w:sz w:val="20"/>
                <w:szCs w:val="20"/>
              </w:rPr>
              <w:t>Primary Customer Segment</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E474104">
            <w:pPr>
              <w:rPr>
                <w:rFonts w:hint="default"/>
                <w:i/>
                <w:iCs/>
                <w:color w:val="555555"/>
                <w:sz w:val="20"/>
                <w:szCs w:val="20"/>
              </w:rPr>
            </w:pPr>
            <w:r>
              <w:rPr>
                <w:rFonts w:hint="default"/>
                <w:i/>
                <w:iCs/>
                <w:color w:val="555555"/>
                <w:sz w:val="20"/>
                <w:szCs w:val="20"/>
              </w:rPr>
              <w:t>Young entrepreneurs aged 18–35 operating informal or early-stage businesses including:</w:t>
            </w:r>
          </w:p>
          <w:p w14:paraId="1A6C4D62">
            <w:pPr>
              <w:rPr>
                <w:rFonts w:hint="default"/>
                <w:i/>
                <w:iCs/>
                <w:color w:val="555555"/>
                <w:sz w:val="20"/>
                <w:szCs w:val="20"/>
              </w:rPr>
            </w:pPr>
            <w:r>
              <w:rPr>
                <w:rFonts w:hint="default"/>
                <w:i/>
                <w:iCs/>
                <w:color w:val="555555"/>
                <w:sz w:val="20"/>
                <w:szCs w:val="20"/>
                <w:lang w:val="en-ZA"/>
              </w:rPr>
              <w:t>Students</w:t>
            </w:r>
          </w:p>
          <w:p w14:paraId="612E132E">
            <w:pPr>
              <w:rPr>
                <w:rFonts w:hint="default"/>
                <w:i/>
                <w:iCs/>
                <w:color w:val="555555"/>
                <w:sz w:val="20"/>
                <w:szCs w:val="20"/>
              </w:rPr>
            </w:pPr>
            <w:r>
              <w:rPr>
                <w:rFonts w:hint="default"/>
                <w:i/>
                <w:iCs/>
                <w:color w:val="555555"/>
                <w:sz w:val="20"/>
                <w:szCs w:val="20"/>
              </w:rPr>
              <w:t>Online sellers and social media businesses</w:t>
            </w:r>
          </w:p>
          <w:p w14:paraId="5166A96C">
            <w:pPr>
              <w:rPr>
                <w:rFonts w:hint="default"/>
                <w:i/>
                <w:iCs/>
                <w:color w:val="555555"/>
                <w:sz w:val="20"/>
                <w:szCs w:val="20"/>
              </w:rPr>
            </w:pPr>
            <w:r>
              <w:rPr>
                <w:rFonts w:hint="default"/>
                <w:i/>
                <w:iCs/>
                <w:color w:val="555555"/>
                <w:sz w:val="20"/>
                <w:szCs w:val="20"/>
              </w:rPr>
              <w:t>Freelancers and digital service providers</w:t>
            </w:r>
          </w:p>
          <w:p w14:paraId="362D3458">
            <w:pPr>
              <w:rPr>
                <w:rFonts w:hint="default"/>
                <w:i/>
                <w:iCs/>
                <w:color w:val="555555"/>
                <w:sz w:val="20"/>
                <w:szCs w:val="20"/>
              </w:rPr>
            </w:pPr>
            <w:r>
              <w:rPr>
                <w:rFonts w:hint="default"/>
                <w:i/>
                <w:iCs/>
                <w:color w:val="555555"/>
                <w:sz w:val="20"/>
                <w:szCs w:val="20"/>
              </w:rPr>
              <w:t>Street vendors and small traders</w:t>
            </w:r>
          </w:p>
          <w:p w14:paraId="6B3884C3">
            <w:r>
              <w:rPr>
                <w:rFonts w:hint="default"/>
                <w:i/>
                <w:iCs/>
                <w:color w:val="555555"/>
                <w:sz w:val="20"/>
                <w:szCs w:val="20"/>
              </w:rPr>
              <w:t>Side-hustle entrepreneurs and gig workers</w:t>
            </w:r>
          </w:p>
        </w:tc>
      </w:tr>
      <w:tr w14:paraId="137E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1E63638">
            <w:r>
              <w:rPr>
                <w:color w:val="1B3A5C"/>
                <w:sz w:val="20"/>
                <w:szCs w:val="20"/>
              </w:rPr>
              <w:t>Strategic Objective</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32954C5">
            <w:pPr>
              <w:rPr>
                <w:rFonts w:hint="default"/>
                <w:i/>
                <w:iCs/>
                <w:color w:val="555555"/>
                <w:sz w:val="20"/>
                <w:szCs w:val="20"/>
              </w:rPr>
            </w:pPr>
            <w:r>
              <w:rPr>
                <w:rFonts w:hint="default"/>
                <w:i/>
                <w:iCs/>
                <w:color w:val="555555"/>
                <w:sz w:val="20"/>
                <w:szCs w:val="20"/>
              </w:rPr>
              <w:t>Capture informal business transaction flows while supporting youth entrepreneurship.</w:t>
            </w:r>
          </w:p>
          <w:p w14:paraId="3FF906D3">
            <w:pPr>
              <w:rPr>
                <w:rFonts w:hint="default"/>
                <w:i/>
                <w:iCs/>
                <w:color w:val="555555"/>
                <w:sz w:val="20"/>
                <w:szCs w:val="20"/>
              </w:rPr>
            </w:pPr>
          </w:p>
          <w:p w14:paraId="31B71124">
            <w:pPr>
              <w:rPr>
                <w:rFonts w:hint="default"/>
                <w:i/>
                <w:iCs/>
                <w:color w:val="555555"/>
                <w:sz w:val="20"/>
                <w:szCs w:val="20"/>
              </w:rPr>
            </w:pPr>
            <w:r>
              <w:rPr>
                <w:rFonts w:hint="default"/>
                <w:i/>
                <w:iCs/>
                <w:color w:val="555555"/>
                <w:sz w:val="20"/>
                <w:szCs w:val="20"/>
              </w:rPr>
              <w:t>The product aims to:</w:t>
            </w:r>
          </w:p>
          <w:p w14:paraId="3C1C533A">
            <w:pPr>
              <w:rPr>
                <w:rFonts w:hint="default"/>
                <w:i/>
                <w:iCs/>
                <w:color w:val="555555"/>
                <w:sz w:val="20"/>
                <w:szCs w:val="20"/>
              </w:rPr>
            </w:pPr>
            <w:r>
              <w:rPr>
                <w:rFonts w:hint="default"/>
                <w:i/>
                <w:iCs/>
                <w:color w:val="555555"/>
                <w:sz w:val="20"/>
                <w:szCs w:val="20"/>
              </w:rPr>
              <w:t>Formalize informal businesses into the banking system</w:t>
            </w:r>
          </w:p>
          <w:p w14:paraId="456716E5">
            <w:pPr>
              <w:rPr>
                <w:rFonts w:hint="default"/>
                <w:i/>
                <w:iCs/>
                <w:color w:val="555555"/>
                <w:sz w:val="20"/>
                <w:szCs w:val="20"/>
              </w:rPr>
            </w:pPr>
            <w:r>
              <w:rPr>
                <w:rFonts w:hint="default"/>
                <w:i/>
                <w:iCs/>
                <w:color w:val="555555"/>
                <w:sz w:val="20"/>
                <w:szCs w:val="20"/>
              </w:rPr>
              <w:t>Grow AFC's transaction revenue and deposits</w:t>
            </w:r>
          </w:p>
          <w:p w14:paraId="414FCCAC">
            <w:r>
              <w:rPr>
                <w:rFonts w:hint="default"/>
                <w:i/>
                <w:iCs/>
                <w:color w:val="555555"/>
                <w:sz w:val="20"/>
                <w:szCs w:val="20"/>
              </w:rPr>
              <w:t>Build a pipeline for future SME lending customers</w:t>
            </w:r>
          </w:p>
        </w:tc>
      </w:tr>
      <w:tr w14:paraId="572B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F47329A">
            <w:r>
              <w:rPr>
                <w:color w:val="1B3A5C"/>
                <w:sz w:val="20"/>
                <w:szCs w:val="20"/>
              </w:rPr>
              <w:t>Investment Ask (if applicable)</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D481E3D">
            <w:r>
              <w:rPr>
                <w:rFonts w:hint="default"/>
                <w:i/>
                <w:iCs/>
                <w:color w:val="555555"/>
                <w:sz w:val="20"/>
                <w:szCs w:val="20"/>
              </w:rPr>
              <w:t>Estimated initial investment: USD $</w:t>
            </w:r>
            <w:r>
              <w:rPr>
                <w:rFonts w:hint="default"/>
                <w:i/>
                <w:iCs/>
                <w:color w:val="555555"/>
                <w:sz w:val="20"/>
                <w:szCs w:val="20"/>
                <w:lang w:val="en-ZA"/>
              </w:rPr>
              <w:t>2</w:t>
            </w:r>
            <w:r>
              <w:rPr>
                <w:rFonts w:hint="default"/>
                <w:i/>
                <w:iCs/>
                <w:color w:val="555555"/>
                <w:sz w:val="20"/>
                <w:szCs w:val="20"/>
              </w:rPr>
              <w:t>50,000 – $</w:t>
            </w:r>
            <w:r>
              <w:rPr>
                <w:rFonts w:hint="default"/>
                <w:i/>
                <w:iCs/>
                <w:color w:val="555555"/>
                <w:sz w:val="20"/>
                <w:szCs w:val="20"/>
                <w:lang w:val="en-ZA"/>
              </w:rPr>
              <w:t>4</w:t>
            </w:r>
            <w:r>
              <w:rPr>
                <w:rFonts w:hint="default"/>
                <w:i/>
                <w:iCs/>
                <w:color w:val="555555"/>
                <w:sz w:val="20"/>
                <w:szCs w:val="20"/>
              </w:rPr>
              <w:t>00,000</w:t>
            </w:r>
          </w:p>
        </w:tc>
      </w:tr>
      <w:tr w14:paraId="748D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D5A542A">
            <w:r>
              <w:rPr>
                <w:color w:val="1B3A5C"/>
                <w:sz w:val="20"/>
                <w:szCs w:val="20"/>
              </w:rPr>
              <w:t>Recommended Decision</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D0D8810">
            <w:r>
              <w:rPr>
                <w:rFonts w:hint="default"/>
                <w:i/>
                <w:iCs/>
                <w:color w:val="555555"/>
                <w:sz w:val="20"/>
                <w:szCs w:val="20"/>
              </w:rPr>
              <w:t>PROCEED</w:t>
            </w:r>
          </w:p>
        </w:tc>
      </w:tr>
    </w:tbl>
    <w:p w14:paraId="38999227">
      <w:pPr>
        <w:spacing w:line="120" w:lineRule="auto"/>
      </w:pPr>
    </w:p>
    <w:p w14:paraId="2774272F">
      <w:pPr>
        <w:pStyle w:val="3"/>
      </w:pPr>
      <w:bookmarkStart w:id="2" w:name="_Toc224559727"/>
      <w:r>
        <w:t>Strategic Rationale</w:t>
      </w:r>
      <w:bookmarkEnd w:id="2"/>
    </w:p>
    <w:p w14:paraId="7D10A16C">
      <w:pPr>
        <w:spacing w:before="60" w:after="60"/>
      </w:pPr>
      <w:r>
        <w:rPr>
          <w:color w:val="000000"/>
        </w:rPr>
        <w:t>Summarise in 3–5 sentences why this opportunity warrants bank investment now. Address: market timing, competitive window, and alignment to corporate strategy.</w:t>
      </w:r>
    </w:p>
    <w:p w14:paraId="4CA1DAC7">
      <w:pPr>
        <w:pBdr>
          <w:bottom w:val="single" w:color="AAAAAA" w:sz="4" w:space="1"/>
        </w:pBdr>
        <w:spacing w:before="40" w:after="60"/>
      </w:pPr>
    </w:p>
    <w:p w14:paraId="1F922A57">
      <w:pPr>
        <w:pBdr>
          <w:bottom w:val="single" w:color="AAAAAA" w:sz="4" w:space="1"/>
        </w:pBdr>
        <w:spacing w:before="40" w:after="60"/>
      </w:pPr>
    </w:p>
    <w:p w14:paraId="2C2137F5">
      <w:pPr>
        <w:pBdr>
          <w:bottom w:val="single" w:color="AAAAAA" w:sz="4" w:space="1"/>
        </w:pBdr>
        <w:spacing w:before="40" w:after="60"/>
      </w:pPr>
    </w:p>
    <w:p w14:paraId="6D7541BB">
      <w:pPr>
        <w:pBdr>
          <w:bottom w:val="single" w:color="AAAAAA" w:sz="4" w:space="1"/>
        </w:pBdr>
        <w:spacing w:before="40" w:after="60"/>
      </w:pPr>
    </w:p>
    <w:p w14:paraId="4871225C">
      <w:pPr>
        <w:spacing w:line="120" w:lineRule="auto"/>
      </w:pPr>
    </w:p>
    <w:p w14:paraId="18E98DAD">
      <w:pPr>
        <w:pStyle w:val="3"/>
      </w:pPr>
      <w:bookmarkStart w:id="3" w:name="_Toc224559728"/>
      <w:r>
        <w:t>Key Financials at a Glance</w:t>
      </w:r>
      <w:bookmarkEnd w:id="3"/>
    </w:p>
    <w:tbl>
      <w:tblPr>
        <w:tblStyle w:val="10"/>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440"/>
        <w:gridCol w:w="1440"/>
        <w:gridCol w:w="1440"/>
        <w:gridCol w:w="2840"/>
      </w:tblGrid>
      <w:tr w14:paraId="49E1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ED9D2A7">
            <w:pPr>
              <w:jc w:val="center"/>
            </w:pPr>
            <w:r>
              <w:rPr>
                <w:b/>
                <w:bCs/>
                <w:color w:val="FFFFFF"/>
                <w:sz w:val="19"/>
                <w:szCs w:val="19"/>
              </w:rPr>
              <w:t>Metric</w:t>
            </w:r>
          </w:p>
        </w:tc>
        <w:tc>
          <w:tcPr>
            <w:tcW w:w="144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E39301B">
            <w:pPr>
              <w:jc w:val="center"/>
            </w:pPr>
            <w:r>
              <w:rPr>
                <w:b/>
                <w:bCs/>
                <w:color w:val="FFFFFF"/>
                <w:sz w:val="19"/>
                <w:szCs w:val="19"/>
              </w:rPr>
              <w:t>Year 1 (Pilot)</w:t>
            </w:r>
          </w:p>
        </w:tc>
        <w:tc>
          <w:tcPr>
            <w:tcW w:w="144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40F428F">
            <w:pPr>
              <w:jc w:val="center"/>
            </w:pPr>
            <w:r>
              <w:rPr>
                <w:b/>
                <w:bCs/>
                <w:color w:val="FFFFFF"/>
                <w:sz w:val="19"/>
                <w:szCs w:val="19"/>
              </w:rPr>
              <w:t>Year 2</w:t>
            </w:r>
          </w:p>
        </w:tc>
        <w:tc>
          <w:tcPr>
            <w:tcW w:w="144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EF5C978">
            <w:pPr>
              <w:jc w:val="center"/>
            </w:pPr>
            <w:r>
              <w:rPr>
                <w:b/>
                <w:bCs/>
                <w:color w:val="FFFFFF"/>
                <w:sz w:val="19"/>
                <w:szCs w:val="19"/>
              </w:rPr>
              <w:t>Year 3</w:t>
            </w:r>
          </w:p>
        </w:tc>
        <w:tc>
          <w:tcPr>
            <w:tcW w:w="284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106F63FB">
            <w:pPr>
              <w:jc w:val="center"/>
            </w:pPr>
            <w:r>
              <w:rPr>
                <w:b/>
                <w:bCs/>
                <w:color w:val="FFFFFF"/>
                <w:sz w:val="19"/>
                <w:szCs w:val="19"/>
              </w:rPr>
              <w:t>Assumptions</w:t>
            </w:r>
          </w:p>
        </w:tc>
      </w:tr>
      <w:tr w14:paraId="5A7E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0DAA869">
            <w:r>
              <w:rPr>
                <w:color w:val="555555"/>
                <w:sz w:val="20"/>
                <w:szCs w:val="20"/>
              </w:rPr>
              <w:t>Revenue (USD)</w:t>
            </w:r>
          </w:p>
        </w:tc>
        <w:tc>
          <w:tcPr>
            <w:tcW w:w="144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774F990">
            <w:r>
              <w:rPr>
                <w:rFonts w:hint="default"/>
                <w:color w:val="555555"/>
                <w:sz w:val="20"/>
                <w:szCs w:val="20"/>
              </w:rPr>
              <w:t>$370,000</w:t>
            </w:r>
          </w:p>
        </w:tc>
        <w:tc>
          <w:tcPr>
            <w:tcW w:w="144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E7A8291">
            <w:r>
              <w:rPr>
                <w:rFonts w:hint="default"/>
                <w:color w:val="555555"/>
                <w:sz w:val="20"/>
                <w:szCs w:val="20"/>
              </w:rPr>
              <w:t>$820,000</w:t>
            </w:r>
          </w:p>
        </w:tc>
        <w:tc>
          <w:tcPr>
            <w:tcW w:w="144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72F617B">
            <w:r>
              <w:rPr>
                <w:rFonts w:hint="default"/>
                <w:color w:val="555555"/>
                <w:sz w:val="20"/>
                <w:szCs w:val="20"/>
              </w:rPr>
              <w:t>$1,500,000</w:t>
            </w:r>
          </w:p>
        </w:tc>
        <w:tc>
          <w:tcPr>
            <w:tcW w:w="284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8B2E5A0">
            <w:r>
              <w:rPr>
                <w:rFonts w:hint="default"/>
                <w:color w:val="555555"/>
                <w:sz w:val="20"/>
                <w:szCs w:val="20"/>
              </w:rPr>
              <w:t>Revenue driven by transaction fees, merchant QR payments, and micro-loan interest</w:t>
            </w:r>
          </w:p>
        </w:tc>
      </w:tr>
      <w:tr w14:paraId="089D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E97E655">
            <w:r>
              <w:rPr>
                <w:color w:val="555555"/>
                <w:sz w:val="20"/>
                <w:szCs w:val="20"/>
              </w:rPr>
              <w:t>Customers Acquired</w:t>
            </w:r>
          </w:p>
        </w:tc>
        <w:tc>
          <w:tcPr>
            <w:tcW w:w="144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244DBBC">
            <w:pPr>
              <w:rPr>
                <w:rFonts w:hint="default"/>
                <w:lang w:val="en-ZA"/>
              </w:rPr>
            </w:pPr>
            <w:r>
              <w:rPr>
                <w:rFonts w:hint="default"/>
                <w:color w:val="555555"/>
                <w:sz w:val="20"/>
                <w:szCs w:val="20"/>
                <w:lang w:val="en-ZA"/>
              </w:rPr>
              <w:t>8 000</w:t>
            </w:r>
          </w:p>
        </w:tc>
        <w:tc>
          <w:tcPr>
            <w:tcW w:w="144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85616F0">
            <w:pPr>
              <w:rPr>
                <w:rFonts w:hint="default"/>
                <w:lang w:val="en-ZA"/>
              </w:rPr>
            </w:pPr>
            <w:r>
              <w:rPr>
                <w:rFonts w:hint="default"/>
                <w:color w:val="555555"/>
                <w:sz w:val="20"/>
                <w:szCs w:val="20"/>
                <w:lang w:val="en-ZA"/>
              </w:rPr>
              <w:t>18 000</w:t>
            </w:r>
          </w:p>
        </w:tc>
        <w:tc>
          <w:tcPr>
            <w:tcW w:w="144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B92A31A">
            <w:pPr>
              <w:rPr>
                <w:rFonts w:hint="default"/>
                <w:lang w:val="en-ZA"/>
              </w:rPr>
            </w:pPr>
            <w:r>
              <w:rPr>
                <w:rFonts w:hint="default"/>
                <w:color w:val="555555"/>
                <w:sz w:val="20"/>
                <w:szCs w:val="20"/>
                <w:lang w:val="en-ZA"/>
              </w:rPr>
              <w:t>30 000</w:t>
            </w:r>
          </w:p>
        </w:tc>
        <w:tc>
          <w:tcPr>
            <w:tcW w:w="284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1FF2E2D">
            <w:pPr>
              <w:rPr>
                <w:rFonts w:hint="default"/>
                <w:lang w:val="en-ZA"/>
              </w:rPr>
            </w:pPr>
            <w:r>
              <w:rPr>
                <w:rFonts w:hint="default"/>
                <w:color w:val="555555"/>
                <w:sz w:val="20"/>
                <w:szCs w:val="20"/>
              </w:rPr>
              <w:t>Acquisition via influencer marketing, SME hubs, digital campaigns</w:t>
            </w:r>
            <w:r>
              <w:rPr>
                <w:rFonts w:hint="default"/>
                <w:color w:val="555555"/>
                <w:sz w:val="20"/>
                <w:szCs w:val="20"/>
                <w:lang w:val="en-ZA"/>
              </w:rPr>
              <w:t xml:space="preserve"> &amp; universities </w:t>
            </w:r>
          </w:p>
        </w:tc>
      </w:tr>
      <w:tr w14:paraId="6D5E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029B1E4">
            <w:r>
              <w:rPr>
                <w:color w:val="555555"/>
                <w:sz w:val="20"/>
                <w:szCs w:val="20"/>
              </w:rPr>
              <w:t>Break-Even Month</w:t>
            </w:r>
          </w:p>
        </w:tc>
        <w:tc>
          <w:tcPr>
            <w:tcW w:w="144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2F5FA5B">
            <w:pPr>
              <w:rPr>
                <w:rFonts w:hint="default"/>
                <w:lang w:val="en-ZA"/>
              </w:rPr>
            </w:pPr>
            <w:r>
              <w:rPr>
                <w:rFonts w:hint="default"/>
                <w:color w:val="555555"/>
                <w:sz w:val="20"/>
                <w:szCs w:val="20"/>
                <w:lang w:val="en-ZA"/>
              </w:rPr>
              <w:t>Month 20</w:t>
            </w:r>
          </w:p>
        </w:tc>
        <w:tc>
          <w:tcPr>
            <w:tcW w:w="144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1D3C56E">
            <w:r>
              <w:rPr>
                <w:color w:val="555555"/>
                <w:sz w:val="20"/>
                <w:szCs w:val="20"/>
              </w:rPr>
              <w:t>—</w:t>
            </w:r>
          </w:p>
        </w:tc>
        <w:tc>
          <w:tcPr>
            <w:tcW w:w="144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3DDB27F">
            <w:r>
              <w:rPr>
                <w:color w:val="555555"/>
                <w:sz w:val="20"/>
                <w:szCs w:val="20"/>
              </w:rPr>
              <w:t>—</w:t>
            </w:r>
          </w:p>
        </w:tc>
        <w:tc>
          <w:tcPr>
            <w:tcW w:w="284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7DAB6EA">
            <w:r>
              <w:rPr>
                <w:rFonts w:hint="default"/>
                <w:color w:val="555555"/>
                <w:sz w:val="20"/>
                <w:szCs w:val="20"/>
              </w:rPr>
              <w:t>CAC ~$12, ARPU ~$37, strong transaction growth</w:t>
            </w:r>
          </w:p>
        </w:tc>
      </w:tr>
    </w:tbl>
    <w:p w14:paraId="713B9A4F">
      <w:pPr>
        <w:pStyle w:val="2"/>
        <w:pageBreakBefore/>
        <w:spacing w:before="0"/>
      </w:pPr>
      <w:bookmarkStart w:id="4" w:name="_Toc224559729"/>
      <w:r>
        <w:rPr>
          <w:color w:val="2E6DA4"/>
        </w:rPr>
        <w:t xml:space="preserve">2  </w:t>
      </w:r>
      <w:r>
        <w:t>Market Opportunity Analysis</w:t>
      </w:r>
      <w:bookmarkEnd w:id="4"/>
    </w:p>
    <w:p w14:paraId="32627BAE">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215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2D861401">
            <w:pPr>
              <w:spacing w:before="60" w:after="80"/>
            </w:pPr>
            <w:r>
              <w:rPr>
                <w:b/>
                <w:bCs/>
                <w:color w:val="1B3A5C"/>
              </w:rPr>
              <w:t>Analyst Guidance</w:t>
            </w:r>
          </w:p>
          <w:p w14:paraId="78117737">
            <w:pPr>
              <w:spacing w:before="30" w:after="30"/>
            </w:pPr>
            <w:r>
              <w:rPr>
                <w:i/>
                <w:iCs/>
                <w:color w:val="555555"/>
                <w:sz w:val="20"/>
                <w:szCs w:val="20"/>
              </w:rPr>
              <w:t>Quantify the opportunity wherever possible. Cite sources. Use a Bottom-Up market sizing approach: start with addressable units (people, schools, farms) and apply conversion assumptions.</w:t>
            </w:r>
          </w:p>
          <w:p w14:paraId="785FA42A">
            <w:pPr>
              <w:spacing w:before="30" w:after="30"/>
            </w:pPr>
            <w:r>
              <w:rPr>
                <w:i/>
                <w:iCs/>
                <w:color w:val="555555"/>
                <w:sz w:val="20"/>
                <w:szCs w:val="20"/>
              </w:rPr>
              <w:t>For Zimbabwe specifically, reference RBZ data, ZimStat, World Bank country profiles, and sector-specific ministry reports as primary sources.</w:t>
            </w:r>
          </w:p>
        </w:tc>
      </w:tr>
    </w:tbl>
    <w:p w14:paraId="576167C8">
      <w:pPr>
        <w:spacing w:line="120" w:lineRule="auto"/>
      </w:pPr>
    </w:p>
    <w:p w14:paraId="1A28C2C4">
      <w:pPr>
        <w:pStyle w:val="3"/>
      </w:pPr>
      <w:bookmarkStart w:id="5" w:name="_Toc224559730"/>
      <w:r>
        <w:t>2.1 Target Market Definition</w:t>
      </w:r>
      <w:bookmarkEnd w:id="5"/>
    </w:p>
    <w:p w14:paraId="37BAB365">
      <w:pPr>
        <w:spacing w:before="60" w:after="60"/>
      </w:pPr>
      <w:r>
        <w:rPr>
          <w:color w:val="000000"/>
        </w:rPr>
        <w:t>Define the precise customer segment with geographic, demographic, and behavioural specificity.</w:t>
      </w:r>
    </w:p>
    <w:p w14:paraId="79F2B713">
      <w:pPr>
        <w:pBdr>
          <w:bottom w:val="single" w:color="AAAAAA" w:sz="4" w:space="1"/>
        </w:pBdr>
        <w:spacing w:before="40" w:after="60"/>
        <w:rPr>
          <w:rFonts w:hint="default"/>
          <w:i/>
          <w:iCs/>
          <w:color w:val="999999"/>
          <w:sz w:val="20"/>
          <w:szCs w:val="20"/>
        </w:rPr>
      </w:pPr>
      <w:r>
        <w:rPr>
          <w:rFonts w:hint="default"/>
          <w:i/>
          <w:iCs/>
          <w:color w:val="999999"/>
          <w:sz w:val="20"/>
          <w:szCs w:val="20"/>
        </w:rPr>
        <w:t>The Hustler Account targets Gen Z informal earners aged 18–30 engaged in small-scale entrepreneurial activities across urban and peri-urban Zimbabwe, particularly in Harare, Bulawayo, Chitungwiza, Mutare, and Gweru, where youth participation in informal trading and digital payments is high.</w:t>
      </w:r>
    </w:p>
    <w:p w14:paraId="315AE269">
      <w:pPr>
        <w:pBdr>
          <w:bottom w:val="single" w:color="AAAAAA" w:sz="4" w:space="1"/>
        </w:pBdr>
        <w:spacing w:before="40" w:after="60"/>
        <w:rPr>
          <w:rFonts w:hint="default"/>
          <w:i/>
          <w:iCs/>
          <w:color w:val="999999"/>
          <w:sz w:val="20"/>
          <w:szCs w:val="20"/>
        </w:rPr>
      </w:pPr>
    </w:p>
    <w:p w14:paraId="2404DC91">
      <w:pPr>
        <w:pBdr>
          <w:bottom w:val="single" w:color="AAAAAA" w:sz="4" w:space="1"/>
        </w:pBdr>
        <w:spacing w:before="40" w:after="60"/>
        <w:rPr>
          <w:rFonts w:hint="default"/>
          <w:i/>
          <w:iCs/>
          <w:color w:val="999999"/>
          <w:sz w:val="20"/>
          <w:szCs w:val="20"/>
        </w:rPr>
      </w:pPr>
      <w:r>
        <w:rPr>
          <w:rFonts w:hint="default"/>
          <w:i/>
          <w:iCs/>
          <w:color w:val="999999"/>
          <w:sz w:val="20"/>
          <w:szCs w:val="20"/>
        </w:rPr>
        <w:t>This segment primarily includes street vendors, online resellers, campus entrepreneurs, gig workers, small service providers (e.g., hair stylists, phone repairers, delivery riders), and market traders who generate irregular but frequent cash flows from micro-business activities.</w:t>
      </w:r>
    </w:p>
    <w:p w14:paraId="5ABBDBDE">
      <w:pPr>
        <w:pBdr>
          <w:bottom w:val="single" w:color="AAAAAA" w:sz="4" w:space="1"/>
        </w:pBdr>
        <w:spacing w:before="40" w:after="60"/>
        <w:rPr>
          <w:rFonts w:hint="default"/>
          <w:i/>
          <w:iCs/>
          <w:color w:val="999999"/>
          <w:sz w:val="20"/>
          <w:szCs w:val="20"/>
        </w:rPr>
      </w:pPr>
    </w:p>
    <w:p w14:paraId="594F995C">
      <w:pPr>
        <w:pBdr>
          <w:bottom w:val="single" w:color="AAAAAA" w:sz="4" w:space="1"/>
        </w:pBdr>
        <w:spacing w:before="40" w:after="60"/>
        <w:rPr>
          <w:rFonts w:hint="default"/>
          <w:i/>
          <w:iCs/>
          <w:color w:val="999999"/>
          <w:sz w:val="20"/>
          <w:szCs w:val="20"/>
        </w:rPr>
      </w:pPr>
      <w:r>
        <w:rPr>
          <w:rFonts w:hint="default"/>
          <w:i/>
          <w:iCs/>
          <w:color w:val="999999"/>
          <w:sz w:val="20"/>
          <w:szCs w:val="20"/>
        </w:rPr>
        <w:t>Demographically, the segment consists largely of young adults with secondary or tertiary education, often transitioning from education into entrepreneurship due to limited formal employment opportunities. Many operate solo micro-businesses or side hustles and earn USD 80–250 per month on average, with income variability depending on trading cycles and seasonal demand.</w:t>
      </w:r>
    </w:p>
    <w:p w14:paraId="4D89AF8A">
      <w:pPr>
        <w:pBdr>
          <w:bottom w:val="single" w:color="AAAAAA" w:sz="4" w:space="1"/>
        </w:pBdr>
        <w:spacing w:before="40" w:after="60"/>
        <w:rPr>
          <w:rFonts w:hint="default"/>
          <w:i/>
          <w:iCs/>
          <w:color w:val="999999"/>
          <w:sz w:val="20"/>
          <w:szCs w:val="20"/>
        </w:rPr>
      </w:pPr>
    </w:p>
    <w:p w14:paraId="1B2F8FF1">
      <w:pPr>
        <w:pBdr>
          <w:bottom w:val="single" w:color="AAAAAA" w:sz="4" w:space="1"/>
        </w:pBdr>
        <w:spacing w:before="40" w:after="60"/>
        <w:rPr>
          <w:rFonts w:hint="default"/>
          <w:i/>
          <w:iCs/>
          <w:color w:val="999999"/>
          <w:sz w:val="20"/>
          <w:szCs w:val="20"/>
        </w:rPr>
      </w:pPr>
      <w:r>
        <w:rPr>
          <w:rFonts w:hint="default"/>
          <w:i/>
          <w:iCs/>
          <w:color w:val="999999"/>
          <w:sz w:val="20"/>
          <w:szCs w:val="20"/>
        </w:rPr>
        <w:t>Behaviourally, this segment is highly mobile-first and transaction-driven. Most rely on mobile money platforms such as EcoCash or ZIPIT-enabled transfers for daily payments, airtime purchases, bill payments, and peer-to-peer transfers. Bank usage is typically limited due to perceived high fees, strict KYC requirements, and lack of tailored youth financial products.</w:t>
      </w:r>
    </w:p>
    <w:p w14:paraId="5E176BC4">
      <w:pPr>
        <w:pBdr>
          <w:bottom w:val="single" w:color="AAAAAA" w:sz="4" w:space="1"/>
        </w:pBdr>
        <w:spacing w:before="40" w:after="60"/>
        <w:rPr>
          <w:rFonts w:hint="default"/>
          <w:i/>
          <w:iCs/>
          <w:color w:val="999999"/>
          <w:sz w:val="20"/>
          <w:szCs w:val="20"/>
        </w:rPr>
      </w:pPr>
    </w:p>
    <w:p w14:paraId="03BCC634">
      <w:pPr>
        <w:pBdr>
          <w:bottom w:val="single" w:color="AAAAAA" w:sz="4" w:space="1"/>
        </w:pBdr>
        <w:spacing w:before="40" w:after="60"/>
        <w:rPr>
          <w:rFonts w:hint="default"/>
          <w:i/>
          <w:iCs/>
          <w:color w:val="999999"/>
          <w:sz w:val="20"/>
          <w:szCs w:val="20"/>
        </w:rPr>
      </w:pPr>
      <w:r>
        <w:rPr>
          <w:rFonts w:hint="default"/>
          <w:i/>
          <w:iCs/>
          <w:color w:val="999999"/>
          <w:sz w:val="20"/>
          <w:szCs w:val="20"/>
        </w:rPr>
        <w:t>Technology adoption is relatively high: smartphone penetration among urban youth exceeds 70%, and social media platforms (WhatsApp, Instagram, Facebook Marketplace, TikTok) are frequently used as sales channels for informal commerce. However, financial literacy and access to structured financial services remain moderate to low, with most youth lacking formal savings tools, credit history, or access to micro-capital.</w:t>
      </w:r>
    </w:p>
    <w:p w14:paraId="1C71DA0A">
      <w:pPr>
        <w:pBdr>
          <w:bottom w:val="single" w:color="AAAAAA" w:sz="4" w:space="1"/>
        </w:pBdr>
        <w:spacing w:before="40" w:after="60"/>
        <w:rPr>
          <w:rFonts w:hint="default"/>
          <w:i/>
          <w:iCs/>
          <w:color w:val="999999"/>
          <w:sz w:val="20"/>
          <w:szCs w:val="20"/>
        </w:rPr>
      </w:pPr>
    </w:p>
    <w:p w14:paraId="56AC92BF">
      <w:pPr>
        <w:pBdr>
          <w:bottom w:val="single" w:color="AAAAAA" w:sz="4" w:space="1"/>
        </w:pBdr>
        <w:spacing w:before="40" w:after="60"/>
      </w:pPr>
      <w:r>
        <w:rPr>
          <w:rFonts w:hint="default"/>
          <w:i/>
          <w:iCs/>
          <w:color w:val="999999"/>
          <w:sz w:val="20"/>
          <w:szCs w:val="20"/>
        </w:rPr>
        <w:t>The Hustler Account is therefore designed to serve digitally active, income-generating youth who need a low-cost transactional banking product that integrates seamlessly with their daily trading activities, mobile payments, and emerging entrepreneurial aspirations.</w:t>
      </w:r>
    </w:p>
    <w:p w14:paraId="266CBFAA">
      <w:pPr>
        <w:pBdr>
          <w:bottom w:val="single" w:color="AAAAAA" w:sz="4" w:space="1"/>
        </w:pBdr>
        <w:spacing w:before="40" w:after="60"/>
      </w:pPr>
    </w:p>
    <w:p w14:paraId="01D31DE1">
      <w:pPr>
        <w:spacing w:line="120" w:lineRule="auto"/>
      </w:pPr>
    </w:p>
    <w:p w14:paraId="57D445D6">
      <w:pPr>
        <w:pStyle w:val="3"/>
      </w:pPr>
      <w:bookmarkStart w:id="6" w:name="_Toc224559731"/>
      <w:r>
        <w:t>2.2 Market Sizing</w:t>
      </w:r>
      <w:bookmarkEnd w:id="6"/>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3960"/>
      </w:tblGrid>
      <w:tr w14:paraId="54BD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ADE589A">
            <w:pPr>
              <w:jc w:val="center"/>
            </w:pPr>
            <w:r>
              <w:rPr>
                <w:b/>
                <w:bCs/>
                <w:color w:val="FFFFFF"/>
                <w:sz w:val="19"/>
                <w:szCs w:val="19"/>
              </w:rPr>
              <w:t>Sizing Layer</w:t>
            </w:r>
          </w:p>
        </w:tc>
        <w:tc>
          <w:tcPr>
            <w:tcW w:w="2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34FF238E">
            <w:pPr>
              <w:jc w:val="center"/>
            </w:pPr>
            <w:r>
              <w:rPr>
                <w:b/>
                <w:bCs/>
                <w:color w:val="FFFFFF"/>
                <w:sz w:val="19"/>
                <w:szCs w:val="19"/>
              </w:rPr>
              <w:t>Estimate</w:t>
            </w:r>
          </w:p>
        </w:tc>
        <w:tc>
          <w:tcPr>
            <w:tcW w:w="39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4DC61CD">
            <w:pPr>
              <w:jc w:val="center"/>
            </w:pPr>
            <w:r>
              <w:rPr>
                <w:b/>
                <w:bCs/>
                <w:color w:val="FFFFFF"/>
                <w:sz w:val="19"/>
                <w:szCs w:val="19"/>
              </w:rPr>
              <w:t>Source / Assumption</w:t>
            </w:r>
          </w:p>
        </w:tc>
      </w:tr>
      <w:tr w14:paraId="42A2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E39E528">
            <w:r>
              <w:rPr>
                <w:color w:val="555555"/>
                <w:sz w:val="20"/>
                <w:szCs w:val="20"/>
              </w:rPr>
              <w:t>Total Addressable Market (TAM)</w:t>
            </w:r>
          </w:p>
        </w:tc>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C6AF607">
            <w:pPr>
              <w:rPr>
                <w:rFonts w:hint="default"/>
                <w:lang w:val="en-ZA"/>
              </w:rPr>
            </w:pPr>
            <w:r>
              <w:rPr>
                <w:rFonts w:hint="default"/>
                <w:color w:val="555555"/>
                <w:sz w:val="20"/>
                <w:szCs w:val="20"/>
                <w:lang w:val="en-ZA"/>
              </w:rPr>
              <w:t>2.5 – 3.0 million Gen Z informal earners in Zimbabwe</w:t>
            </w:r>
          </w:p>
        </w:tc>
        <w:tc>
          <w:tcPr>
            <w:tcW w:w="3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5969B4B">
            <w:r>
              <w:rPr>
                <w:rFonts w:hint="default"/>
                <w:color w:val="555555"/>
                <w:sz w:val="20"/>
                <w:szCs w:val="20"/>
              </w:rPr>
              <w:t>Zimbabwe Gen Z population ≈ 4.5–5M (ages 13–29). Assume ~60% participate in informal income activities (trading, side hustles, gig work).</w:t>
            </w:r>
          </w:p>
        </w:tc>
      </w:tr>
      <w:tr w14:paraId="4C75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FB49C69">
            <w:r>
              <w:rPr>
                <w:color w:val="555555"/>
                <w:sz w:val="20"/>
                <w:szCs w:val="20"/>
              </w:rPr>
              <w:t>Serviceable Addressable Market (SAM)</w:t>
            </w:r>
          </w:p>
        </w:tc>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5F3114A">
            <w:pPr>
              <w:rPr>
                <w:rFonts w:hint="default"/>
                <w:lang w:val="en-ZA"/>
              </w:rPr>
            </w:pPr>
            <w:r>
              <w:rPr>
                <w:rFonts w:hint="default"/>
                <w:color w:val="555555"/>
                <w:sz w:val="20"/>
                <w:szCs w:val="20"/>
                <w:lang w:val="en-ZA"/>
              </w:rPr>
              <w:t xml:space="preserve">1.2 – 1.5 million Gen Z informal earners with mobile access </w:t>
            </w:r>
          </w:p>
        </w:tc>
        <w:tc>
          <w:tcPr>
            <w:tcW w:w="3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4A34F07">
            <w:r>
              <w:rPr>
                <w:rFonts w:hint="default"/>
                <w:color w:val="555555"/>
                <w:sz w:val="20"/>
                <w:szCs w:val="20"/>
              </w:rPr>
              <w:t>Filter TAM for those with mobile phones and digital payment exposure (EcoCash/ZIPIT). Zimbabwe mobile penetration &gt;90%.</w:t>
            </w:r>
          </w:p>
        </w:tc>
      </w:tr>
      <w:tr w14:paraId="165D0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8628293">
            <w:r>
              <w:rPr>
                <w:color w:val="555555"/>
                <w:sz w:val="20"/>
                <w:szCs w:val="20"/>
              </w:rPr>
              <w:t>Serviceable Obtainable Market (SOM)</w:t>
            </w:r>
          </w:p>
        </w:tc>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9CECACC">
            <w:pPr>
              <w:rPr>
                <w:rFonts w:hint="default"/>
                <w:lang w:val="en-ZA"/>
              </w:rPr>
            </w:pPr>
            <w:r>
              <w:rPr>
                <w:rFonts w:hint="default"/>
                <w:color w:val="555555"/>
                <w:sz w:val="20"/>
                <w:szCs w:val="20"/>
                <w:lang w:val="en-ZA"/>
              </w:rPr>
              <w:t>60,000 – 80,000 customers within 3 years</w:t>
            </w:r>
          </w:p>
        </w:tc>
        <w:tc>
          <w:tcPr>
            <w:tcW w:w="3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CC9FB0D">
            <w:r>
              <w:rPr>
                <w:rFonts w:hint="default"/>
                <w:color w:val="555555"/>
                <w:sz w:val="20"/>
                <w:szCs w:val="20"/>
              </w:rPr>
              <w:t>Assumes AFC captures ~5% of SAM in early growth phase through targeted youth accounts and digital onboarding.</w:t>
            </w:r>
          </w:p>
        </w:tc>
      </w:tr>
      <w:tr w14:paraId="706E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5BDACE2">
            <w:r>
              <w:rPr>
                <w:color w:val="555555"/>
                <w:sz w:val="20"/>
                <w:szCs w:val="20"/>
              </w:rPr>
              <w:t>Annual Financial Flows in Segment (USD)</w:t>
            </w:r>
          </w:p>
        </w:tc>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235E325">
            <w:r>
              <w:rPr>
                <w:rFonts w:hint="default"/>
                <w:color w:val="555555"/>
                <w:sz w:val="20"/>
                <w:szCs w:val="20"/>
              </w:rPr>
              <w:t>USD 1.5B – 2.0B annually</w:t>
            </w:r>
          </w:p>
        </w:tc>
        <w:tc>
          <w:tcPr>
            <w:tcW w:w="3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47853A7">
            <w:r>
              <w:rPr>
                <w:rFonts w:hint="default"/>
                <w:color w:val="555555"/>
                <w:sz w:val="20"/>
                <w:szCs w:val="20"/>
              </w:rPr>
              <w:t>Informal Gen Z traders typically transact ~$100–150/month. Multiply by ~1.2–1.5M individuals.</w:t>
            </w:r>
          </w:p>
        </w:tc>
      </w:tr>
    </w:tbl>
    <w:p w14:paraId="386273BD">
      <w:pPr>
        <w:spacing w:line="120" w:lineRule="auto"/>
      </w:pPr>
    </w:p>
    <w:p w14:paraId="24425904">
      <w:pPr>
        <w:pStyle w:val="3"/>
      </w:pPr>
      <w:bookmarkStart w:id="7" w:name="_Toc224559732"/>
      <w:r>
        <w:t>2.3 Key Customer Pain Points</w:t>
      </w:r>
      <w:bookmarkEnd w:id="7"/>
    </w:p>
    <w:p w14:paraId="61FF418B">
      <w:pPr>
        <w:spacing w:before="60" w:after="60"/>
      </w:pPr>
      <w:r>
        <w:rPr>
          <w:color w:val="000000"/>
        </w:rPr>
        <w:t>Identify the top 3–5 unmet needs that create a compelling entry point. Rank by severity and current lack of solution.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000"/>
        <w:gridCol w:w="1300"/>
        <w:gridCol w:w="2000"/>
        <w:gridCol w:w="2560"/>
      </w:tblGrid>
      <w:tr w14:paraId="3A86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A07EB0A">
            <w:pPr>
              <w:jc w:val="center"/>
            </w:pPr>
            <w:r>
              <w:rPr>
                <w:b/>
                <w:bCs/>
                <w:color w:val="FFFFFF"/>
                <w:sz w:val="19"/>
                <w:szCs w:val="19"/>
              </w:rPr>
              <w:t>#</w:t>
            </w:r>
          </w:p>
        </w:tc>
        <w:tc>
          <w:tcPr>
            <w:tcW w:w="3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120FB064">
            <w:pPr>
              <w:jc w:val="center"/>
            </w:pPr>
            <w:r>
              <w:rPr>
                <w:b/>
                <w:bCs/>
                <w:color w:val="FFFFFF"/>
                <w:sz w:val="19"/>
                <w:szCs w:val="19"/>
              </w:rPr>
              <w:t>Pain Point</w:t>
            </w:r>
          </w:p>
        </w:tc>
        <w:tc>
          <w:tcPr>
            <w:tcW w:w="13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B4992B3">
            <w:pPr>
              <w:jc w:val="center"/>
            </w:pPr>
            <w:r>
              <w:rPr>
                <w:b/>
                <w:bCs/>
                <w:color w:val="FFFFFF"/>
                <w:sz w:val="19"/>
                <w:szCs w:val="19"/>
              </w:rPr>
              <w:t>Severity (H/M/L)</w:t>
            </w:r>
          </w:p>
        </w:tc>
        <w:tc>
          <w:tcPr>
            <w:tcW w:w="2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F88DF5A">
            <w:pPr>
              <w:jc w:val="center"/>
            </w:pPr>
            <w:r>
              <w:rPr>
                <w:b/>
                <w:bCs/>
                <w:color w:val="FFFFFF"/>
                <w:sz w:val="19"/>
                <w:szCs w:val="19"/>
              </w:rPr>
              <w:t>Current Workaround</w:t>
            </w:r>
          </w:p>
        </w:tc>
        <w:tc>
          <w:tcPr>
            <w:tcW w:w="25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E227059">
            <w:pPr>
              <w:jc w:val="center"/>
            </w:pPr>
            <w:r>
              <w:rPr>
                <w:b/>
                <w:bCs/>
                <w:color w:val="FFFFFF"/>
                <w:sz w:val="19"/>
                <w:szCs w:val="19"/>
              </w:rPr>
              <w:t>Bank Opportunity</w:t>
            </w:r>
          </w:p>
        </w:tc>
      </w:tr>
      <w:tr w14:paraId="55CC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84" w:hRule="atLeast"/>
        </w:trPr>
        <w:tc>
          <w:tcPr>
            <w:tcW w:w="5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DDACB7E">
            <w:r>
              <w:rPr>
                <w:color w:val="555555"/>
                <w:sz w:val="20"/>
                <w:szCs w:val="20"/>
              </w:rPr>
              <w:t>1</w:t>
            </w:r>
          </w:p>
        </w:tc>
        <w:tc>
          <w:tcPr>
            <w:tcW w:w="3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B76779E">
            <w:r>
              <w:rPr>
                <w:rFonts w:hint="default"/>
                <w:color w:val="555555"/>
                <w:sz w:val="20"/>
                <w:szCs w:val="20"/>
              </w:rPr>
              <w:t>Difficulty opening a bank account due to KYC requirements and minimum balance requirements</w:t>
            </w:r>
          </w:p>
        </w:tc>
        <w:tc>
          <w:tcPr>
            <w:tcW w:w="13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3E53A49">
            <w:r>
              <w:rPr>
                <w:color w:val="555555"/>
                <w:sz w:val="20"/>
                <w:szCs w:val="20"/>
              </w:rPr>
              <w:t>[H]</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CF7B258">
            <w:pPr>
              <w:rPr>
                <w:rFonts w:hint="default"/>
                <w:lang w:val="en-ZA"/>
              </w:rPr>
            </w:pPr>
            <w:r>
              <w:rPr>
                <w:rFonts w:hint="default"/>
                <w:lang w:val="en-ZA"/>
              </w:rPr>
              <w:t>Youth rely on mobile wallets (EcoCash / OneMoney) or transact purely in cash because opening a traditional bank account requires proof of residence, income documentation, or minimum balances.</w:t>
            </w:r>
          </w:p>
        </w:tc>
        <w:tc>
          <w:tcPr>
            <w:tcW w:w="2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B572619">
            <w:r>
              <w:rPr>
                <w:rFonts w:hint="default"/>
                <w:color w:val="555555"/>
                <w:sz w:val="20"/>
                <w:szCs w:val="20"/>
              </w:rPr>
              <w:t>Introduce a KYC-lite Hustler Account with simplified onboarding (ID + mobile number), low or zero minimum balance, and digital onboarding via USSD, WhatsApp, or mobile app.</w:t>
            </w:r>
          </w:p>
        </w:tc>
      </w:tr>
      <w:tr w14:paraId="4EE3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62" w:hRule="atLeast"/>
        </w:trPr>
        <w:tc>
          <w:tcPr>
            <w:tcW w:w="5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B2E4E58">
            <w:r>
              <w:rPr>
                <w:color w:val="555555"/>
                <w:sz w:val="20"/>
                <w:szCs w:val="20"/>
              </w:rPr>
              <w:t>2</w:t>
            </w:r>
          </w:p>
        </w:tc>
        <w:tc>
          <w:tcPr>
            <w:tcW w:w="3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8C4BE8F">
            <w:r>
              <w:rPr>
                <w:rFonts w:hint="default"/>
                <w:color w:val="555555"/>
                <w:sz w:val="20"/>
                <w:szCs w:val="20"/>
              </w:rPr>
              <w:t>High transaction and account maintenance fees relative to small incomes</w:t>
            </w:r>
          </w:p>
        </w:tc>
        <w:tc>
          <w:tcPr>
            <w:tcW w:w="13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97E22B6">
            <w:r>
              <w:rPr>
                <w:color w:val="555555"/>
                <w:sz w:val="20"/>
                <w:szCs w:val="20"/>
              </w:rPr>
              <w:t>[H]</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808B566">
            <w:pPr>
              <w:rPr>
                <w:rFonts w:hint="default"/>
                <w:lang w:val="en-ZA"/>
              </w:rPr>
            </w:pPr>
            <w:r>
              <w:rPr>
                <w:rFonts w:hint="default"/>
                <w:color w:val="555555"/>
                <w:sz w:val="20"/>
                <w:szCs w:val="20"/>
                <w:lang w:val="en-ZA"/>
              </w:rPr>
              <w:t xml:space="preserve">Youth avoid banks and instead use cash trading, peer transfers, or mobile wallets, even when these are insecure or costly in the long run. </w:t>
            </w:r>
          </w:p>
        </w:tc>
        <w:tc>
          <w:tcPr>
            <w:tcW w:w="2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67C9D44">
            <w:r>
              <w:rPr>
                <w:rFonts w:hint="default"/>
                <w:color w:val="555555"/>
                <w:sz w:val="20"/>
                <w:szCs w:val="20"/>
              </w:rPr>
              <w:t>Provide a low-cost transactional account with minimal monthly fees and reduced transaction charges designed specifically for micro-transaction users.</w:t>
            </w:r>
          </w:p>
        </w:tc>
      </w:tr>
      <w:tr w14:paraId="0362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D9BF3EC">
            <w:r>
              <w:rPr>
                <w:color w:val="555555"/>
                <w:sz w:val="20"/>
                <w:szCs w:val="20"/>
              </w:rPr>
              <w:t>3</w:t>
            </w:r>
          </w:p>
        </w:tc>
        <w:tc>
          <w:tcPr>
            <w:tcW w:w="3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CD5C9A3">
            <w:r>
              <w:rPr>
                <w:rFonts w:hint="default"/>
                <w:color w:val="555555"/>
                <w:sz w:val="20"/>
                <w:szCs w:val="20"/>
              </w:rPr>
              <w:t>Limited access to micro-capital to grow small hustles or trading businesses</w:t>
            </w:r>
          </w:p>
        </w:tc>
        <w:tc>
          <w:tcPr>
            <w:tcW w:w="13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AF4AC55">
            <w:r>
              <w:rPr>
                <w:color w:val="555555"/>
                <w:sz w:val="20"/>
                <w:szCs w:val="20"/>
              </w:rPr>
              <w:t>[M]</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B0BE555">
            <w:pPr>
              <w:rPr>
                <w:rFonts w:hint="default"/>
                <w:lang w:val="en-ZA"/>
              </w:rPr>
            </w:pPr>
            <w:r>
              <w:rPr>
                <w:rFonts w:hint="default"/>
                <w:lang w:val="en-ZA"/>
              </w:rPr>
              <w:t>Informal borrowing from friends, family, savings clubs (mukando), or loan sharks with very high interest rates.</w:t>
            </w:r>
          </w:p>
        </w:tc>
        <w:tc>
          <w:tcPr>
            <w:tcW w:w="2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9F212E4">
            <w:r>
              <w:rPr>
                <w:rFonts w:hint="default"/>
                <w:color w:val="555555"/>
                <w:sz w:val="20"/>
                <w:szCs w:val="20"/>
              </w:rPr>
              <w:t>Use transaction history from the Hustler Account to build credit profiles, enabling small working-capital micro-loans for youth traders and gig workers.</w:t>
            </w:r>
          </w:p>
        </w:tc>
      </w:tr>
      <w:tr w14:paraId="65D7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3ED4A8E">
            <w:r>
              <w:rPr>
                <w:color w:val="555555"/>
                <w:sz w:val="20"/>
                <w:szCs w:val="20"/>
              </w:rPr>
              <w:t>4</w:t>
            </w:r>
          </w:p>
        </w:tc>
        <w:tc>
          <w:tcPr>
            <w:tcW w:w="3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0461461">
            <w:r>
              <w:rPr>
                <w:rFonts w:hint="default"/>
                <w:color w:val="555555"/>
                <w:sz w:val="20"/>
                <w:szCs w:val="20"/>
              </w:rPr>
              <w:t>Difficulty receiving digital payments from customers</w:t>
            </w:r>
          </w:p>
        </w:tc>
        <w:tc>
          <w:tcPr>
            <w:tcW w:w="13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EB95CA8">
            <w:r>
              <w:rPr>
                <w:color w:val="555555"/>
                <w:sz w:val="20"/>
                <w:szCs w:val="20"/>
              </w:rPr>
              <w:t>[</w:t>
            </w:r>
            <w:r>
              <w:rPr>
                <w:rFonts w:hint="default"/>
                <w:color w:val="555555"/>
                <w:sz w:val="20"/>
                <w:szCs w:val="20"/>
                <w:lang w:val="en-ZA"/>
              </w:rPr>
              <w:t>M</w:t>
            </w:r>
            <w:r>
              <w:rPr>
                <w:color w:val="555555"/>
                <w:sz w:val="20"/>
                <w:szCs w:val="20"/>
              </w:rPr>
              <w:t>]</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82DAE1F">
            <w:r>
              <w:rPr>
                <w:rFonts w:hint="default"/>
                <w:color w:val="555555"/>
                <w:sz w:val="20"/>
                <w:szCs w:val="20"/>
              </w:rPr>
              <w:t>Most Gen Z traders rely on mobile wallet transfers, cash payments, or personal accounts, which are inefficient for business use and difficult to track.</w:t>
            </w:r>
          </w:p>
        </w:tc>
        <w:tc>
          <w:tcPr>
            <w:tcW w:w="2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2EEAE99">
            <w:r>
              <w:rPr>
                <w:rFonts w:hint="default"/>
                <w:color w:val="555555"/>
                <w:sz w:val="20"/>
                <w:szCs w:val="20"/>
              </w:rPr>
              <w:t>Enable merchant-friendly features such as QR payments, ZIPIT transfers, and merchant mini-accounts, allowing youth traders to easily accept digital payments and manage business income.</w:t>
            </w:r>
          </w:p>
        </w:tc>
      </w:tr>
    </w:tbl>
    <w:p w14:paraId="2B237C57">
      <w:pPr>
        <w:spacing w:line="120" w:lineRule="auto"/>
      </w:pPr>
    </w:p>
    <w:p w14:paraId="2337164A">
      <w:pPr>
        <w:pStyle w:val="3"/>
      </w:pPr>
      <w:bookmarkStart w:id="8" w:name="_Toc224559733"/>
    </w:p>
    <w:p w14:paraId="562B8710">
      <w:pPr>
        <w:pStyle w:val="3"/>
      </w:pPr>
      <w:r>
        <w:t>2.4 Market Dynamics &amp; Trends</w:t>
      </w:r>
      <w:bookmarkEnd w:id="8"/>
    </w:p>
    <w:p w14:paraId="24B155E6">
      <w:pPr>
        <w:spacing w:before="60" w:after="60"/>
      </w:pPr>
      <w:r>
        <w:rPr>
          <w:color w:val="000000"/>
        </w:rPr>
        <w:t>Describe the 3–5 macro and sector trends driving the opportunity. Link each to a strategic implication.</w:t>
      </w:r>
    </w:p>
    <w:p w14:paraId="2D5DCA9F">
      <w:pPr>
        <w:pStyle w:val="18"/>
        <w:numPr>
          <w:ilvl w:val="0"/>
          <w:numId w:val="1"/>
        </w:numPr>
        <w:spacing w:before="40" w:after="40"/>
        <w:rPr>
          <w:rFonts w:hint="default"/>
          <w:i/>
          <w:iCs/>
          <w:color w:val="555555"/>
          <w:sz w:val="20"/>
          <w:szCs w:val="20"/>
        </w:rPr>
      </w:pPr>
      <w:r>
        <w:rPr>
          <w:color w:val="000000"/>
        </w:rPr>
        <w:t>Trend 1:</w:t>
      </w:r>
      <w:r>
        <w:rPr>
          <w:i/>
          <w:iCs/>
          <w:color w:val="555555"/>
          <w:sz w:val="20"/>
          <w:szCs w:val="20"/>
        </w:rPr>
        <w:t xml:space="preserve">  —</w:t>
      </w:r>
      <w:r>
        <w:rPr>
          <w:rFonts w:hint="default"/>
          <w:i/>
          <w:iCs/>
          <w:color w:val="555555"/>
          <w:sz w:val="20"/>
          <w:szCs w:val="20"/>
        </w:rPr>
        <w:t>High Mobile Money and Digital Payments Penetration</w:t>
      </w:r>
    </w:p>
    <w:p w14:paraId="2FBBE6AD">
      <w:pPr>
        <w:pStyle w:val="18"/>
        <w:numPr>
          <w:ilvl w:val="0"/>
          <w:numId w:val="1"/>
        </w:numPr>
        <w:spacing w:before="40" w:after="40"/>
      </w:pPr>
      <w:r>
        <w:rPr>
          <w:rFonts w:hint="default"/>
          <w:i/>
          <w:iCs/>
          <w:color w:val="555555"/>
          <w:sz w:val="20"/>
          <w:szCs w:val="20"/>
        </w:rPr>
        <w:t>Zimbabwe has one of the highest mobile money adoption rates in Africa, with digital payment channels such as EcoCash, ZIPIT, and mobile banking widely used for everyday transactions. Youth especially rely on mobile platforms for peer-to-peer payments, airtime purchases, and merchant transactions.</w:t>
      </w:r>
      <w:r>
        <w:rPr>
          <w:rFonts w:hint="default"/>
          <w:i/>
          <w:iCs/>
          <w:color w:val="555555"/>
          <w:sz w:val="20"/>
          <w:szCs w:val="20"/>
          <w:lang w:val="en-ZA"/>
        </w:rPr>
        <w:t xml:space="preserve"> </w:t>
      </w:r>
      <w:r>
        <w:rPr>
          <w:rFonts w:hint="default"/>
          <w:i/>
          <w:iCs/>
          <w:color w:val="555555"/>
          <w:sz w:val="20"/>
          <w:szCs w:val="20"/>
        </w:rPr>
        <w:t>Strategic implication: The Hustler Account should be digital-first, integrating USSD, QR payments, and ZIPIT transfers to align with existing payment behaviour and minimize reliance on physical branches.</w:t>
      </w:r>
    </w:p>
    <w:p w14:paraId="5E3B3B6D">
      <w:pPr>
        <w:pStyle w:val="18"/>
        <w:numPr>
          <w:ilvl w:val="0"/>
          <w:numId w:val="0"/>
        </w:numPr>
        <w:spacing w:before="40" w:after="40"/>
      </w:pPr>
    </w:p>
    <w:p w14:paraId="42DD5A85">
      <w:pPr>
        <w:pStyle w:val="18"/>
        <w:numPr>
          <w:ilvl w:val="0"/>
          <w:numId w:val="1"/>
        </w:numPr>
        <w:spacing w:before="40" w:after="40"/>
        <w:rPr>
          <w:rFonts w:hint="default"/>
          <w:i/>
          <w:iCs/>
          <w:color w:val="555555"/>
          <w:sz w:val="20"/>
          <w:szCs w:val="20"/>
        </w:rPr>
      </w:pPr>
      <w:r>
        <w:rPr>
          <w:color w:val="000000"/>
        </w:rPr>
        <w:t>Trend 2:</w:t>
      </w:r>
      <w:r>
        <w:rPr>
          <w:i/>
          <w:iCs/>
          <w:color w:val="555555"/>
          <w:sz w:val="20"/>
          <w:szCs w:val="20"/>
        </w:rPr>
        <w:t xml:space="preserve">  — </w:t>
      </w:r>
      <w:r>
        <w:rPr>
          <w:rFonts w:hint="default"/>
          <w:i/>
          <w:iCs/>
          <w:color w:val="555555"/>
          <w:sz w:val="20"/>
          <w:szCs w:val="20"/>
        </w:rPr>
        <w:t>Growth of the Informal Economy and Youth Entrepreneurship</w:t>
      </w:r>
    </w:p>
    <w:p w14:paraId="03381965">
      <w:pPr>
        <w:pStyle w:val="18"/>
        <w:numPr>
          <w:ilvl w:val="0"/>
          <w:numId w:val="1"/>
        </w:numPr>
        <w:spacing w:before="40" w:after="40"/>
      </w:pPr>
      <w:r>
        <w:rPr>
          <w:rFonts w:hint="default"/>
          <w:i/>
          <w:iCs/>
          <w:color w:val="555555"/>
          <w:sz w:val="20"/>
          <w:szCs w:val="20"/>
        </w:rPr>
        <w:t>Zimbabwe’s informal sector dominates economic activity, with many young people entering self-employment through micro-enterprises, street trading, gig work, and online resale. Youth entrepreneurship has become a primary income pathway due to limited formal employment opportunities.</w:t>
      </w:r>
      <w:r>
        <w:rPr>
          <w:rFonts w:hint="default"/>
          <w:i/>
          <w:iCs/>
          <w:color w:val="555555"/>
          <w:sz w:val="20"/>
          <w:szCs w:val="20"/>
          <w:lang w:val="en-ZA"/>
        </w:rPr>
        <w:t xml:space="preserve"> </w:t>
      </w:r>
      <w:r>
        <w:rPr>
          <w:rFonts w:hint="default"/>
          <w:i/>
          <w:iCs/>
          <w:color w:val="555555"/>
          <w:sz w:val="20"/>
          <w:szCs w:val="20"/>
        </w:rPr>
        <w:t>Strategic implication: The bank can position the Hustler Account as the financial home for youth entrepreneurs, offering tools for transaction tracking, savings, and micro-credit linked to business activity.</w:t>
      </w:r>
    </w:p>
    <w:p w14:paraId="7667F21A">
      <w:pPr>
        <w:pStyle w:val="18"/>
        <w:numPr>
          <w:ilvl w:val="0"/>
          <w:numId w:val="0"/>
        </w:numPr>
        <w:spacing w:before="40" w:after="40"/>
        <w:ind w:left="320" w:leftChars="0"/>
      </w:pPr>
    </w:p>
    <w:p w14:paraId="7F6FF08C">
      <w:pPr>
        <w:pStyle w:val="18"/>
        <w:numPr>
          <w:ilvl w:val="0"/>
          <w:numId w:val="1"/>
        </w:numPr>
        <w:spacing w:before="40" w:after="40"/>
        <w:rPr>
          <w:rFonts w:hint="default"/>
          <w:i/>
          <w:iCs/>
          <w:color w:val="555555"/>
          <w:sz w:val="20"/>
          <w:szCs w:val="20"/>
        </w:rPr>
      </w:pPr>
      <w:r>
        <w:rPr>
          <w:color w:val="000000"/>
        </w:rPr>
        <w:t>Trend 3:</w:t>
      </w:r>
      <w:r>
        <w:rPr>
          <w:i/>
          <w:iCs/>
          <w:color w:val="555555"/>
          <w:sz w:val="20"/>
          <w:szCs w:val="20"/>
        </w:rPr>
        <w:t xml:space="preserve">  —</w:t>
      </w:r>
      <w:r>
        <w:rPr>
          <w:rFonts w:hint="default"/>
          <w:i/>
          <w:iCs/>
          <w:color w:val="555555"/>
          <w:sz w:val="20"/>
          <w:szCs w:val="20"/>
        </w:rPr>
        <w:t>Rapid Growth of Social Commerce and Digital Side Hustles</w:t>
      </w:r>
    </w:p>
    <w:p w14:paraId="7187922B">
      <w:pPr>
        <w:pStyle w:val="18"/>
        <w:numPr>
          <w:ilvl w:val="0"/>
          <w:numId w:val="1"/>
        </w:numPr>
        <w:spacing w:before="40" w:after="40"/>
      </w:pPr>
      <w:r>
        <w:rPr>
          <w:rFonts w:hint="default"/>
          <w:i/>
          <w:iCs/>
          <w:color w:val="555555"/>
          <w:sz w:val="20"/>
          <w:szCs w:val="20"/>
        </w:rPr>
        <w:t>Young Zimbabweans increasingly use WhatsApp, Facebook Marketplace, Instagram, and TikTok to sell products and services. This has created a generation of informal digital merchants who require easy ways to receive payments and manage small business finances.</w:t>
      </w:r>
      <w:r>
        <w:rPr>
          <w:rFonts w:hint="default"/>
          <w:i/>
          <w:iCs/>
          <w:color w:val="555555"/>
          <w:sz w:val="20"/>
          <w:szCs w:val="20"/>
          <w:lang w:val="en-ZA"/>
        </w:rPr>
        <w:t xml:space="preserve"> </w:t>
      </w:r>
      <w:r>
        <w:rPr>
          <w:rFonts w:hint="default"/>
          <w:i/>
          <w:iCs/>
          <w:color w:val="555555"/>
          <w:sz w:val="20"/>
          <w:szCs w:val="20"/>
        </w:rPr>
        <w:t>Strategic implication: The Hustler Account should support merchant-style payment features, including QR payments, payment links, and instant transfer notifications, enabling Gen Z traders to accept digital payments easily</w:t>
      </w:r>
    </w:p>
    <w:p w14:paraId="53BC8CDF">
      <w:pPr>
        <w:pStyle w:val="18"/>
        <w:numPr>
          <w:ilvl w:val="0"/>
          <w:numId w:val="0"/>
        </w:numPr>
        <w:spacing w:before="40" w:after="40"/>
      </w:pPr>
    </w:p>
    <w:p w14:paraId="3269C3F5">
      <w:pPr>
        <w:pStyle w:val="18"/>
        <w:numPr>
          <w:ilvl w:val="0"/>
          <w:numId w:val="1"/>
        </w:numPr>
        <w:spacing w:before="40" w:after="40"/>
        <w:rPr>
          <w:rFonts w:hint="default"/>
          <w:i/>
          <w:iCs/>
          <w:color w:val="555555"/>
          <w:sz w:val="20"/>
          <w:szCs w:val="20"/>
        </w:rPr>
      </w:pPr>
      <w:r>
        <w:rPr>
          <w:color w:val="000000"/>
        </w:rPr>
        <w:t>Trend 4:</w:t>
      </w:r>
      <w:r>
        <w:rPr>
          <w:i/>
          <w:iCs/>
          <w:color w:val="555555"/>
          <w:sz w:val="20"/>
          <w:szCs w:val="20"/>
        </w:rPr>
        <w:t xml:space="preserve">  —</w:t>
      </w:r>
      <w:r>
        <w:rPr>
          <w:rFonts w:hint="default"/>
          <w:i/>
          <w:iCs/>
          <w:color w:val="555555"/>
          <w:sz w:val="20"/>
          <w:szCs w:val="20"/>
        </w:rPr>
        <w:t>Financial Inclusion Focus by Regulators and Banks</w:t>
      </w:r>
    </w:p>
    <w:p w14:paraId="28657830">
      <w:pPr>
        <w:pStyle w:val="18"/>
        <w:numPr>
          <w:ilvl w:val="0"/>
          <w:numId w:val="1"/>
        </w:numPr>
        <w:spacing w:before="40" w:after="40"/>
      </w:pPr>
      <w:r>
        <w:rPr>
          <w:rFonts w:hint="default"/>
          <w:i/>
          <w:iCs/>
          <w:color w:val="555555"/>
          <w:sz w:val="20"/>
          <w:szCs w:val="20"/>
        </w:rPr>
        <w:t>Zimbabwe’s financial sector has increasingly prioritized financial inclusion initiatives, including simplified account tiers and digital banking channels to bring underserved populations into the formal financial system.</w:t>
      </w:r>
      <w:r>
        <w:rPr>
          <w:rFonts w:hint="default"/>
          <w:i/>
          <w:iCs/>
          <w:color w:val="555555"/>
          <w:sz w:val="20"/>
          <w:szCs w:val="20"/>
          <w:lang w:val="en-ZA"/>
        </w:rPr>
        <w:t xml:space="preserve"> </w:t>
      </w:r>
      <w:r>
        <w:rPr>
          <w:rFonts w:hint="default"/>
          <w:i/>
          <w:iCs/>
          <w:color w:val="555555"/>
          <w:sz w:val="20"/>
          <w:szCs w:val="20"/>
        </w:rPr>
        <w:t>Strategic implication: The Hustler Account can leverage tiered KYC models and simplified onboarding, aligning with regulatory inclusion goals while enabling rapid customer acquisition.</w:t>
      </w:r>
    </w:p>
    <w:p w14:paraId="633BC6A8">
      <w:pPr>
        <w:pStyle w:val="18"/>
        <w:numPr>
          <w:ilvl w:val="0"/>
          <w:numId w:val="0"/>
        </w:numPr>
        <w:spacing w:before="40" w:after="40"/>
      </w:pPr>
    </w:p>
    <w:p w14:paraId="0DFEBAC9">
      <w:pPr>
        <w:pStyle w:val="18"/>
        <w:numPr>
          <w:ilvl w:val="0"/>
          <w:numId w:val="1"/>
        </w:numPr>
        <w:spacing w:before="40" w:after="40"/>
        <w:rPr>
          <w:rFonts w:hint="default"/>
          <w:i/>
          <w:iCs/>
          <w:color w:val="555555"/>
          <w:sz w:val="20"/>
          <w:szCs w:val="20"/>
        </w:rPr>
      </w:pPr>
      <w:r>
        <w:rPr>
          <w:color w:val="000000"/>
        </w:rPr>
        <w:t>Trend 5:</w:t>
      </w:r>
      <w:r>
        <w:rPr>
          <w:i/>
          <w:iCs/>
          <w:color w:val="555555"/>
          <w:sz w:val="20"/>
          <w:szCs w:val="20"/>
        </w:rPr>
        <w:t xml:space="preserve">  —</w:t>
      </w:r>
      <w:r>
        <w:rPr>
          <w:rFonts w:hint="default"/>
          <w:i/>
          <w:iCs/>
          <w:color w:val="555555"/>
          <w:sz w:val="20"/>
          <w:szCs w:val="20"/>
        </w:rPr>
        <w:t>Increasing Competition for the Gen Z Banking Segment</w:t>
      </w:r>
    </w:p>
    <w:p w14:paraId="2C3382B6">
      <w:pPr>
        <w:pStyle w:val="18"/>
        <w:numPr>
          <w:ilvl w:val="0"/>
          <w:numId w:val="1"/>
        </w:numPr>
        <w:spacing w:before="40" w:after="40"/>
        <w:rPr>
          <w:rFonts w:hint="default"/>
          <w:i/>
          <w:iCs/>
          <w:color w:val="555555"/>
          <w:sz w:val="20"/>
          <w:szCs w:val="20"/>
        </w:rPr>
      </w:pPr>
      <w:r>
        <w:rPr>
          <w:rFonts w:hint="default"/>
          <w:i/>
          <w:iCs/>
          <w:color w:val="555555"/>
          <w:sz w:val="20"/>
          <w:szCs w:val="20"/>
        </w:rPr>
        <w:t>Major Zimbabwean banks have launched youth-focused accounts with digital onboarding and low fees, targeting students, young professionals, and informal earners. These products combine mobile banking, payment ecosystems, and lifestyle services to capture early customer loyalty.</w:t>
      </w:r>
    </w:p>
    <w:p w14:paraId="2DB619C9">
      <w:pPr>
        <w:pStyle w:val="18"/>
        <w:numPr>
          <w:ilvl w:val="0"/>
          <w:numId w:val="1"/>
        </w:numPr>
        <w:spacing w:before="40" w:after="40"/>
        <w:rPr>
          <w:i/>
          <w:iCs/>
          <w:color w:val="555555"/>
          <w:sz w:val="20"/>
          <w:szCs w:val="20"/>
        </w:rPr>
      </w:pPr>
      <w:r>
        <w:rPr>
          <w:rFonts w:hint="default"/>
          <w:i/>
          <w:iCs/>
          <w:color w:val="555555"/>
          <w:sz w:val="20"/>
          <w:szCs w:val="20"/>
        </w:rPr>
        <w:t>Strategic implication: AFC must differentiate with a purpose-driven youth product, positioning the Hustler Account as the primary financial platform for Gen Z entrepreneurs and informal traders, rather than just another student or youth savings account.</w:t>
      </w:r>
    </w:p>
    <w:p w14:paraId="61C3AD0F">
      <w:pPr>
        <w:pStyle w:val="2"/>
        <w:pageBreakBefore/>
        <w:spacing w:before="0"/>
      </w:pPr>
      <w:bookmarkStart w:id="9" w:name="_Toc224559734"/>
      <w:r>
        <w:rPr>
          <w:color w:val="2E6DA4"/>
        </w:rPr>
        <w:t xml:space="preserve">3 </w:t>
      </w:r>
      <w:r>
        <w:t>Customer Segmentation</w:t>
      </w:r>
      <w:bookmarkEnd w:id="9"/>
    </w:p>
    <w:p w14:paraId="55D47BA4">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79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3B4B7B94">
            <w:pPr>
              <w:spacing w:before="60" w:after="80"/>
            </w:pPr>
            <w:r>
              <w:rPr>
                <w:b/>
                <w:bCs/>
                <w:color w:val="1B3A5C"/>
              </w:rPr>
              <w:t>Analyst Guidance</w:t>
            </w:r>
          </w:p>
          <w:p w14:paraId="7706462F">
            <w:pPr>
              <w:spacing w:before="30" w:after="30"/>
            </w:pPr>
            <w:r>
              <w:rPr>
                <w:i/>
                <w:iCs/>
                <w:color w:val="555555"/>
                <w:sz w:val="20"/>
                <w:szCs w:val="20"/>
              </w:rPr>
              <w:t>Define segments with enough precision to drive product design and channel decisions. Use a Jobs-to-be-Done lens: what financial 'job' is the customer trying to do?</w:t>
            </w:r>
          </w:p>
          <w:p w14:paraId="6A3E0D17">
            <w:pPr>
              <w:spacing w:before="30" w:after="30"/>
            </w:pPr>
            <w:r>
              <w:rPr>
                <w:i/>
                <w:iCs/>
                <w:color w:val="555555"/>
                <w:sz w:val="20"/>
                <w:szCs w:val="20"/>
              </w:rPr>
              <w:t>Primary segment = core revenue driver. Secondary segments = cross-sell or ecosystem participants.</w:t>
            </w:r>
          </w:p>
        </w:tc>
      </w:tr>
    </w:tbl>
    <w:p w14:paraId="429E6E96">
      <w:pPr>
        <w:spacing w:line="120" w:lineRule="auto"/>
      </w:pPr>
    </w:p>
    <w:p w14:paraId="49216113">
      <w:pPr>
        <w:pStyle w:val="3"/>
      </w:pPr>
      <w:bookmarkStart w:id="10" w:name="_Toc224559735"/>
      <w:r>
        <w:t>3.1 Primary Customer Segment</w:t>
      </w:r>
      <w:bookmarkEnd w:id="10"/>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4D8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FBFF918">
            <w:pPr>
              <w:jc w:val="center"/>
            </w:pPr>
            <w:r>
              <w:rPr>
                <w:b/>
                <w:bCs/>
                <w:color w:val="FFFFFF"/>
                <w:sz w:val="19"/>
                <w:szCs w:val="19"/>
              </w:rPr>
              <w:t>Dimension</w:t>
            </w:r>
          </w:p>
        </w:tc>
        <w:tc>
          <w:tcPr>
            <w:tcW w:w="65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BBBE549">
            <w:pPr>
              <w:jc w:val="center"/>
            </w:pPr>
            <w:r>
              <w:rPr>
                <w:b/>
                <w:bCs/>
                <w:color w:val="FFFFFF"/>
                <w:sz w:val="19"/>
                <w:szCs w:val="19"/>
              </w:rPr>
              <w:t>Description</w:t>
            </w:r>
          </w:p>
        </w:tc>
      </w:tr>
      <w:tr w14:paraId="29EA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6F5ED6E">
            <w:r>
              <w:rPr>
                <w:color w:val="555555"/>
                <w:sz w:val="20"/>
                <w:szCs w:val="20"/>
              </w:rPr>
              <w:t>Segment Name</w:t>
            </w:r>
          </w:p>
        </w:tc>
        <w:tc>
          <w:tcPr>
            <w:tcW w:w="6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0F73832">
            <w:pPr>
              <w:rPr>
                <w:rFonts w:hint="default"/>
                <w:lang w:val="en-ZA"/>
              </w:rPr>
            </w:pPr>
            <w:r>
              <w:rPr>
                <w:rFonts w:hint="default"/>
                <w:lang w:val="en-ZA"/>
              </w:rPr>
              <w:t xml:space="preserve">University students </w:t>
            </w:r>
          </w:p>
        </w:tc>
      </w:tr>
      <w:tr w14:paraId="7270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895FD0D">
            <w:r>
              <w:rPr>
                <w:color w:val="555555"/>
                <w:sz w:val="20"/>
                <w:szCs w:val="20"/>
              </w:rPr>
              <w:t>Demographics</w:t>
            </w:r>
          </w:p>
        </w:tc>
        <w:tc>
          <w:tcPr>
            <w:tcW w:w="6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ED01E9C">
            <w:r>
              <w:rPr>
                <w:rFonts w:hint="default"/>
                <w:color w:val="555555"/>
                <w:sz w:val="20"/>
                <w:szCs w:val="20"/>
              </w:rPr>
              <w:t>Ages 16–29, approximately 50/50 gender split, primarily located in urban and peri-urban areas such as Harare, Bulawayo, Mutare, Gweru, and Masvingo where major universities and colleges are located. Many live on or near campuses or in shared student accommodation.</w:t>
            </w:r>
          </w:p>
        </w:tc>
      </w:tr>
      <w:tr w14:paraId="003E4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D3BF4D5">
            <w:r>
              <w:rPr>
                <w:color w:val="555555"/>
                <w:sz w:val="20"/>
                <w:szCs w:val="20"/>
              </w:rPr>
              <w:t>Income Profile</w:t>
            </w:r>
          </w:p>
        </w:tc>
        <w:tc>
          <w:tcPr>
            <w:tcW w:w="6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8BCA489">
            <w:r>
              <w:rPr>
                <w:rFonts w:hint="default"/>
                <w:color w:val="555555"/>
                <w:sz w:val="20"/>
                <w:szCs w:val="20"/>
              </w:rPr>
              <w:t>Average monthly income USD 50–200. Income sources include allowances from parents/guardians, part-time work, campus jobs, online selling, tutoring, gig work, and small trading activities. Income is irregular and seasonal, typically peaking during the academic term and declining during holidays.</w:t>
            </w:r>
          </w:p>
        </w:tc>
      </w:tr>
      <w:tr w14:paraId="6507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A03F6CA">
            <w:r>
              <w:rPr>
                <w:color w:val="555555"/>
                <w:sz w:val="20"/>
                <w:szCs w:val="20"/>
              </w:rPr>
              <w:t>Financial Behaviours</w:t>
            </w:r>
          </w:p>
        </w:tc>
        <w:tc>
          <w:tcPr>
            <w:tcW w:w="6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F0D70AF">
            <w:r>
              <w:rPr>
                <w:rFonts w:hint="default"/>
                <w:color w:val="555555"/>
                <w:sz w:val="20"/>
                <w:szCs w:val="20"/>
              </w:rPr>
              <w:t>Most students rely heavily on mobile wallets and peer transfers for daily transactions. Many hold entry-level bank accounts but use them infrequently due to fees or inconvenience. Savings behaviour is informal and short-term (saving for airtime, rent, food, or small purchases). Formal credit history is typically absent, and borrowing is often done through friends, family, or informal savings groups (mukando).</w:t>
            </w:r>
          </w:p>
        </w:tc>
      </w:tr>
      <w:tr w14:paraId="2302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547CEEF">
            <w:r>
              <w:rPr>
                <w:color w:val="555555"/>
                <w:sz w:val="20"/>
                <w:szCs w:val="20"/>
              </w:rPr>
              <w:t>Technology Adoption</w:t>
            </w:r>
          </w:p>
        </w:tc>
        <w:tc>
          <w:tcPr>
            <w:tcW w:w="6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91CE647">
            <w:r>
              <w:rPr>
                <w:rFonts w:hint="default"/>
                <w:color w:val="555555"/>
                <w:sz w:val="20"/>
                <w:szCs w:val="20"/>
              </w:rPr>
              <w:t>High digital adoption. Smartphone penetration among university students is estimated 70–85%, with near-universal use of WhatsApp and mobile money services for communication and payments. Students are comfortable using mobile apps, USSD banking, and online platforms for commerce and financial services.</w:t>
            </w:r>
          </w:p>
        </w:tc>
      </w:tr>
      <w:tr w14:paraId="7526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8693B31">
            <w:r>
              <w:rPr>
                <w:color w:val="555555"/>
                <w:sz w:val="20"/>
                <w:szCs w:val="20"/>
              </w:rPr>
              <w:t>Financial Literacy Level</w:t>
            </w:r>
          </w:p>
        </w:tc>
        <w:tc>
          <w:tcPr>
            <w:tcW w:w="6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5397CBB">
            <w:r>
              <w:rPr>
                <w:rFonts w:hint="default"/>
                <w:color w:val="555555"/>
                <w:sz w:val="20"/>
                <w:szCs w:val="20"/>
              </w:rPr>
              <w:t>Medium. Students understand basic financial tools such as mobile wallets, digital payments, and budgeting for daily expenses, but many lack knowledge of formal banking products, savings planning, or credit management.</w:t>
            </w:r>
            <w:r>
              <w:rPr>
                <w:color w:val="555555"/>
                <w:sz w:val="20"/>
                <w:szCs w:val="20"/>
              </w:rPr>
              <w:t>]</w:t>
            </w:r>
          </w:p>
        </w:tc>
      </w:tr>
      <w:tr w14:paraId="1E5C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BAB867F">
            <w:r>
              <w:rPr>
                <w:color w:val="555555"/>
                <w:sz w:val="20"/>
                <w:szCs w:val="20"/>
              </w:rPr>
              <w:t>Estimated Segment Size</w:t>
            </w:r>
          </w:p>
        </w:tc>
        <w:tc>
          <w:tcPr>
            <w:tcW w:w="6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CE3A098">
            <w:r>
              <w:rPr>
                <w:rFonts w:hint="default"/>
                <w:color w:val="555555"/>
                <w:sz w:val="20"/>
                <w:szCs w:val="20"/>
              </w:rPr>
              <w:t>Approximately 250,000 – 350,000 university and tertiary students in Zimbabwe, including public and private universities, polytechnics, and teacher training colleges.</w:t>
            </w:r>
          </w:p>
        </w:tc>
      </w:tr>
      <w:tr w14:paraId="1E184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E2DD90E">
            <w:r>
              <w:rPr>
                <w:color w:val="555555"/>
                <w:sz w:val="20"/>
                <w:szCs w:val="20"/>
              </w:rPr>
              <w:t>Lifetime Value Potential</w:t>
            </w:r>
          </w:p>
        </w:tc>
        <w:tc>
          <w:tcPr>
            <w:tcW w:w="6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10727FA">
            <w:r>
              <w:rPr>
                <w:rFonts w:hint="default"/>
                <w:color w:val="555555"/>
                <w:sz w:val="20"/>
                <w:szCs w:val="20"/>
              </w:rPr>
              <w:t>Estimated USD 150–300 per customer over 3–5 years, driven by transaction fees, digital payments, merchant services, and potential cross-selling of micro-loans, savings products, and graduate accounts once students enter the workforce.</w:t>
            </w:r>
          </w:p>
        </w:tc>
      </w:tr>
    </w:tbl>
    <w:p w14:paraId="52E5B43E">
      <w:pPr>
        <w:spacing w:line="120" w:lineRule="auto"/>
      </w:pPr>
    </w:p>
    <w:p w14:paraId="53120C33">
      <w:pPr>
        <w:pStyle w:val="3"/>
      </w:pPr>
      <w:bookmarkStart w:id="11" w:name="_Toc224559736"/>
      <w:r>
        <w:t>3.2 Secondary Customer Segment(s)</w:t>
      </w:r>
      <w:bookmarkEnd w:id="11"/>
    </w:p>
    <w:p w14:paraId="6FBE36E7">
      <w:pPr>
        <w:spacing w:before="60" w:after="60"/>
      </w:pPr>
      <w:r>
        <w:rPr>
          <w:color w:val="000000"/>
        </w:rPr>
        <w:t>Repeat the table above for each secondary segment. Secondary segments often represent ecosystem participants (e.g. input suppliers, schools, employer payroll departments) whose participation is required for the model to function.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E31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839D678">
            <w:pPr>
              <w:jc w:val="center"/>
            </w:pPr>
            <w:r>
              <w:rPr>
                <w:b/>
                <w:bCs/>
                <w:color w:val="FFFFFF"/>
                <w:sz w:val="19"/>
                <w:szCs w:val="19"/>
              </w:rPr>
              <w:t>Dimension</w:t>
            </w:r>
          </w:p>
        </w:tc>
        <w:tc>
          <w:tcPr>
            <w:tcW w:w="65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2CE7ADB">
            <w:pPr>
              <w:jc w:val="center"/>
            </w:pPr>
            <w:r>
              <w:rPr>
                <w:b/>
                <w:bCs/>
                <w:color w:val="FFFFFF"/>
                <w:sz w:val="19"/>
                <w:szCs w:val="19"/>
              </w:rPr>
              <w:t>Description</w:t>
            </w:r>
          </w:p>
        </w:tc>
      </w:tr>
      <w:tr w14:paraId="7810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E3F8276">
            <w:r>
              <w:rPr>
                <w:color w:val="555555"/>
                <w:sz w:val="20"/>
                <w:szCs w:val="20"/>
              </w:rPr>
              <w:t>Segment Name</w:t>
            </w:r>
          </w:p>
        </w:tc>
        <w:tc>
          <w:tcPr>
            <w:tcW w:w="6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6984714">
            <w:r>
              <w:rPr>
                <w:rFonts w:hint="default"/>
                <w:color w:val="555555"/>
                <w:sz w:val="20"/>
                <w:szCs w:val="20"/>
              </w:rPr>
              <w:t>Campus Merchants / Student Entrepreneurs</w:t>
            </w:r>
            <w:r>
              <w:rPr>
                <w:color w:val="555555"/>
                <w:sz w:val="20"/>
                <w:szCs w:val="20"/>
              </w:rPr>
              <w:t>]</w:t>
            </w:r>
          </w:p>
        </w:tc>
      </w:tr>
      <w:tr w14:paraId="43B6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75F3D51">
            <w:r>
              <w:rPr>
                <w:color w:val="555555"/>
                <w:sz w:val="20"/>
                <w:szCs w:val="20"/>
              </w:rPr>
              <w:t>Role in the Business Model</w:t>
            </w:r>
          </w:p>
        </w:tc>
        <w:tc>
          <w:tcPr>
            <w:tcW w:w="6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484E05D">
            <w:r>
              <w:rPr>
                <w:rFonts w:hint="default"/>
                <w:color w:val="555555"/>
                <w:sz w:val="20"/>
                <w:szCs w:val="20"/>
              </w:rPr>
              <w:t>Payment counter</w:t>
            </w:r>
            <w:r>
              <w:rPr>
                <w:rFonts w:hint="default"/>
                <w:color w:val="555555"/>
                <w:sz w:val="20"/>
                <w:szCs w:val="20"/>
                <w:lang w:val="en-ZA"/>
              </w:rPr>
              <w:t xml:space="preserve"> </w:t>
            </w:r>
            <w:r>
              <w:rPr>
                <w:rFonts w:hint="default"/>
                <w:color w:val="555555"/>
                <w:sz w:val="20"/>
                <w:szCs w:val="20"/>
              </w:rPr>
              <w:t>party and merchant acceptance partner. They receive payments from students and drive daily transaction volumes through the Hustler Account ecosystem.</w:t>
            </w:r>
          </w:p>
        </w:tc>
      </w:tr>
      <w:tr w14:paraId="0988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90A3EE4">
            <w:r>
              <w:rPr>
                <w:color w:val="555555"/>
                <w:sz w:val="20"/>
                <w:szCs w:val="20"/>
              </w:rPr>
              <w:t>Demographics / Profile</w:t>
            </w:r>
          </w:p>
        </w:tc>
        <w:tc>
          <w:tcPr>
            <w:tcW w:w="6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CDD446B">
            <w:r>
              <w:rPr>
                <w:rFonts w:hint="default"/>
                <w:color w:val="555555"/>
                <w:sz w:val="20"/>
                <w:szCs w:val="20"/>
              </w:rPr>
              <w:t>Young entrepreneurs aged 18–35 operating small businesses around universities such as food vendors, printing shops, hair salons, thrift resellers, stationery suppliers, and informal traders. Mostly located in campus environments or surrounding urban markets.</w:t>
            </w:r>
          </w:p>
        </w:tc>
      </w:tr>
      <w:tr w14:paraId="266E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CEAD8B0">
            <w:r>
              <w:rPr>
                <w:color w:val="555555"/>
                <w:sz w:val="20"/>
                <w:szCs w:val="20"/>
              </w:rPr>
              <w:t>Revenue Opportunity</w:t>
            </w:r>
          </w:p>
        </w:tc>
        <w:tc>
          <w:tcPr>
            <w:tcW w:w="6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0628F76">
            <w:r>
              <w:rPr>
                <w:rFonts w:hint="default"/>
                <w:color w:val="555555"/>
                <w:sz w:val="20"/>
                <w:szCs w:val="20"/>
              </w:rPr>
              <w:t>Merchant transaction fees, QR payment fees, and merchant account services. Additional opportunity for micro-loans and working capital credit for small campus businesses.</w:t>
            </w:r>
          </w:p>
        </w:tc>
      </w:tr>
    </w:tbl>
    <w:p w14:paraId="75F316CC">
      <w:pPr>
        <w:spacing w:line="120" w:lineRule="auto"/>
      </w:pPr>
    </w:p>
    <w:p w14:paraId="2CD014BB">
      <w:pPr>
        <w:pStyle w:val="3"/>
      </w:pPr>
      <w:bookmarkStart w:id="12" w:name="_Toc224559737"/>
      <w:r>
        <w:t>3.3 Customer Persona</w:t>
      </w:r>
      <w:bookmarkEnd w:id="12"/>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23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77E6C3C1">
            <w:pPr>
              <w:spacing w:before="60" w:after="80"/>
            </w:pPr>
            <w:r>
              <w:rPr>
                <w:b/>
                <w:bCs/>
                <w:color w:val="1B3A5C"/>
              </w:rPr>
              <w:t>Optional — Recommended for Gen Z and Agriculture Sectors</w:t>
            </w:r>
          </w:p>
          <w:p w14:paraId="24872264">
            <w:pPr>
              <w:spacing w:before="30" w:after="30"/>
            </w:pPr>
            <w:r>
              <w:rPr>
                <w:i/>
                <w:iCs/>
                <w:color w:val="555555"/>
                <w:sz w:val="20"/>
                <w:szCs w:val="20"/>
              </w:rPr>
              <w:t>A persona is a fictional but research-grounded archetype. Example: 'Tatenda, 22, IT student at UZ. Uses EcoCash daily. No bank account. Receives ZINARA bursary irregularly. Aspirational about credit for a laptop.'</w:t>
            </w:r>
          </w:p>
          <w:p w14:paraId="3F57BBFF">
            <w:pPr>
              <w:spacing w:before="30" w:after="30"/>
            </w:pPr>
            <w:r>
              <w:rPr>
                <w:i/>
                <w:iCs/>
                <w:color w:val="555555"/>
                <w:sz w:val="20"/>
                <w:szCs w:val="20"/>
              </w:rPr>
              <w:t>Build 1–2 personas using qualitative research or available data. Attach to Exhibit 1.</w:t>
            </w:r>
          </w:p>
        </w:tc>
      </w:tr>
    </w:tbl>
    <w:p w14:paraId="0B536E2F">
      <w:pPr>
        <w:pBdr>
          <w:bottom w:val="single" w:color="AAAAAA" w:sz="4" w:space="1"/>
        </w:pBdr>
        <w:spacing w:before="40" w:after="60"/>
        <w:rPr>
          <w:rFonts w:hint="default"/>
          <w:i/>
          <w:iCs/>
          <w:color w:val="999999"/>
          <w:sz w:val="20"/>
          <w:szCs w:val="20"/>
        </w:rPr>
      </w:pPr>
      <w:r>
        <w:rPr>
          <w:i/>
          <w:iCs/>
          <w:color w:val="999999"/>
          <w:sz w:val="20"/>
          <w:szCs w:val="20"/>
        </w:rPr>
        <w:t xml:space="preserve">[Persona 1 </w:t>
      </w:r>
      <w:r>
        <w:rPr>
          <w:rFonts w:hint="default"/>
          <w:i/>
          <w:iCs/>
          <w:color w:val="999999"/>
          <w:sz w:val="20"/>
          <w:szCs w:val="20"/>
        </w:rPr>
        <w:t>Tatenda (Campus Hustler)</w:t>
      </w:r>
    </w:p>
    <w:p w14:paraId="5F698483">
      <w:pPr>
        <w:pBdr>
          <w:bottom w:val="single" w:color="AAAAAA" w:sz="4" w:space="1"/>
        </w:pBdr>
        <w:spacing w:before="40" w:after="60"/>
      </w:pPr>
      <w:r>
        <w:rPr>
          <w:rFonts w:hint="default"/>
          <w:i/>
          <w:iCs/>
          <w:color w:val="999999"/>
          <w:sz w:val="20"/>
          <w:szCs w:val="20"/>
        </w:rPr>
        <w:t>Tatenda is a 22-year-old IT student at the University of Zimbabwe who supplements his allowance by selling phone accessories and offering basic phone repair services on campus. He receives money from his parents via mobile money and uses EcoCash and WhatsApp to collect payments from customers, but struggles to keep track of his business income and savings. Tatenda wants a low-cost account that helps him receive digital payments, manage small business income, and eventually access a micro-loan to grow his campus hustle.</w:t>
      </w:r>
    </w:p>
    <w:p w14:paraId="7BD50F5D">
      <w:pPr>
        <w:pBdr>
          <w:bottom w:val="single" w:color="AAAAAA" w:sz="4" w:space="1"/>
        </w:pBdr>
        <w:spacing w:before="40" w:after="60"/>
      </w:pPr>
    </w:p>
    <w:p w14:paraId="0CB54710">
      <w:pPr>
        <w:pBdr>
          <w:bottom w:val="single" w:color="AAAAAA" w:sz="4" w:space="1"/>
        </w:pBdr>
        <w:spacing w:before="40" w:after="60"/>
        <w:rPr>
          <w:rFonts w:hint="default"/>
          <w:i/>
          <w:iCs/>
          <w:color w:val="999999"/>
          <w:sz w:val="20"/>
          <w:szCs w:val="20"/>
        </w:rPr>
      </w:pPr>
      <w:r>
        <w:rPr>
          <w:i/>
          <w:iCs/>
          <w:color w:val="999999"/>
          <w:sz w:val="20"/>
          <w:szCs w:val="20"/>
        </w:rPr>
        <w:t xml:space="preserve">[Persona 2 </w:t>
      </w:r>
      <w:r>
        <w:rPr>
          <w:rFonts w:hint="default"/>
          <w:i/>
          <w:iCs/>
          <w:color w:val="999999"/>
          <w:sz w:val="20"/>
          <w:szCs w:val="20"/>
        </w:rPr>
        <w:t>Nyasha (Student Reseller)</w:t>
      </w:r>
    </w:p>
    <w:p w14:paraId="10E4E87D">
      <w:pPr>
        <w:pBdr>
          <w:bottom w:val="single" w:color="AAAAAA" w:sz="4" w:space="1"/>
        </w:pBdr>
        <w:spacing w:before="40" w:after="60"/>
        <w:rPr>
          <w:i/>
          <w:iCs/>
          <w:color w:val="999999"/>
          <w:sz w:val="20"/>
          <w:szCs w:val="20"/>
        </w:rPr>
      </w:pPr>
      <w:r>
        <w:rPr>
          <w:rFonts w:hint="default"/>
          <w:i/>
          <w:iCs/>
          <w:color w:val="999999"/>
          <w:sz w:val="20"/>
          <w:szCs w:val="20"/>
        </w:rPr>
        <w:t>Nyasha is a 20-year-old business studies student in Harare who runs a small online clothing resale business through Instagram and WhatsApp groups. She receives irregular payments from classmates and customers but mainly uses mobile wallets and cash, which makes it difficult to track profits and save consistently. Nyasha wants a simple mobile banking account that allows instant payments, affordable transfers, and tools to help her separate personal spending from business income.</w:t>
      </w:r>
    </w:p>
    <w:p w14:paraId="6F62E05B">
      <w:pPr>
        <w:pStyle w:val="2"/>
        <w:pageBreakBefore/>
        <w:spacing w:before="0"/>
      </w:pPr>
      <w:bookmarkStart w:id="13" w:name="_Toc224559738"/>
      <w:r>
        <w:rPr>
          <w:color w:val="2E6DA4"/>
        </w:rPr>
        <w:t xml:space="preserve">4 </w:t>
      </w:r>
      <w:r>
        <w:t>Value Proposition</w:t>
      </w:r>
      <w:bookmarkEnd w:id="13"/>
    </w:p>
    <w:p w14:paraId="1BE03676">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37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4D3DE471">
            <w:pPr>
              <w:spacing w:before="60" w:after="80"/>
            </w:pPr>
            <w:r>
              <w:rPr>
                <w:b/>
                <w:bCs/>
                <w:color w:val="1B3A5C"/>
              </w:rPr>
              <w:t>Analyst Guidance</w:t>
            </w:r>
          </w:p>
          <w:p w14:paraId="5571C71E">
            <w:pPr>
              <w:spacing w:before="30" w:after="30"/>
            </w:pPr>
            <w:r>
              <w:rPr>
                <w:i/>
                <w:iCs/>
                <w:color w:val="555555"/>
                <w:sz w:val="20"/>
                <w:szCs w:val="20"/>
              </w:rPr>
              <w:t>A strong value proposition is specific, testable, and customer-centric. Avoid vague language like 'better service' or 'affordable rates' without evidence.</w:t>
            </w:r>
          </w:p>
          <w:p w14:paraId="5E22E6D3">
            <w:pPr>
              <w:spacing w:before="30" w:after="30"/>
            </w:pPr>
            <w:r>
              <w:rPr>
                <w:i/>
                <w:iCs/>
                <w:color w:val="555555"/>
                <w:sz w:val="20"/>
                <w:szCs w:val="20"/>
              </w:rPr>
              <w:t>Use the structured format below. Then validate against: Does this solve a real pain? Is it better than alternatives? Can we deliver it profitably?</w:t>
            </w:r>
          </w:p>
        </w:tc>
      </w:tr>
    </w:tbl>
    <w:p w14:paraId="7031B94E">
      <w:pPr>
        <w:spacing w:line="120" w:lineRule="auto"/>
      </w:pPr>
    </w:p>
    <w:p w14:paraId="7D0ADA15">
      <w:pPr>
        <w:pStyle w:val="3"/>
      </w:pPr>
      <w:bookmarkStart w:id="14" w:name="_Toc224559739"/>
      <w:r>
        <w:t>4.1  Value Proposition Statement</w:t>
      </w:r>
      <w:bookmarkEnd w:id="14"/>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9A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7063CE79">
            <w:pPr>
              <w:spacing w:after="80"/>
              <w:rPr>
                <w:rFonts w:hint="default"/>
                <w:i/>
                <w:iCs/>
                <w:color w:val="555555"/>
              </w:rPr>
            </w:pPr>
            <w:r>
              <w:rPr>
                <w:b/>
                <w:bCs/>
                <w:color w:val="2E6DA4"/>
              </w:rPr>
              <w:t>For  [target customer]</w:t>
            </w:r>
            <w:r>
              <w:rPr>
                <w:i/>
                <w:iCs/>
                <w:color w:val="555555"/>
              </w:rPr>
              <w:t xml:space="preserve">  </w:t>
            </w:r>
            <w:r>
              <w:rPr>
                <w:rFonts w:hint="default"/>
                <w:i/>
                <w:iCs/>
                <w:color w:val="555555"/>
              </w:rPr>
              <w:t>For university students and Gen Z informal earners in urban Zimbabwe who generate small but frequent income from allowances, side hustles, and campus businesses,</w:t>
            </w:r>
          </w:p>
          <w:p w14:paraId="55C6266E">
            <w:pPr>
              <w:spacing w:after="80"/>
            </w:pPr>
            <w:r>
              <w:rPr>
                <w:b/>
                <w:bCs/>
                <w:color w:val="2E6DA4"/>
              </w:rPr>
              <w:t>we provide  [product/service]</w:t>
            </w:r>
            <w:r>
              <w:rPr>
                <w:i/>
                <w:iCs/>
                <w:color w:val="555555"/>
              </w:rPr>
              <w:t xml:space="preserve">  </w:t>
            </w:r>
            <w:r>
              <w:rPr>
                <w:rFonts w:hint="default"/>
                <w:i/>
                <w:iCs/>
                <w:color w:val="555555"/>
              </w:rPr>
              <w:t>we provide a low-cost, mobile-first transactional bank account (Hustler Account) with simplified onboarding, digital payments, and merchant-friendly features,</w:t>
            </w:r>
          </w:p>
          <w:p w14:paraId="7375E7F1">
            <w:pPr>
              <w:spacing w:after="80"/>
            </w:pPr>
            <w:r>
              <w:rPr>
                <w:b/>
                <w:bCs/>
                <w:color w:val="2E6DA4"/>
              </w:rPr>
              <w:t>that enables them to  [benefit]</w:t>
            </w:r>
            <w:r>
              <w:rPr>
                <w:i/>
                <w:iCs/>
                <w:color w:val="555555"/>
              </w:rPr>
              <w:t xml:space="preserve">  </w:t>
            </w:r>
            <w:r>
              <w:rPr>
                <w:rFonts w:hint="default"/>
                <w:i/>
                <w:iCs/>
                <w:color w:val="555555"/>
              </w:rPr>
              <w:t>that enables them to receive payments easily, manage their money digitally, and build a financial track record that can unlock savings and micro-credit opportunities,</w:t>
            </w:r>
          </w:p>
          <w:p w14:paraId="051A66A1">
            <w:r>
              <w:rPr>
                <w:b/>
                <w:bCs/>
                <w:color w:val="2E6DA4"/>
              </w:rPr>
              <w:t>unlike  [alternative]</w:t>
            </w:r>
            <w:r>
              <w:rPr>
                <w:i/>
                <w:iCs/>
                <w:color w:val="555555"/>
              </w:rPr>
              <w:t xml:space="preserve">  </w:t>
            </w:r>
            <w:r>
              <w:rPr>
                <w:rFonts w:hint="default"/>
                <w:i/>
                <w:iCs/>
                <w:color w:val="555555"/>
              </w:rPr>
              <w:t>unlike mobile wallets or traditional bank accounts, which either lack structured financial tools for business growth or impose high fees and strict onboarding requirements that discourage youth adoption.</w:t>
            </w:r>
          </w:p>
        </w:tc>
      </w:tr>
    </w:tbl>
    <w:p w14:paraId="1DC3B428">
      <w:pPr>
        <w:spacing w:line="120" w:lineRule="auto"/>
      </w:pPr>
    </w:p>
    <w:p w14:paraId="740BFD4E">
      <w:pPr>
        <w:pStyle w:val="2"/>
        <w:pageBreakBefore/>
        <w:spacing w:before="0"/>
      </w:pPr>
      <w:bookmarkStart w:id="15" w:name="_Toc224559740"/>
      <w:r>
        <w:rPr>
          <w:color w:val="2E6DA4"/>
        </w:rPr>
        <w:t xml:space="preserve">5  </w:t>
      </w:r>
      <w:r>
        <w:t>Product / Service Design</w:t>
      </w:r>
      <w:bookmarkEnd w:id="15"/>
    </w:p>
    <w:p w14:paraId="7D4CAF27">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3C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5B08561D">
            <w:pPr>
              <w:spacing w:before="60" w:after="80"/>
            </w:pPr>
            <w:r>
              <w:rPr>
                <w:b/>
                <w:bCs/>
                <w:color w:val="1B3A5C"/>
              </w:rPr>
              <w:t>Analyst Guidance</w:t>
            </w:r>
          </w:p>
          <w:p w14:paraId="5A3B5A86">
            <w:pPr>
              <w:spacing w:before="30" w:after="30"/>
            </w:pPr>
            <w:r>
              <w:rPr>
                <w:i/>
                <w:iCs/>
                <w:color w:val="555555"/>
                <w:sz w:val="20"/>
                <w:szCs w:val="20"/>
              </w:rPr>
              <w:t>Describe the product with enough detail to allow a product manager to scope and build it. Distinguish between MVP (minimum viable product for pilot) and Full Product features.</w:t>
            </w:r>
          </w:p>
          <w:p w14:paraId="05803BCD">
            <w:pPr>
              <w:spacing w:before="30" w:after="30"/>
            </w:pPr>
            <w:r>
              <w:rPr>
                <w:i/>
                <w:iCs/>
                <w:color w:val="555555"/>
                <w:sz w:val="20"/>
                <w:szCs w:val="20"/>
              </w:rPr>
              <w:t>If a credit product is included, the repayment structure section is mandatory and must be modelled in detail.</w:t>
            </w:r>
          </w:p>
        </w:tc>
      </w:tr>
    </w:tbl>
    <w:p w14:paraId="5289DB9D">
      <w:pPr>
        <w:spacing w:line="120" w:lineRule="auto"/>
      </w:pPr>
    </w:p>
    <w:p w14:paraId="27D40D07">
      <w:pPr>
        <w:pStyle w:val="3"/>
      </w:pPr>
      <w:bookmarkStart w:id="16" w:name="_Toc224559741"/>
      <w:r>
        <w:t>5.1  Product Overview</w:t>
      </w:r>
      <w:bookmarkEnd w:id="16"/>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08A9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D6E9F8"/>
            <w:tcMar>
              <w:top w:w="100" w:type="dxa"/>
              <w:left w:w="140" w:type="dxa"/>
              <w:bottom w:w="100" w:type="dxa"/>
              <w:right w:w="140" w:type="dxa"/>
            </w:tcMar>
          </w:tcPr>
          <w:p w14:paraId="4BB3EB90">
            <w:r>
              <w:rPr>
                <w:b/>
                <w:bCs/>
                <w:color w:val="1B3A5C"/>
                <w:sz w:val="20"/>
                <w:szCs w:val="20"/>
              </w:rPr>
              <w:t>Field</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59C4BD0">
            <w:r>
              <w:rPr>
                <w:b/>
                <w:bCs/>
                <w:color w:val="1B3A5C"/>
                <w:sz w:val="20"/>
                <w:szCs w:val="20"/>
              </w:rPr>
              <w:t>Detail</w:t>
            </w:r>
          </w:p>
        </w:tc>
      </w:tr>
      <w:tr w14:paraId="3FB1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B2DC2F1">
            <w:r>
              <w:rPr>
                <w:color w:val="1B3A5C"/>
                <w:sz w:val="20"/>
                <w:szCs w:val="20"/>
              </w:rPr>
              <w:t>Product Name</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55ADCCC">
            <w:r>
              <w:rPr>
                <w:rFonts w:hint="default"/>
                <w:i/>
                <w:iCs/>
                <w:color w:val="555555"/>
                <w:sz w:val="20"/>
                <w:szCs w:val="20"/>
              </w:rPr>
              <w:t>AFC Hustler Account</w:t>
            </w:r>
          </w:p>
        </w:tc>
      </w:tr>
      <w:tr w14:paraId="7773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27944DF">
            <w:r>
              <w:rPr>
                <w:color w:val="1B3A5C"/>
                <w:sz w:val="20"/>
                <w:szCs w:val="20"/>
              </w:rPr>
              <w:t>Product Type</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D24427B">
            <w:r>
              <w:rPr>
                <w:rFonts w:hint="default"/>
                <w:i/>
                <w:iCs/>
                <w:color w:val="555555"/>
                <w:sz w:val="20"/>
                <w:szCs w:val="20"/>
              </w:rPr>
              <w:t>Transactional / Savings (Bundled)</w:t>
            </w:r>
          </w:p>
        </w:tc>
      </w:tr>
      <w:tr w14:paraId="75B5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E4F4B34">
            <w:r>
              <w:rPr>
                <w:color w:val="1B3A5C"/>
                <w:sz w:val="20"/>
                <w:szCs w:val="20"/>
              </w:rPr>
              <w:t>Delivery Channel</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EC5684D">
            <w:r>
              <w:rPr>
                <w:rFonts w:hint="default"/>
                <w:i/>
                <w:iCs/>
                <w:color w:val="555555"/>
                <w:sz w:val="20"/>
                <w:szCs w:val="20"/>
              </w:rPr>
              <w:t>Mobile App, USSD Banking, Agent Banking, Branch onboarding, API integration for merchant payments</w:t>
            </w:r>
          </w:p>
        </w:tc>
      </w:tr>
      <w:tr w14:paraId="4098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C0A9CAA">
            <w:r>
              <w:rPr>
                <w:color w:val="1B3A5C"/>
                <w:sz w:val="20"/>
                <w:szCs w:val="20"/>
              </w:rPr>
              <w:t>Currency</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D858ED7">
            <w:r>
              <w:rPr>
                <w:rFonts w:hint="default"/>
                <w:i/>
                <w:iCs/>
                <w:color w:val="555555"/>
                <w:sz w:val="20"/>
                <w:szCs w:val="20"/>
              </w:rPr>
              <w:t>Multi-currency (USD primary, ZWL optional for local transactions)</w:t>
            </w:r>
          </w:p>
        </w:tc>
      </w:tr>
      <w:tr w14:paraId="5167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AD79500">
            <w:r>
              <w:rPr>
                <w:color w:val="1B3A5C"/>
                <w:sz w:val="20"/>
                <w:szCs w:val="20"/>
              </w:rPr>
              <w:t>Minimum Qualifying Age</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DEECF29">
            <w:pPr>
              <w:rPr>
                <w:rFonts w:hint="default"/>
              </w:rPr>
            </w:pPr>
            <w:r>
              <w:rPr>
                <w:i/>
                <w:iCs/>
                <w:color w:val="555555"/>
                <w:sz w:val="20"/>
                <w:szCs w:val="20"/>
              </w:rPr>
              <w:t xml:space="preserve">16 years </w:t>
            </w:r>
          </w:p>
        </w:tc>
      </w:tr>
      <w:tr w14:paraId="5E8D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5F37884">
            <w:r>
              <w:rPr>
                <w:color w:val="1B3A5C"/>
                <w:sz w:val="20"/>
                <w:szCs w:val="20"/>
              </w:rPr>
              <w:t>KYC Requirements</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51FFF64">
            <w:pPr>
              <w:rPr>
                <w:rFonts w:hint="default"/>
                <w:i/>
                <w:iCs/>
                <w:color w:val="555555"/>
                <w:sz w:val="20"/>
                <w:szCs w:val="20"/>
              </w:rPr>
            </w:pPr>
            <w:r>
              <w:rPr>
                <w:rFonts w:hint="default"/>
                <w:i/>
                <w:iCs/>
                <w:color w:val="555555"/>
                <w:sz w:val="20"/>
                <w:szCs w:val="20"/>
              </w:rPr>
              <w:t>Tiered KYC in line with RBZ guidelines:</w:t>
            </w:r>
          </w:p>
          <w:p w14:paraId="1B05C70F">
            <w:pPr>
              <w:rPr>
                <w:rFonts w:hint="default"/>
                <w:i/>
                <w:iCs/>
                <w:color w:val="555555"/>
                <w:sz w:val="20"/>
                <w:szCs w:val="20"/>
              </w:rPr>
            </w:pPr>
            <w:r>
              <w:rPr>
                <w:rFonts w:hint="default"/>
                <w:i/>
                <w:iCs/>
                <w:color w:val="555555"/>
                <w:sz w:val="20"/>
                <w:szCs w:val="20"/>
              </w:rPr>
              <w:t>• Tier 1: National ID + mobile number (basic account with transaction limits)</w:t>
            </w:r>
          </w:p>
          <w:p w14:paraId="78864523">
            <w:pPr>
              <w:rPr>
                <w:rFonts w:hint="default"/>
                <w:i/>
                <w:iCs/>
                <w:color w:val="555555"/>
                <w:sz w:val="20"/>
                <w:szCs w:val="20"/>
              </w:rPr>
            </w:pPr>
            <w:r>
              <w:rPr>
                <w:rFonts w:hint="default"/>
                <w:i/>
                <w:iCs/>
                <w:color w:val="555555"/>
                <w:sz w:val="20"/>
                <w:szCs w:val="20"/>
              </w:rPr>
              <w:t>• Tier 2: ID + proof of residence (higher transaction limits)</w:t>
            </w:r>
          </w:p>
          <w:p w14:paraId="5F97C59E">
            <w:r>
              <w:rPr>
                <w:rFonts w:hint="default"/>
                <w:i/>
                <w:iCs/>
                <w:color w:val="555555"/>
                <w:sz w:val="20"/>
                <w:szCs w:val="20"/>
              </w:rPr>
              <w:t>• Tier 3: Full KYC (ID, proof of residence, biometric verification) for expanded services such as credit</w:t>
            </w:r>
          </w:p>
        </w:tc>
      </w:tr>
    </w:tbl>
    <w:p w14:paraId="66750A95">
      <w:pPr>
        <w:spacing w:line="120" w:lineRule="auto"/>
      </w:pPr>
    </w:p>
    <w:p w14:paraId="053DD62A">
      <w:pPr>
        <w:pStyle w:val="3"/>
      </w:pPr>
      <w:bookmarkStart w:id="17" w:name="_Toc224559742"/>
      <w:r>
        <w:t>5.2 Feature Specification (MVP vs Full Product)</w:t>
      </w:r>
      <w:bookmarkEnd w:id="17"/>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1400"/>
        <w:gridCol w:w="1560"/>
        <w:gridCol w:w="1700"/>
      </w:tblGrid>
      <w:tr w14:paraId="6E80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C8E7A1B">
            <w:pPr>
              <w:jc w:val="center"/>
            </w:pPr>
            <w:r>
              <w:rPr>
                <w:b/>
                <w:bCs/>
                <w:color w:val="FFFFFF"/>
                <w:sz w:val="19"/>
                <w:szCs w:val="19"/>
              </w:rPr>
              <w:t>Feature</w:t>
            </w:r>
          </w:p>
        </w:tc>
        <w:tc>
          <w:tcPr>
            <w:tcW w:w="2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1D21DDD">
            <w:pPr>
              <w:jc w:val="center"/>
            </w:pPr>
            <w:r>
              <w:rPr>
                <w:b/>
                <w:bCs/>
                <w:color w:val="FFFFFF"/>
                <w:sz w:val="19"/>
                <w:szCs w:val="19"/>
              </w:rPr>
              <w:t>Category</w:t>
            </w:r>
          </w:p>
        </w:tc>
        <w:tc>
          <w:tcPr>
            <w:tcW w:w="1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32E0262D">
            <w:pPr>
              <w:jc w:val="center"/>
            </w:pPr>
            <w:r>
              <w:rPr>
                <w:b/>
                <w:bCs/>
                <w:color w:val="FFFFFF"/>
                <w:sz w:val="19"/>
                <w:szCs w:val="19"/>
              </w:rPr>
              <w:t>MVP (Pilot)</w:t>
            </w:r>
          </w:p>
        </w:tc>
        <w:tc>
          <w:tcPr>
            <w:tcW w:w="15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07F5503">
            <w:pPr>
              <w:jc w:val="center"/>
            </w:pPr>
            <w:r>
              <w:rPr>
                <w:b/>
                <w:bCs/>
                <w:color w:val="FFFFFF"/>
                <w:sz w:val="19"/>
                <w:szCs w:val="19"/>
              </w:rPr>
              <w:t>Full Product</w:t>
            </w:r>
          </w:p>
        </w:tc>
        <w:tc>
          <w:tcPr>
            <w:tcW w:w="17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E67ED66">
            <w:pPr>
              <w:jc w:val="center"/>
            </w:pPr>
            <w:r>
              <w:rPr>
                <w:b/>
                <w:bCs/>
                <w:color w:val="FFFFFF"/>
                <w:sz w:val="19"/>
                <w:szCs w:val="19"/>
              </w:rPr>
              <w:t>Priority</w:t>
            </w:r>
          </w:p>
        </w:tc>
      </w:tr>
      <w:tr w14:paraId="6297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FBE2BD5">
            <w:r>
              <w:rPr>
                <w:rFonts w:hint="default"/>
                <w:color w:val="555555"/>
                <w:sz w:val="20"/>
                <w:szCs w:val="20"/>
              </w:rPr>
              <w:t>Low-cost digital transactional account</w:t>
            </w:r>
          </w:p>
        </w:tc>
        <w:tc>
          <w:tcPr>
            <w:tcW w:w="2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96A457C">
            <w:pPr>
              <w:rPr>
                <w:rFonts w:hint="default"/>
                <w:lang w:val="en-ZA"/>
              </w:rPr>
            </w:pPr>
            <w:r>
              <w:rPr>
                <w:color w:val="555555"/>
                <w:sz w:val="20"/>
                <w:szCs w:val="20"/>
              </w:rPr>
              <w:t>[Core</w:t>
            </w:r>
            <w:r>
              <w:rPr>
                <w:rFonts w:hint="default"/>
                <w:color w:val="555555"/>
                <w:sz w:val="20"/>
                <w:szCs w:val="20"/>
                <w:lang w:val="en-ZA"/>
              </w:rPr>
              <w:t>]</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54D4F80">
            <w:r>
              <w:rPr>
                <w:color w:val="555555"/>
                <w:sz w:val="20"/>
                <w:szCs w:val="20"/>
              </w:rPr>
              <w:t>[Yes]</w:t>
            </w:r>
          </w:p>
        </w:tc>
        <w:tc>
          <w:tcPr>
            <w:tcW w:w="1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91DBEB7">
            <w:r>
              <w:rPr>
                <w:color w:val="555555"/>
                <w:sz w:val="20"/>
                <w:szCs w:val="20"/>
              </w:rPr>
              <w:t>[Yes]</w:t>
            </w:r>
          </w:p>
        </w:tc>
        <w:tc>
          <w:tcPr>
            <w:tcW w:w="17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2F765E9">
            <w:r>
              <w:rPr>
                <w:color w:val="555555"/>
                <w:sz w:val="20"/>
                <w:szCs w:val="20"/>
              </w:rPr>
              <w:t>[High]</w:t>
            </w:r>
          </w:p>
        </w:tc>
      </w:tr>
      <w:tr w14:paraId="2F9F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036CA3D">
            <w:r>
              <w:rPr>
                <w:rFonts w:hint="default"/>
                <w:color w:val="555555"/>
                <w:sz w:val="20"/>
                <w:szCs w:val="20"/>
              </w:rPr>
              <w:t>USSD &amp; Mobile App Banking (balance, transfers, payments)</w:t>
            </w:r>
          </w:p>
        </w:tc>
        <w:tc>
          <w:tcPr>
            <w:tcW w:w="2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F772372">
            <w:pPr>
              <w:rPr>
                <w:rFonts w:hint="default"/>
                <w:lang w:val="en-ZA"/>
              </w:rPr>
            </w:pPr>
            <w:r>
              <w:rPr>
                <w:rFonts w:hint="default"/>
                <w:lang w:val="en-ZA"/>
              </w:rPr>
              <w:t>[Core]</w:t>
            </w:r>
          </w:p>
        </w:tc>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A1FF7D6">
            <w:r>
              <w:rPr>
                <w:color w:val="555555"/>
                <w:sz w:val="20"/>
                <w:szCs w:val="20"/>
              </w:rPr>
              <w:t>[Yes]</w:t>
            </w:r>
          </w:p>
        </w:tc>
        <w:tc>
          <w:tcPr>
            <w:tcW w:w="1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C9A9A73">
            <w:r>
              <w:rPr>
                <w:color w:val="555555"/>
                <w:sz w:val="20"/>
                <w:szCs w:val="20"/>
              </w:rPr>
              <w:t>[Yes]</w:t>
            </w:r>
          </w:p>
        </w:tc>
        <w:tc>
          <w:tcPr>
            <w:tcW w:w="17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1F9BAE2">
            <w:r>
              <w:rPr>
                <w:rFonts w:hint="default"/>
                <w:color w:val="555555"/>
                <w:sz w:val="20"/>
                <w:szCs w:val="20"/>
                <w:lang w:val="en-ZA"/>
              </w:rPr>
              <w:t>[High</w:t>
            </w:r>
            <w:r>
              <w:rPr>
                <w:color w:val="555555"/>
                <w:sz w:val="20"/>
                <w:szCs w:val="20"/>
              </w:rPr>
              <w:t>]</w:t>
            </w:r>
          </w:p>
        </w:tc>
      </w:tr>
      <w:tr w14:paraId="3DA7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C2CC7C1">
            <w:r>
              <w:rPr>
                <w:rFonts w:hint="default"/>
                <w:color w:val="555555"/>
                <w:sz w:val="20"/>
                <w:szCs w:val="20"/>
              </w:rPr>
              <w:t>QR / Merchant payment acceptance for student traders</w:t>
            </w:r>
          </w:p>
        </w:tc>
        <w:tc>
          <w:tcPr>
            <w:tcW w:w="2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141762D">
            <w:r>
              <w:rPr>
                <w:rFonts w:hint="default"/>
                <w:color w:val="555555"/>
                <w:sz w:val="20"/>
                <w:szCs w:val="20"/>
              </w:rPr>
              <w:t>Value-Add</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4D16729">
            <w:r>
              <w:rPr>
                <w:color w:val="555555"/>
                <w:sz w:val="20"/>
                <w:szCs w:val="20"/>
              </w:rPr>
              <w:t>[Yes]</w:t>
            </w:r>
          </w:p>
        </w:tc>
        <w:tc>
          <w:tcPr>
            <w:tcW w:w="1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3E575DB">
            <w:r>
              <w:rPr>
                <w:color w:val="555555"/>
                <w:sz w:val="20"/>
                <w:szCs w:val="20"/>
              </w:rPr>
              <w:t>[Yes]</w:t>
            </w:r>
          </w:p>
        </w:tc>
        <w:tc>
          <w:tcPr>
            <w:tcW w:w="17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66BAC0F">
            <w:r>
              <w:rPr>
                <w:rFonts w:hint="default"/>
                <w:color w:val="555555"/>
                <w:sz w:val="20"/>
                <w:szCs w:val="20"/>
                <w:lang w:val="en-ZA"/>
              </w:rPr>
              <w:t>[High</w:t>
            </w:r>
            <w:r>
              <w:rPr>
                <w:color w:val="555555"/>
                <w:sz w:val="20"/>
                <w:szCs w:val="20"/>
              </w:rPr>
              <w:t>]</w:t>
            </w:r>
          </w:p>
        </w:tc>
      </w:tr>
      <w:tr w14:paraId="526A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AD3CC41">
            <w:r>
              <w:rPr>
                <w:rFonts w:hint="default"/>
                <w:color w:val="555555"/>
                <w:sz w:val="20"/>
                <w:szCs w:val="20"/>
              </w:rPr>
              <w:t>Micro-savings pockets (goal-based saving)</w:t>
            </w:r>
          </w:p>
        </w:tc>
        <w:tc>
          <w:tcPr>
            <w:tcW w:w="2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2C7ED03">
            <w:r>
              <w:rPr>
                <w:rFonts w:hint="default"/>
                <w:color w:val="555555"/>
                <w:sz w:val="20"/>
                <w:szCs w:val="20"/>
              </w:rPr>
              <w:t>Engagement</w:t>
            </w:r>
          </w:p>
        </w:tc>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718F4CF">
            <w:r>
              <w:rPr>
                <w:color w:val="555555"/>
                <w:sz w:val="20"/>
                <w:szCs w:val="20"/>
              </w:rPr>
              <w:t>[No]</w:t>
            </w:r>
          </w:p>
        </w:tc>
        <w:tc>
          <w:tcPr>
            <w:tcW w:w="1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BA2227D">
            <w:r>
              <w:rPr>
                <w:color w:val="555555"/>
                <w:sz w:val="20"/>
                <w:szCs w:val="20"/>
              </w:rPr>
              <w:t>[Yes]</w:t>
            </w:r>
          </w:p>
        </w:tc>
        <w:tc>
          <w:tcPr>
            <w:tcW w:w="17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FA156F5">
            <w:r>
              <w:rPr>
                <w:color w:val="555555"/>
                <w:sz w:val="20"/>
                <w:szCs w:val="20"/>
              </w:rPr>
              <w:t>[</w:t>
            </w:r>
            <w:r>
              <w:rPr>
                <w:rFonts w:hint="default"/>
                <w:color w:val="555555"/>
                <w:sz w:val="20"/>
                <w:szCs w:val="20"/>
                <w:lang w:val="en-ZA"/>
              </w:rPr>
              <w:t>Medium</w:t>
            </w:r>
            <w:r>
              <w:rPr>
                <w:color w:val="555555"/>
                <w:sz w:val="20"/>
                <w:szCs w:val="20"/>
              </w:rPr>
              <w:t>]</w:t>
            </w:r>
          </w:p>
        </w:tc>
      </w:tr>
      <w:tr w14:paraId="4693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0B9CA06">
            <w:r>
              <w:rPr>
                <w:rFonts w:hint="default"/>
                <w:color w:val="555555"/>
                <w:sz w:val="20"/>
                <w:szCs w:val="20"/>
              </w:rPr>
              <w:t>Micro-loans based on transaction history</w:t>
            </w:r>
          </w:p>
        </w:tc>
        <w:tc>
          <w:tcPr>
            <w:tcW w:w="2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7C25AE0">
            <w:r>
              <w:rPr>
                <w:rFonts w:hint="default"/>
                <w:color w:val="555555"/>
                <w:sz w:val="20"/>
                <w:szCs w:val="20"/>
              </w:rPr>
              <w:t>Value-Add</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4C83D87">
            <w:r>
              <w:rPr>
                <w:color w:val="555555"/>
                <w:sz w:val="20"/>
                <w:szCs w:val="20"/>
              </w:rPr>
              <w:t>[No]</w:t>
            </w:r>
          </w:p>
        </w:tc>
        <w:tc>
          <w:tcPr>
            <w:tcW w:w="1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F4A35F7">
            <w:r>
              <w:rPr>
                <w:color w:val="555555"/>
                <w:sz w:val="20"/>
                <w:szCs w:val="20"/>
              </w:rPr>
              <w:t>[Yes]</w:t>
            </w:r>
          </w:p>
        </w:tc>
        <w:tc>
          <w:tcPr>
            <w:tcW w:w="17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DF7632E">
            <w:r>
              <w:rPr>
                <w:color w:val="555555"/>
                <w:sz w:val="20"/>
                <w:szCs w:val="20"/>
              </w:rPr>
              <w:t>[</w:t>
            </w:r>
            <w:r>
              <w:rPr>
                <w:rFonts w:hint="default"/>
                <w:color w:val="555555"/>
                <w:sz w:val="20"/>
                <w:szCs w:val="20"/>
                <w:lang w:val="en-ZA"/>
              </w:rPr>
              <w:t>Medium</w:t>
            </w:r>
            <w:r>
              <w:rPr>
                <w:color w:val="555555"/>
                <w:sz w:val="20"/>
                <w:szCs w:val="20"/>
              </w:rPr>
              <w:t>]</w:t>
            </w:r>
          </w:p>
        </w:tc>
      </w:tr>
    </w:tbl>
    <w:p w14:paraId="441B904B">
      <w:pPr>
        <w:spacing w:line="120" w:lineRule="auto"/>
      </w:pPr>
    </w:p>
    <w:p w14:paraId="434FF30E">
      <w:pPr>
        <w:pStyle w:val="3"/>
      </w:pPr>
      <w:bookmarkStart w:id="18" w:name="_Toc224559743"/>
      <w:r>
        <w:t>5.3 Pricing Strategy</w:t>
      </w:r>
      <w:bookmarkEnd w:id="18"/>
    </w:p>
    <w:p w14:paraId="4AA52667">
      <w:pPr>
        <w:spacing w:line="120" w:lineRule="auto"/>
      </w:pPr>
    </w:p>
    <w:p w14:paraId="55A0D099">
      <w:pPr>
        <w:pStyle w:val="2"/>
        <w:pageBreakBefore/>
        <w:spacing w:before="0"/>
      </w:pPr>
      <w:bookmarkStart w:id="19" w:name="_Toc224559744"/>
      <w:r>
        <w:rPr>
          <w:color w:val="2E6DA4"/>
        </w:rPr>
        <w:t>6 Revenue</w:t>
      </w:r>
      <w:r>
        <w:t xml:space="preserve"> Model</w:t>
      </w:r>
      <w:bookmarkEnd w:id="19"/>
    </w:p>
    <w:p w14:paraId="75BB405F">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D3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1E860347">
            <w:pPr>
              <w:spacing w:before="60" w:after="80"/>
            </w:pPr>
            <w:r>
              <w:rPr>
                <w:b/>
                <w:bCs/>
                <w:color w:val="1B3A5C"/>
              </w:rPr>
              <w:t>Analyst Guidance</w:t>
            </w:r>
          </w:p>
          <w:p w14:paraId="3FA6BE99">
            <w:pPr>
              <w:spacing w:before="30" w:after="30"/>
            </w:pPr>
            <w:r>
              <w:rPr>
                <w:i/>
                <w:iCs/>
                <w:color w:val="555555"/>
                <w:sz w:val="20"/>
                <w:szCs w:val="20"/>
              </w:rPr>
              <w:t>Map every revenue stream to a specific customer action or balance. Avoid double-counting. Distinguish between direct revenue (from customers) and indirect revenue (from partners, data, referrals).</w:t>
            </w:r>
          </w:p>
          <w:p w14:paraId="049A0DAB">
            <w:pPr>
              <w:spacing w:before="30" w:after="30"/>
            </w:pPr>
            <w:r>
              <w:rPr>
                <w:i/>
                <w:iCs/>
                <w:color w:val="555555"/>
                <w:sz w:val="20"/>
                <w:szCs w:val="20"/>
              </w:rPr>
              <w:t>Where possible, benchmark rates against peer banks and mobile money operators in Zimbabwe.</w:t>
            </w:r>
          </w:p>
        </w:tc>
      </w:tr>
    </w:tbl>
    <w:p w14:paraId="56481DE5">
      <w:pPr>
        <w:spacing w:line="120" w:lineRule="auto"/>
      </w:pPr>
    </w:p>
    <w:p w14:paraId="22B664DE">
      <w:pPr>
        <w:pStyle w:val="3"/>
      </w:pPr>
      <w:bookmarkStart w:id="20" w:name="_Toc224559745"/>
      <w:r>
        <w:t>6.1 Revenue Streams</w:t>
      </w:r>
      <w:bookmarkEnd w:id="20"/>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7"/>
        <w:gridCol w:w="1193"/>
        <w:gridCol w:w="1414"/>
        <w:gridCol w:w="1259"/>
        <w:gridCol w:w="1563"/>
        <w:gridCol w:w="1564"/>
      </w:tblGrid>
      <w:tr w14:paraId="1902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3CB7D6F">
            <w:pPr>
              <w:jc w:val="center"/>
            </w:pPr>
            <w:r>
              <w:rPr>
                <w:b/>
                <w:bCs/>
                <w:color w:val="FFFFFF"/>
                <w:sz w:val="19"/>
                <w:szCs w:val="19"/>
              </w:rPr>
              <w:t>Revenue Stream</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A695E1E">
            <w:pPr>
              <w:jc w:val="center"/>
            </w:pPr>
            <w:r>
              <w:rPr>
                <w:b/>
                <w:bCs/>
                <w:color w:val="FFFFFF"/>
                <w:sz w:val="19"/>
                <w:szCs w:val="19"/>
              </w:rPr>
              <w:t>Type</w:t>
            </w:r>
          </w:p>
        </w:tc>
        <w:tc>
          <w:tcPr>
            <w:tcW w:w="1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45B6944">
            <w:pPr>
              <w:jc w:val="center"/>
            </w:pPr>
            <w:r>
              <w:rPr>
                <w:b/>
                <w:bCs/>
                <w:color w:val="FFFFFF"/>
                <w:sz w:val="19"/>
                <w:szCs w:val="19"/>
              </w:rPr>
              <w:t>Driver</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9382352">
            <w:pPr>
              <w:jc w:val="center"/>
            </w:pPr>
            <w:r>
              <w:rPr>
                <w:b/>
                <w:bCs/>
                <w:color w:val="FFFFFF"/>
                <w:sz w:val="19"/>
                <w:szCs w:val="19"/>
              </w:rPr>
              <w:t>Rate / Amount</w:t>
            </w:r>
          </w:p>
        </w:tc>
        <w:tc>
          <w:tcPr>
            <w:tcW w:w="158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7573280">
            <w:pPr>
              <w:jc w:val="center"/>
            </w:pPr>
            <w:r>
              <w:rPr>
                <w:b/>
                <w:bCs/>
                <w:color w:val="FFFFFF"/>
                <w:sz w:val="19"/>
                <w:szCs w:val="19"/>
              </w:rPr>
              <w:t>Est. Year 1 (USD)</w:t>
            </w:r>
          </w:p>
        </w:tc>
        <w:tc>
          <w:tcPr>
            <w:tcW w:w="158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252620D">
            <w:pPr>
              <w:jc w:val="center"/>
            </w:pPr>
            <w:r>
              <w:rPr>
                <w:b/>
                <w:bCs/>
                <w:color w:val="FFFFFF"/>
                <w:sz w:val="19"/>
                <w:szCs w:val="19"/>
              </w:rPr>
              <w:t>Est. Year 3 (USD)</w:t>
            </w:r>
          </w:p>
        </w:tc>
      </w:tr>
      <w:tr w14:paraId="14D62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3A6F555">
            <w:r>
              <w:rPr>
                <w:rFonts w:hint="default"/>
                <w:color w:val="555555"/>
                <w:sz w:val="20"/>
                <w:szCs w:val="20"/>
              </w:rPr>
              <w:t>Interest Income (Micro-loans)</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10012BF">
            <w:r>
              <w:rPr>
                <w:color w:val="555555"/>
                <w:sz w:val="20"/>
                <w:szCs w:val="20"/>
              </w:rPr>
              <w:t>[Net Interest]</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A185153">
            <w:r>
              <w:rPr>
                <w:color w:val="555555"/>
                <w:sz w:val="20"/>
                <w:szCs w:val="20"/>
              </w:rPr>
              <w:t>[Loan book size]</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58B4D25">
            <w:r>
              <w:rPr>
                <w:rFonts w:hint="default"/>
                <w:color w:val="555555"/>
                <w:sz w:val="20"/>
                <w:szCs w:val="20"/>
              </w:rPr>
              <w:t>~18% p.a</w:t>
            </w:r>
          </w:p>
        </w:tc>
        <w:tc>
          <w:tcPr>
            <w:tcW w:w="158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6CAF5B0">
            <w:r>
              <w:rPr>
                <w:rFonts w:hint="default"/>
                <w:color w:val="555555"/>
                <w:sz w:val="20"/>
                <w:szCs w:val="20"/>
              </w:rPr>
              <w:t>$45,000</w:t>
            </w:r>
          </w:p>
        </w:tc>
        <w:tc>
          <w:tcPr>
            <w:tcW w:w="158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61323F5">
            <w:r>
              <w:rPr>
                <w:rFonts w:hint="default"/>
                <w:color w:val="555555"/>
                <w:sz w:val="20"/>
                <w:szCs w:val="20"/>
              </w:rPr>
              <w:t>$250,000</w:t>
            </w:r>
          </w:p>
        </w:tc>
      </w:tr>
      <w:tr w14:paraId="71F6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F85CF74">
            <w:r>
              <w:rPr>
                <w:color w:val="555555"/>
                <w:sz w:val="20"/>
                <w:szCs w:val="20"/>
              </w:rPr>
              <w:t>[Stream 2 — Transaction Fees]</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E175645">
            <w:r>
              <w:rPr>
                <w:color w:val="555555"/>
                <w:sz w:val="20"/>
                <w:szCs w:val="20"/>
              </w:rPr>
              <w:t>[Fee Income]</w:t>
            </w:r>
          </w:p>
        </w:tc>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DB737DF">
            <w:r>
              <w:rPr>
                <w:color w:val="555555"/>
                <w:sz w:val="20"/>
                <w:szCs w:val="20"/>
              </w:rPr>
              <w:t>[Monthly transactions]</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8775C24">
            <w:r>
              <w:rPr>
                <w:rFonts w:hint="default"/>
                <w:color w:val="555555"/>
                <w:sz w:val="20"/>
                <w:szCs w:val="20"/>
              </w:rPr>
              <w:t>$0.05 / txn</w:t>
            </w:r>
          </w:p>
        </w:tc>
        <w:tc>
          <w:tcPr>
            <w:tcW w:w="158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371AC1B">
            <w:r>
              <w:rPr>
                <w:rFonts w:hint="default"/>
                <w:color w:val="555555"/>
                <w:sz w:val="20"/>
                <w:szCs w:val="20"/>
              </w:rPr>
              <w:t>$60,000</w:t>
            </w:r>
          </w:p>
        </w:tc>
        <w:tc>
          <w:tcPr>
            <w:tcW w:w="158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88A09A4">
            <w:r>
              <w:rPr>
                <w:rFonts w:hint="default"/>
                <w:color w:val="555555"/>
                <w:sz w:val="20"/>
                <w:szCs w:val="20"/>
              </w:rPr>
              <w:t>$220,000</w:t>
            </w:r>
          </w:p>
        </w:tc>
      </w:tr>
      <w:tr w14:paraId="10A04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44FA740">
            <w:r>
              <w:rPr>
                <w:color w:val="555555"/>
                <w:sz w:val="20"/>
                <w:szCs w:val="20"/>
              </w:rPr>
              <w:t xml:space="preserve">[Stream 3 — </w:t>
            </w:r>
            <w:r>
              <w:rPr>
                <w:rFonts w:hint="default"/>
                <w:color w:val="555555"/>
                <w:sz w:val="20"/>
                <w:szCs w:val="20"/>
                <w:lang w:val="en-ZA"/>
              </w:rPr>
              <w:t xml:space="preserve"> </w:t>
            </w:r>
            <w:r>
              <w:rPr>
                <w:color w:val="555555"/>
                <w:sz w:val="20"/>
                <w:szCs w:val="20"/>
              </w:rPr>
              <w:t>Account Fees]</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B39A53F">
            <w:r>
              <w:rPr>
                <w:color w:val="555555"/>
                <w:sz w:val="20"/>
                <w:szCs w:val="20"/>
              </w:rPr>
              <w:t>[Fee Income]</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D103083">
            <w:r>
              <w:rPr>
                <w:color w:val="555555"/>
                <w:sz w:val="20"/>
                <w:szCs w:val="20"/>
              </w:rPr>
              <w:t>[Active accounts]</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DA40040">
            <w:r>
              <w:rPr>
                <w:rFonts w:hint="default"/>
                <w:color w:val="555555"/>
                <w:sz w:val="20"/>
                <w:szCs w:val="20"/>
              </w:rPr>
              <w:t>$1 / month</w:t>
            </w:r>
          </w:p>
        </w:tc>
        <w:tc>
          <w:tcPr>
            <w:tcW w:w="158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8AE25BA">
            <w:r>
              <w:rPr>
                <w:rFonts w:hint="default"/>
                <w:color w:val="555555"/>
                <w:sz w:val="20"/>
                <w:szCs w:val="20"/>
              </w:rPr>
              <w:t>$36,000</w:t>
            </w:r>
          </w:p>
        </w:tc>
        <w:tc>
          <w:tcPr>
            <w:tcW w:w="158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7F77460">
            <w:r>
              <w:rPr>
                <w:rFonts w:hint="default"/>
                <w:color w:val="555555"/>
                <w:sz w:val="20"/>
                <w:szCs w:val="20"/>
              </w:rPr>
              <w:t>$180,000</w:t>
            </w:r>
          </w:p>
        </w:tc>
      </w:tr>
      <w:tr w14:paraId="6CAE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F559DFB">
            <w:r>
              <w:rPr>
                <w:rFonts w:hint="default"/>
                <w:color w:val="555555"/>
                <w:sz w:val="20"/>
                <w:szCs w:val="20"/>
              </w:rPr>
              <w:t>Partner Commissions (merchant &amp; payments)</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52CDFD8">
            <w:r>
              <w:rPr>
                <w:color w:val="555555"/>
                <w:sz w:val="20"/>
                <w:szCs w:val="20"/>
              </w:rPr>
              <w:t>[Non-Interest]</w:t>
            </w:r>
          </w:p>
        </w:tc>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E04872F">
            <w:r>
              <w:rPr>
                <w:rFonts w:hint="default"/>
                <w:color w:val="555555"/>
                <w:sz w:val="20"/>
                <w:szCs w:val="20"/>
              </w:rPr>
              <w:t>Merchant payments &amp; referrals</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EECDEBB">
            <w:r>
              <w:rPr>
                <w:rFonts w:hint="default"/>
                <w:color w:val="555555"/>
                <w:sz w:val="20"/>
                <w:szCs w:val="20"/>
              </w:rPr>
              <w:t>1–2% per transaction</w:t>
            </w:r>
          </w:p>
        </w:tc>
        <w:tc>
          <w:tcPr>
            <w:tcW w:w="158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428E6A7">
            <w:r>
              <w:rPr>
                <w:rFonts w:hint="default"/>
                <w:color w:val="555555"/>
                <w:sz w:val="20"/>
                <w:szCs w:val="20"/>
              </w:rPr>
              <w:t>$25,000</w:t>
            </w:r>
          </w:p>
        </w:tc>
        <w:tc>
          <w:tcPr>
            <w:tcW w:w="158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3B1D506">
            <w:r>
              <w:rPr>
                <w:rFonts w:hint="default"/>
                <w:color w:val="555555"/>
                <w:sz w:val="20"/>
                <w:szCs w:val="20"/>
              </w:rPr>
              <w:t>$120,000</w:t>
            </w:r>
          </w:p>
        </w:tc>
      </w:tr>
      <w:tr w14:paraId="7873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9222F44">
            <w:r>
              <w:rPr>
                <w:color w:val="555555"/>
                <w:sz w:val="20"/>
                <w:szCs w:val="20"/>
              </w:rPr>
              <w:t>TOTAL</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5749186"/>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48B787F"/>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4BE9460"/>
        </w:tc>
        <w:tc>
          <w:tcPr>
            <w:tcW w:w="158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B698ACE">
            <w:r>
              <w:rPr>
                <w:rFonts w:hint="default"/>
                <w:color w:val="555555"/>
                <w:sz w:val="20"/>
                <w:szCs w:val="20"/>
              </w:rPr>
              <w:t>$166,000</w:t>
            </w:r>
          </w:p>
        </w:tc>
        <w:tc>
          <w:tcPr>
            <w:tcW w:w="158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B7A6062">
            <w:r>
              <w:rPr>
                <w:rFonts w:hint="default"/>
                <w:color w:val="555555"/>
                <w:sz w:val="20"/>
                <w:szCs w:val="20"/>
              </w:rPr>
              <w:t>$770,000</w:t>
            </w:r>
          </w:p>
        </w:tc>
      </w:tr>
    </w:tbl>
    <w:p w14:paraId="5E6B6807">
      <w:pPr>
        <w:spacing w:line="120" w:lineRule="auto"/>
      </w:pPr>
    </w:p>
    <w:p w14:paraId="2E765F1B">
      <w:pPr>
        <w:pStyle w:val="2"/>
        <w:pageBreakBefore/>
        <w:spacing w:before="0"/>
      </w:pPr>
      <w:bookmarkStart w:id="21" w:name="_Toc224559746"/>
      <w:r>
        <w:rPr>
          <w:color w:val="2E6DA4"/>
        </w:rPr>
        <w:t xml:space="preserve">7 </w:t>
      </w:r>
      <w:r>
        <w:t>Unit Economics</w:t>
      </w:r>
      <w:bookmarkEnd w:id="21"/>
    </w:p>
    <w:p w14:paraId="492F994A">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45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1956D220">
            <w:pPr>
              <w:spacing w:before="60" w:after="80"/>
            </w:pPr>
            <w:r>
              <w:rPr>
                <w:b/>
                <w:bCs/>
                <w:color w:val="1B3A5C"/>
              </w:rPr>
              <w:t>Analyst Guidance</w:t>
            </w:r>
          </w:p>
          <w:p w14:paraId="1EAF9507">
            <w:pPr>
              <w:spacing w:before="30" w:after="30"/>
            </w:pPr>
            <w:r>
              <w:rPr>
                <w:i/>
                <w:iCs/>
                <w:color w:val="555555"/>
                <w:sz w:val="20"/>
                <w:szCs w:val="20"/>
              </w:rPr>
              <w:t>Unit economics determines whether the model is fundamentally sound at the single-customer level before scaling. A negative LTV:CAC ratio means scaling loses money faster.</w:t>
            </w:r>
          </w:p>
          <w:p w14:paraId="50682444">
            <w:pPr>
              <w:spacing w:before="30" w:after="30"/>
            </w:pPr>
            <w:r>
              <w:rPr>
                <w:i/>
                <w:iCs/>
                <w:color w:val="555555"/>
                <w:sz w:val="20"/>
                <w:szCs w:val="20"/>
              </w:rPr>
              <w:t>Rule of thumb: LTV should be at least 3× CAC for a viable consumer financial product. State your assumptions clearly — these will be stress-tested.</w:t>
            </w:r>
          </w:p>
        </w:tc>
      </w:tr>
    </w:tbl>
    <w:p w14:paraId="2A7F392C">
      <w:pPr>
        <w:spacing w:line="120" w:lineRule="auto"/>
      </w:pPr>
    </w:p>
    <w:p w14:paraId="63FADE13">
      <w:pPr>
        <w:pStyle w:val="3"/>
      </w:pPr>
      <w:bookmarkStart w:id="22" w:name="_Toc224559747"/>
      <w:r>
        <w:t>7.1 Cost Structure</w:t>
      </w:r>
      <w:bookmarkEnd w:id="22"/>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4"/>
        <w:gridCol w:w="1670"/>
        <w:gridCol w:w="1908"/>
        <w:gridCol w:w="1738"/>
        <w:gridCol w:w="1600"/>
      </w:tblGrid>
      <w:tr w14:paraId="488D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44"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E596E76">
            <w:pPr>
              <w:jc w:val="center"/>
            </w:pPr>
            <w:r>
              <w:rPr>
                <w:b/>
                <w:bCs/>
                <w:color w:val="FFFFFF"/>
                <w:sz w:val="19"/>
                <w:szCs w:val="19"/>
              </w:rPr>
              <w:t>Cost Item</w:t>
            </w:r>
          </w:p>
        </w:tc>
        <w:tc>
          <w:tcPr>
            <w:tcW w:w="167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3187D0DD">
            <w:pPr>
              <w:jc w:val="center"/>
            </w:pPr>
            <w:r>
              <w:rPr>
                <w:b/>
                <w:bCs/>
                <w:color w:val="FFFFFF"/>
                <w:sz w:val="19"/>
                <w:szCs w:val="19"/>
              </w:rPr>
              <w:t>Type</w:t>
            </w:r>
          </w:p>
        </w:tc>
        <w:tc>
          <w:tcPr>
            <w:tcW w:w="1908"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E8423D9">
            <w:pPr>
              <w:jc w:val="center"/>
            </w:pPr>
            <w:r>
              <w:rPr>
                <w:b/>
                <w:bCs/>
                <w:color w:val="FFFFFF"/>
                <w:sz w:val="19"/>
                <w:szCs w:val="19"/>
              </w:rPr>
              <w:t>Basis</w:t>
            </w:r>
          </w:p>
        </w:tc>
        <w:tc>
          <w:tcPr>
            <w:tcW w:w="1738"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0225205">
            <w:pPr>
              <w:jc w:val="center"/>
            </w:pPr>
            <w:r>
              <w:rPr>
                <w:b/>
                <w:bCs/>
                <w:color w:val="FFFFFF"/>
                <w:sz w:val="19"/>
                <w:szCs w:val="19"/>
              </w:rPr>
              <w:t>Est. Year 1 (USD)</w:t>
            </w:r>
          </w:p>
        </w:tc>
        <w:tc>
          <w:tcPr>
            <w:tcW w:w="16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6A3EC4C">
            <w:pPr>
              <w:jc w:val="center"/>
            </w:pPr>
            <w:r>
              <w:rPr>
                <w:b/>
                <w:bCs/>
                <w:color w:val="FFFFFF"/>
                <w:sz w:val="19"/>
                <w:szCs w:val="19"/>
              </w:rPr>
              <w:t>% of Revenue</w:t>
            </w:r>
          </w:p>
        </w:tc>
      </w:tr>
      <w:tr w14:paraId="1B45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44"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FF9F95C">
            <w:r>
              <w:rPr>
                <w:color w:val="555555"/>
                <w:sz w:val="20"/>
                <w:szCs w:val="20"/>
              </w:rPr>
              <w:t>Customer Acquisition Cost (CAC)</w:t>
            </w:r>
          </w:p>
        </w:tc>
        <w:tc>
          <w:tcPr>
            <w:tcW w:w="167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5CE92D4">
            <w:r>
              <w:rPr>
                <w:color w:val="555555"/>
                <w:sz w:val="20"/>
                <w:szCs w:val="20"/>
              </w:rPr>
              <w:t>[Variable]</w:t>
            </w:r>
          </w:p>
        </w:tc>
        <w:tc>
          <w:tcPr>
            <w:tcW w:w="1908"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2A90B26">
            <w:r>
              <w:rPr>
                <w:rFonts w:hint="default"/>
                <w:color w:val="555555"/>
                <w:sz w:val="20"/>
                <w:szCs w:val="20"/>
              </w:rPr>
              <w:t>~$8 per customer × ~4,000 customers</w:t>
            </w:r>
          </w:p>
        </w:tc>
        <w:tc>
          <w:tcPr>
            <w:tcW w:w="1738"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28F98A4">
            <w:r>
              <w:rPr>
                <w:rFonts w:hint="default"/>
                <w:color w:val="555555"/>
                <w:sz w:val="20"/>
                <w:szCs w:val="20"/>
              </w:rPr>
              <w:t>$32,000</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1DB0D82">
            <w:r>
              <w:rPr>
                <w:rFonts w:hint="default"/>
                <w:color w:val="555555"/>
                <w:sz w:val="20"/>
                <w:szCs w:val="20"/>
              </w:rPr>
              <w:t>19%</w:t>
            </w:r>
          </w:p>
        </w:tc>
      </w:tr>
      <w:tr w14:paraId="2306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44"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B25CAAF">
            <w:r>
              <w:rPr>
                <w:color w:val="555555"/>
                <w:sz w:val="20"/>
                <w:szCs w:val="20"/>
              </w:rPr>
              <w:t>Onboarding &amp; KYC Cost</w:t>
            </w:r>
          </w:p>
        </w:tc>
        <w:tc>
          <w:tcPr>
            <w:tcW w:w="167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79FE318">
            <w:r>
              <w:rPr>
                <w:color w:val="555555"/>
                <w:sz w:val="20"/>
                <w:szCs w:val="20"/>
              </w:rPr>
              <w:t>[Variable]</w:t>
            </w:r>
          </w:p>
        </w:tc>
        <w:tc>
          <w:tcPr>
            <w:tcW w:w="1908"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B209393">
            <w:r>
              <w:rPr>
                <w:rFonts w:hint="default"/>
                <w:color w:val="555555"/>
                <w:sz w:val="20"/>
                <w:szCs w:val="20"/>
              </w:rPr>
              <w:t>~$3 per customer × ~4,000 customers</w:t>
            </w:r>
          </w:p>
        </w:tc>
        <w:tc>
          <w:tcPr>
            <w:tcW w:w="1738"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44F977E">
            <w:r>
              <w:rPr>
                <w:rFonts w:hint="default"/>
                <w:color w:val="555555"/>
                <w:sz w:val="20"/>
                <w:szCs w:val="20"/>
              </w:rPr>
              <w:t>$12,000</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E222C62">
            <w:r>
              <w:rPr>
                <w:rFonts w:hint="default"/>
                <w:color w:val="555555"/>
                <w:sz w:val="20"/>
                <w:szCs w:val="20"/>
              </w:rPr>
              <w:t>7%</w:t>
            </w:r>
          </w:p>
        </w:tc>
      </w:tr>
      <w:tr w14:paraId="42FC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44"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750B40E">
            <w:r>
              <w:rPr>
                <w:color w:val="555555"/>
                <w:sz w:val="20"/>
                <w:szCs w:val="20"/>
              </w:rPr>
              <w:t>TOTAL COST PER CUSTOMER</w:t>
            </w:r>
          </w:p>
        </w:tc>
        <w:tc>
          <w:tcPr>
            <w:tcW w:w="167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E1B8298"/>
        </w:tc>
        <w:tc>
          <w:tcPr>
            <w:tcW w:w="1908"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C209DD6">
            <w:r>
              <w:rPr>
                <w:rFonts w:hint="default"/>
              </w:rPr>
              <w:t>~$11 per customer</w:t>
            </w:r>
          </w:p>
        </w:tc>
        <w:tc>
          <w:tcPr>
            <w:tcW w:w="1738"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2585FD1">
            <w:r>
              <w:rPr>
                <w:rFonts w:hint="default"/>
                <w:color w:val="555555"/>
                <w:sz w:val="20"/>
                <w:szCs w:val="20"/>
              </w:rPr>
              <w:t>$44,000</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85253C9">
            <w:r>
              <w:rPr>
                <w:rFonts w:hint="default"/>
                <w:color w:val="555555"/>
                <w:sz w:val="20"/>
                <w:szCs w:val="20"/>
              </w:rPr>
              <w:t>26%</w:t>
            </w:r>
          </w:p>
        </w:tc>
      </w:tr>
    </w:tbl>
    <w:p w14:paraId="7CD2AFA8">
      <w:pPr>
        <w:spacing w:line="120" w:lineRule="auto"/>
      </w:pPr>
    </w:p>
    <w:p w14:paraId="292C2B0E">
      <w:pPr>
        <w:spacing w:line="120" w:lineRule="auto"/>
      </w:pPr>
    </w:p>
    <w:p w14:paraId="73253E03">
      <w:pPr>
        <w:pStyle w:val="3"/>
      </w:pPr>
      <w:bookmarkStart w:id="23" w:name="_Toc224559749"/>
      <w:r>
        <w:t>7.2 Break-Even Analysis</w:t>
      </w:r>
      <w:bookmarkEnd w:id="23"/>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28C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D6E9F8"/>
            <w:tcMar>
              <w:top w:w="100" w:type="dxa"/>
              <w:left w:w="140" w:type="dxa"/>
              <w:bottom w:w="100" w:type="dxa"/>
              <w:right w:w="140" w:type="dxa"/>
            </w:tcMar>
          </w:tcPr>
          <w:p w14:paraId="0800C6A8">
            <w:r>
              <w:rPr>
                <w:b/>
                <w:bCs/>
                <w:color w:val="1B3A5C"/>
                <w:sz w:val="20"/>
                <w:szCs w:val="20"/>
              </w:rPr>
              <w:t>Field</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85942CA">
            <w:r>
              <w:rPr>
                <w:b/>
                <w:bCs/>
                <w:color w:val="1B3A5C"/>
                <w:sz w:val="20"/>
                <w:szCs w:val="20"/>
              </w:rPr>
              <w:t>Estimate</w:t>
            </w:r>
          </w:p>
        </w:tc>
      </w:tr>
      <w:tr w14:paraId="5FF7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B1EC32F">
            <w:r>
              <w:rPr>
                <w:color w:val="1B3A5C"/>
                <w:sz w:val="20"/>
                <w:szCs w:val="20"/>
              </w:rPr>
              <w:t>Fixed Monthly Costs</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17097A5">
            <w:r>
              <w:rPr>
                <w:rFonts w:hint="default"/>
                <w:i/>
                <w:iCs/>
                <w:color w:val="555555"/>
                <w:sz w:val="20"/>
                <w:szCs w:val="20"/>
              </w:rPr>
              <w:t>$25,000</w:t>
            </w:r>
          </w:p>
        </w:tc>
      </w:tr>
      <w:tr w14:paraId="185D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30E0A8E">
            <w:r>
              <w:rPr>
                <w:color w:val="1B3A5C"/>
                <w:sz w:val="20"/>
                <w:szCs w:val="20"/>
              </w:rPr>
              <w:t>Variable Margin per Customer per Month</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4759CD0">
            <w:r>
              <w:rPr>
                <w:rFonts w:hint="default"/>
                <w:i/>
                <w:iCs/>
                <w:color w:val="555555"/>
                <w:sz w:val="20"/>
                <w:szCs w:val="20"/>
              </w:rPr>
              <w:t>$2.00</w:t>
            </w:r>
          </w:p>
        </w:tc>
      </w:tr>
      <w:tr w14:paraId="14F60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F559A36">
            <w:r>
              <w:rPr>
                <w:color w:val="1B3A5C"/>
                <w:sz w:val="20"/>
                <w:szCs w:val="20"/>
              </w:rPr>
              <w:t>Break-Even Customer Count</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A9F2E43">
            <w:r>
              <w:rPr>
                <w:rFonts w:hint="default"/>
                <w:i/>
                <w:iCs/>
                <w:color w:val="555555"/>
                <w:sz w:val="20"/>
                <w:szCs w:val="20"/>
              </w:rPr>
              <w:t>12,500 customers (25,000 ÷ 2)</w:t>
            </w:r>
          </w:p>
        </w:tc>
      </w:tr>
      <w:tr w14:paraId="27A5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E7B8DFA">
            <w:r>
              <w:rPr>
                <w:color w:val="1B3A5C"/>
                <w:sz w:val="20"/>
                <w:szCs w:val="20"/>
              </w:rPr>
              <w:t>Estimated Month to Reach Break-Even</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90628B5">
            <w:r>
              <w:rPr>
                <w:rFonts w:hint="default"/>
                <w:i/>
                <w:iCs/>
                <w:color w:val="555555"/>
                <w:sz w:val="20"/>
                <w:szCs w:val="20"/>
              </w:rPr>
              <w:t>Month 18–20</w:t>
            </w:r>
          </w:p>
        </w:tc>
      </w:tr>
      <w:tr w14:paraId="6402E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5281946">
            <w:r>
              <w:rPr>
                <w:color w:val="1B3A5C"/>
                <w:sz w:val="20"/>
                <w:szCs w:val="20"/>
              </w:rPr>
              <w:t>Confidence Level</w:t>
            </w:r>
          </w:p>
        </w:tc>
        <w:tc>
          <w:tcPr>
            <w:tcW w:w="61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C088BC2">
            <w:r>
              <w:rPr>
                <w:rFonts w:hint="default"/>
                <w:i/>
                <w:iCs/>
                <w:color w:val="555555"/>
                <w:sz w:val="20"/>
                <w:szCs w:val="20"/>
              </w:rPr>
              <w:t>Medium–High — based on realistic Gen Z adoption rates, low CAC, and strong transaction frequency assumptions</w:t>
            </w:r>
          </w:p>
        </w:tc>
      </w:tr>
    </w:tbl>
    <w:p w14:paraId="52919360">
      <w:pPr>
        <w:spacing w:line="120" w:lineRule="auto"/>
      </w:pPr>
    </w:p>
    <w:p w14:paraId="0288A10F">
      <w:pPr>
        <w:pStyle w:val="3"/>
      </w:pPr>
      <w:bookmarkStart w:id="24" w:name="_Toc224559750"/>
      <w:r>
        <w:t>7.3 Business Model Type</w:t>
      </w:r>
      <w:bookmarkEnd w:id="24"/>
    </w:p>
    <w:p w14:paraId="4464DAFE">
      <w:pPr>
        <w:spacing w:before="60" w:after="60"/>
      </w:pPr>
      <w:r>
        <w:rPr>
          <w:color w:val="000000"/>
        </w:rPr>
        <w:t>Characterise the economics model and explain the strategic implication.</w:t>
      </w:r>
    </w:p>
    <w:p w14:paraId="17E30D39">
      <w:pPr>
        <w:pStyle w:val="18"/>
        <w:numPr>
          <w:ilvl w:val="0"/>
          <w:numId w:val="1"/>
        </w:numPr>
        <w:spacing w:before="40" w:after="40"/>
      </w:pPr>
      <w:r>
        <w:rPr>
          <w:color w:val="000000"/>
        </w:rPr>
        <w:t>High Volume / Low Margin</w:t>
      </w:r>
      <w:r>
        <w:rPr>
          <w:i/>
          <w:iCs/>
          <w:color w:val="555555"/>
          <w:sz w:val="20"/>
          <w:szCs w:val="20"/>
        </w:rPr>
        <w:t xml:space="preserve">  — Viability depends on scale. Requires efficient digital delivery and low CAC. Suitable for Gen Z transactional products.</w:t>
      </w:r>
    </w:p>
    <w:p w14:paraId="7FAAC409">
      <w:pPr>
        <w:pStyle w:val="18"/>
        <w:numPr>
          <w:ilvl w:val="0"/>
          <w:numId w:val="1"/>
        </w:numPr>
        <w:spacing w:before="40" w:after="40"/>
      </w:pPr>
      <w:r>
        <w:rPr>
          <w:color w:val="000000"/>
        </w:rPr>
        <w:t>High Margin / Specialist</w:t>
      </w:r>
      <w:r>
        <w:rPr>
          <w:i/>
          <w:iCs/>
          <w:color w:val="555555"/>
          <w:sz w:val="20"/>
          <w:szCs w:val="20"/>
        </w:rPr>
        <w:t xml:space="preserve">  — Viability depends on credit quality and risk management. Suitable for agriculture lending or school finance.</w:t>
      </w:r>
    </w:p>
    <w:p w14:paraId="3BC2F48D">
      <w:pPr>
        <w:pStyle w:val="18"/>
        <w:numPr>
          <w:ilvl w:val="0"/>
          <w:numId w:val="1"/>
        </w:numPr>
        <w:spacing w:before="40" w:after="40"/>
      </w:pPr>
      <w:r>
        <w:rPr>
          <w:color w:val="000000"/>
        </w:rPr>
        <w:t>Ecosystem / Platform Model</w:t>
      </w:r>
      <w:r>
        <w:rPr>
          <w:i/>
          <w:iCs/>
          <w:color w:val="555555"/>
          <w:sz w:val="20"/>
          <w:szCs w:val="20"/>
        </w:rPr>
        <w:t xml:space="preserve">  — Revenue diversifies as the ecosystem matures. Suitable for education payment hubs or agri-value chain platforms.</w:t>
      </w:r>
    </w:p>
    <w:p w14:paraId="739F617A">
      <w:pPr>
        <w:pBdr>
          <w:bottom w:val="single" w:color="AAAAAA" w:sz="4" w:space="1"/>
        </w:pBdr>
        <w:spacing w:before="40" w:after="60"/>
      </w:pPr>
      <w:r>
        <w:rPr>
          <w:i/>
          <w:iCs/>
          <w:color w:val="999999"/>
          <w:sz w:val="20"/>
          <w:szCs w:val="20"/>
        </w:rPr>
        <w:t>[State which model applies and why]</w:t>
      </w:r>
    </w:p>
    <w:p w14:paraId="79E82042">
      <w:pPr>
        <w:pStyle w:val="2"/>
        <w:pageBreakBefore/>
        <w:spacing w:before="0"/>
      </w:pPr>
      <w:bookmarkStart w:id="25" w:name="_Toc224559751"/>
      <w:r>
        <w:rPr>
          <w:color w:val="2E6DA4"/>
        </w:rPr>
        <w:t xml:space="preserve">8 </w:t>
      </w:r>
      <w:r>
        <w:t>Customer Acquisition Strategy</w:t>
      </w:r>
      <w:bookmarkEnd w:id="25"/>
    </w:p>
    <w:p w14:paraId="40106612">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C6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77C88941">
            <w:pPr>
              <w:spacing w:before="60" w:after="80"/>
            </w:pPr>
            <w:r>
              <w:rPr>
                <w:b/>
                <w:bCs/>
                <w:color w:val="1B3A5C"/>
              </w:rPr>
              <w:t>Analyst Guidance</w:t>
            </w:r>
          </w:p>
          <w:p w14:paraId="04FE2268">
            <w:pPr>
              <w:spacing w:before="30" w:after="30"/>
            </w:pPr>
            <w:r>
              <w:rPr>
                <w:i/>
                <w:iCs/>
                <w:color w:val="555555"/>
                <w:sz w:val="20"/>
                <w:szCs w:val="20"/>
              </w:rPr>
              <w:t>Channel selection must reflect Zimbabwe's infrastructure realities: high mobile penetration (~90%), limited broadband outside Harare/Bulawayo, large informal economy, and high trust in personal referrals.</w:t>
            </w:r>
          </w:p>
          <w:p w14:paraId="2C8A5865">
            <w:pPr>
              <w:spacing w:before="30" w:after="30"/>
            </w:pPr>
            <w:r>
              <w:rPr>
                <w:i/>
                <w:iCs/>
                <w:color w:val="555555"/>
                <w:sz w:val="20"/>
                <w:szCs w:val="20"/>
              </w:rPr>
              <w:t>For each channel, state the expected cost per acquisition (CPA) and the reasoning. Digital channels are typically lowest CPA but require digital literacy.</w:t>
            </w:r>
          </w:p>
        </w:tc>
      </w:tr>
    </w:tbl>
    <w:p w14:paraId="4D9B75EB">
      <w:pPr>
        <w:spacing w:line="120" w:lineRule="auto"/>
      </w:pPr>
    </w:p>
    <w:p w14:paraId="344BD0AA">
      <w:pPr>
        <w:pStyle w:val="3"/>
      </w:pPr>
      <w:bookmarkStart w:id="26" w:name="_Toc224559752"/>
      <w:r>
        <w:t>8.1 Acquisition Channels</w:t>
      </w:r>
      <w:bookmarkEnd w:id="26"/>
    </w:p>
    <w:tbl>
      <w:tblPr>
        <w:tblStyle w:val="10"/>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8"/>
        <w:gridCol w:w="3609"/>
        <w:gridCol w:w="1701"/>
        <w:gridCol w:w="1843"/>
      </w:tblGrid>
      <w:tr w14:paraId="521A7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8"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1EAF07A">
            <w:pPr>
              <w:jc w:val="center"/>
            </w:pPr>
            <w:r>
              <w:rPr>
                <w:b/>
                <w:bCs/>
                <w:color w:val="FFFFFF"/>
                <w:sz w:val="19"/>
                <w:szCs w:val="19"/>
              </w:rPr>
              <w:t>Channel</w:t>
            </w:r>
          </w:p>
        </w:tc>
        <w:tc>
          <w:tcPr>
            <w:tcW w:w="3609"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A819C65">
            <w:pPr>
              <w:jc w:val="center"/>
            </w:pPr>
            <w:r>
              <w:rPr>
                <w:b/>
                <w:bCs/>
                <w:color w:val="FFFFFF"/>
                <w:sz w:val="19"/>
                <w:szCs w:val="19"/>
              </w:rPr>
              <w:t>Mechanism</w:t>
            </w:r>
          </w:p>
        </w:tc>
        <w:tc>
          <w:tcPr>
            <w:tcW w:w="1701"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0A1B7E1">
            <w:pPr>
              <w:jc w:val="center"/>
            </w:pPr>
            <w:r>
              <w:rPr>
                <w:b/>
                <w:bCs/>
                <w:color w:val="FFFFFF"/>
                <w:sz w:val="19"/>
                <w:szCs w:val="19"/>
              </w:rPr>
              <w:t>Target Segment Fit</w:t>
            </w:r>
          </w:p>
        </w:tc>
        <w:tc>
          <w:tcPr>
            <w:tcW w:w="1843"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94271E5">
            <w:pPr>
              <w:jc w:val="center"/>
            </w:pPr>
            <w:r>
              <w:rPr>
                <w:b/>
                <w:bCs/>
                <w:color w:val="FFFFFF"/>
                <w:sz w:val="19"/>
                <w:szCs w:val="19"/>
              </w:rPr>
              <w:t>Year 1 Volume</w:t>
            </w:r>
          </w:p>
        </w:tc>
      </w:tr>
      <w:tr w14:paraId="2931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8"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1410265">
            <w:r>
              <w:rPr>
                <w:color w:val="555555"/>
                <w:sz w:val="20"/>
                <w:szCs w:val="20"/>
              </w:rPr>
              <w:t>[ University Partnerships]</w:t>
            </w:r>
          </w:p>
        </w:tc>
        <w:tc>
          <w:tcPr>
            <w:tcW w:w="3609"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8A99C12">
            <w:r>
              <w:rPr>
                <w:rFonts w:hint="default"/>
                <w:color w:val="555555"/>
                <w:sz w:val="20"/>
                <w:szCs w:val="20"/>
              </w:rPr>
              <w:t>MOUs with universities, on-campus activations, student ambassador programs</w:t>
            </w:r>
          </w:p>
        </w:tc>
        <w:tc>
          <w:tcPr>
            <w:tcW w:w="1701"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FD02691">
            <w:r>
              <w:rPr>
                <w:rFonts w:hint="default"/>
                <w:color w:val="555555"/>
                <w:sz w:val="20"/>
                <w:szCs w:val="20"/>
              </w:rPr>
              <w:t>Gen Z students / campus hustlers</w:t>
            </w:r>
          </w:p>
        </w:tc>
        <w:tc>
          <w:tcPr>
            <w:tcW w:w="1843"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CE2DDFA">
            <w:r>
              <w:rPr>
                <w:rFonts w:hint="default"/>
                <w:color w:val="555555"/>
                <w:sz w:val="20"/>
                <w:szCs w:val="20"/>
              </w:rPr>
              <w:t>2,000 customers</w:t>
            </w:r>
          </w:p>
        </w:tc>
      </w:tr>
      <w:tr w14:paraId="1D00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8"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4700910">
            <w:r>
              <w:rPr>
                <w:rFonts w:hint="default"/>
                <w:color w:val="555555"/>
                <w:sz w:val="20"/>
                <w:szCs w:val="20"/>
              </w:rPr>
              <w:t>Entrepreneurship Hubs &amp; SME Networks</w:t>
            </w:r>
          </w:p>
        </w:tc>
        <w:tc>
          <w:tcPr>
            <w:tcW w:w="3609"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12F02BC">
            <w:r>
              <w:rPr>
                <w:rFonts w:hint="default"/>
                <w:color w:val="555555"/>
                <w:sz w:val="20"/>
                <w:szCs w:val="20"/>
              </w:rPr>
              <w:t>Partnerships with youth hubs, incubation centers, and informal trader associations</w:t>
            </w:r>
          </w:p>
        </w:tc>
        <w:tc>
          <w:tcPr>
            <w:tcW w:w="1701"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380706A">
            <w:r>
              <w:rPr>
                <w:rFonts w:hint="default"/>
                <w:color w:val="555555"/>
                <w:sz w:val="20"/>
                <w:szCs w:val="20"/>
              </w:rPr>
              <w:t>Youth entrepreneurs / hustlers</w:t>
            </w:r>
          </w:p>
        </w:tc>
        <w:tc>
          <w:tcPr>
            <w:tcW w:w="1843"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A6208F3">
            <w:r>
              <w:rPr>
                <w:rFonts w:hint="default"/>
                <w:color w:val="555555"/>
                <w:sz w:val="20"/>
                <w:szCs w:val="20"/>
              </w:rPr>
              <w:t>1,000 customers</w:t>
            </w:r>
          </w:p>
        </w:tc>
      </w:tr>
      <w:tr w14:paraId="0CF7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8"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87CDA81">
            <w:r>
              <w:rPr>
                <w:rFonts w:hint="default"/>
                <w:color w:val="555555"/>
                <w:sz w:val="20"/>
                <w:szCs w:val="20"/>
              </w:rPr>
              <w:t>Digital / Social Media Campaigns</w:t>
            </w:r>
          </w:p>
        </w:tc>
        <w:tc>
          <w:tcPr>
            <w:tcW w:w="3609"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8CC6386">
            <w:r>
              <w:rPr>
                <w:rFonts w:hint="default"/>
                <w:color w:val="555555"/>
                <w:sz w:val="20"/>
                <w:szCs w:val="20"/>
              </w:rPr>
              <w:t>TikTok, Instagram, WhatsApp campaigns using influencers and creator wallet integration</w:t>
            </w:r>
          </w:p>
        </w:tc>
        <w:tc>
          <w:tcPr>
            <w:tcW w:w="1701"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77F23FC">
            <w:r>
              <w:rPr>
                <w:rFonts w:hint="default"/>
                <w:color w:val="555555"/>
                <w:sz w:val="20"/>
                <w:szCs w:val="20"/>
              </w:rPr>
              <w:t>Gen Z digital users</w:t>
            </w:r>
          </w:p>
        </w:tc>
        <w:tc>
          <w:tcPr>
            <w:tcW w:w="1843"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A3F10F0">
            <w:r>
              <w:rPr>
                <w:rFonts w:hint="default"/>
                <w:color w:val="555555"/>
                <w:sz w:val="20"/>
                <w:szCs w:val="20"/>
              </w:rPr>
              <w:t>1,500 customers</w:t>
            </w:r>
          </w:p>
        </w:tc>
      </w:tr>
      <w:tr w14:paraId="2E57B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8"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AE24F87">
            <w:r>
              <w:rPr>
                <w:rFonts w:hint="default"/>
                <w:color w:val="555555"/>
                <w:sz w:val="20"/>
                <w:szCs w:val="20"/>
              </w:rPr>
              <w:t>Agent Banking Network</w:t>
            </w:r>
          </w:p>
        </w:tc>
        <w:tc>
          <w:tcPr>
            <w:tcW w:w="3609"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DE60C46">
            <w:r>
              <w:rPr>
                <w:rFonts w:hint="default"/>
                <w:color w:val="555555"/>
                <w:sz w:val="20"/>
                <w:szCs w:val="20"/>
              </w:rPr>
              <w:t>Agent-led onboarding in markets, campuses, and urban trading zones</w:t>
            </w:r>
          </w:p>
        </w:tc>
        <w:tc>
          <w:tcPr>
            <w:tcW w:w="1701"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7799F4F">
            <w:r>
              <w:rPr>
                <w:rFonts w:hint="default"/>
                <w:color w:val="555555"/>
                <w:sz w:val="20"/>
                <w:szCs w:val="20"/>
              </w:rPr>
              <w:t>Informal traders / street vendors</w:t>
            </w:r>
          </w:p>
        </w:tc>
        <w:tc>
          <w:tcPr>
            <w:tcW w:w="1843"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4D3A2DC">
            <w:r>
              <w:rPr>
                <w:rFonts w:hint="default"/>
                <w:color w:val="555555"/>
                <w:sz w:val="20"/>
                <w:szCs w:val="20"/>
              </w:rPr>
              <w:t>800 customers</w:t>
            </w:r>
          </w:p>
        </w:tc>
      </w:tr>
      <w:tr w14:paraId="146D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8"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CB7CB4F">
            <w:r>
              <w:rPr>
                <w:rFonts w:hint="default"/>
                <w:color w:val="555555"/>
                <w:sz w:val="20"/>
                <w:szCs w:val="20"/>
              </w:rPr>
              <w:t>Referral &amp; Incentive Programs</w:t>
            </w:r>
          </w:p>
        </w:tc>
        <w:tc>
          <w:tcPr>
            <w:tcW w:w="3609"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26EAD4D">
            <w:r>
              <w:rPr>
                <w:rFonts w:hint="default"/>
                <w:color w:val="555555"/>
                <w:sz w:val="20"/>
                <w:szCs w:val="20"/>
              </w:rPr>
              <w:t>Peer-to-peer referrals with cashback or rewards for onboarding new users</w:t>
            </w:r>
          </w:p>
        </w:tc>
        <w:tc>
          <w:tcPr>
            <w:tcW w:w="1701"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E99DC15">
            <w:r>
              <w:rPr>
                <w:rFonts w:hint="default"/>
                <w:color w:val="555555"/>
                <w:sz w:val="20"/>
                <w:szCs w:val="20"/>
              </w:rPr>
              <w:t>Existing Gen Z customers</w:t>
            </w:r>
          </w:p>
        </w:tc>
        <w:tc>
          <w:tcPr>
            <w:tcW w:w="1843"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165E661">
            <w:r>
              <w:rPr>
                <w:rFonts w:hint="default"/>
                <w:color w:val="555555"/>
                <w:sz w:val="20"/>
                <w:szCs w:val="20"/>
              </w:rPr>
              <w:t>700 customers</w:t>
            </w:r>
          </w:p>
        </w:tc>
      </w:tr>
    </w:tbl>
    <w:p w14:paraId="2BF2E38F">
      <w:pPr>
        <w:spacing w:line="120" w:lineRule="auto"/>
      </w:pPr>
    </w:p>
    <w:p w14:paraId="75E41F71">
      <w:pPr>
        <w:pStyle w:val="3"/>
      </w:pPr>
      <w:bookmarkStart w:id="27" w:name="_Toc224559753"/>
      <w:r>
        <w:t>8.2 Onboarding Funnel</w:t>
      </w:r>
      <w:bookmarkEnd w:id="27"/>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000"/>
        <w:gridCol w:w="2200"/>
        <w:gridCol w:w="2760"/>
      </w:tblGrid>
      <w:tr w14:paraId="4804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03CF9DE">
            <w:pPr>
              <w:jc w:val="center"/>
            </w:pPr>
            <w:r>
              <w:rPr>
                <w:b/>
                <w:bCs/>
                <w:color w:val="FFFFFF"/>
                <w:sz w:val="19"/>
                <w:szCs w:val="19"/>
              </w:rPr>
              <w:t>Stage</w:t>
            </w:r>
          </w:p>
        </w:tc>
        <w:tc>
          <w:tcPr>
            <w:tcW w:w="3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9FA9F2B">
            <w:pPr>
              <w:jc w:val="center"/>
            </w:pPr>
            <w:r>
              <w:rPr>
                <w:b/>
                <w:bCs/>
                <w:color w:val="FFFFFF"/>
                <w:sz w:val="19"/>
                <w:szCs w:val="19"/>
              </w:rPr>
              <w:t>Action</w:t>
            </w:r>
          </w:p>
        </w:tc>
        <w:tc>
          <w:tcPr>
            <w:tcW w:w="2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9EF86CA">
            <w:pPr>
              <w:jc w:val="center"/>
            </w:pPr>
            <w:r>
              <w:rPr>
                <w:b/>
                <w:bCs/>
                <w:color w:val="FFFFFF"/>
                <w:sz w:val="19"/>
                <w:szCs w:val="19"/>
              </w:rPr>
              <w:t>Conversion Rate Assumption</w:t>
            </w:r>
          </w:p>
        </w:tc>
        <w:tc>
          <w:tcPr>
            <w:tcW w:w="27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17337152">
            <w:pPr>
              <w:jc w:val="center"/>
            </w:pPr>
            <w:r>
              <w:rPr>
                <w:b/>
                <w:bCs/>
                <w:color w:val="FFFFFF"/>
                <w:sz w:val="19"/>
                <w:szCs w:val="19"/>
              </w:rPr>
              <w:t>Responsible Party</w:t>
            </w:r>
          </w:p>
        </w:tc>
      </w:tr>
      <w:tr w14:paraId="5DA4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1D3AFF0">
            <w:r>
              <w:rPr>
                <w:color w:val="555555"/>
                <w:sz w:val="20"/>
                <w:szCs w:val="20"/>
              </w:rPr>
              <w:t>Awareness</w:t>
            </w:r>
          </w:p>
        </w:tc>
        <w:tc>
          <w:tcPr>
            <w:tcW w:w="3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297C1AE">
            <w:r>
              <w:rPr>
                <w:rFonts w:hint="default"/>
                <w:color w:val="555555"/>
                <w:sz w:val="20"/>
                <w:szCs w:val="20"/>
              </w:rPr>
              <w:t>Prospect learns about the Hustler Account through campus activations, social media campaigns, influencers, and agents in markets</w:t>
            </w:r>
          </w:p>
        </w:tc>
        <w:tc>
          <w:tcPr>
            <w:tcW w:w="2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01C9ED2">
            <w:r>
              <w:rPr>
                <w:rFonts w:hint="default"/>
                <w:color w:val="555555"/>
                <w:sz w:val="20"/>
                <w:szCs w:val="20"/>
              </w:rPr>
              <w:t>100% (baseline audience)</w:t>
            </w:r>
          </w:p>
        </w:tc>
        <w:tc>
          <w:tcPr>
            <w:tcW w:w="27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EE67EC1">
            <w:r>
              <w:rPr>
                <w:color w:val="555555"/>
                <w:sz w:val="20"/>
                <w:szCs w:val="20"/>
              </w:rPr>
              <w:t>[Marketing]</w:t>
            </w:r>
          </w:p>
        </w:tc>
      </w:tr>
      <w:tr w14:paraId="0C0F4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48393CE">
            <w:r>
              <w:rPr>
                <w:color w:val="555555"/>
                <w:sz w:val="20"/>
                <w:szCs w:val="20"/>
              </w:rPr>
              <w:t>Interest</w:t>
            </w:r>
          </w:p>
        </w:tc>
        <w:tc>
          <w:tcPr>
            <w:tcW w:w="3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9E1DFA3">
            <w:r>
              <w:rPr>
                <w:rFonts w:hint="default"/>
                <w:color w:val="555555"/>
                <w:sz w:val="20"/>
                <w:szCs w:val="20"/>
              </w:rPr>
              <w:t>Prospect engages via clicking ads, attending activations, or interacting with ambassadors/agents</w:t>
            </w:r>
            <w:r>
              <w:rPr>
                <w:color w:val="555555"/>
                <w:sz w:val="20"/>
                <w:szCs w:val="20"/>
              </w:rPr>
              <w:t>]</w:t>
            </w:r>
          </w:p>
        </w:tc>
        <w:tc>
          <w:tcPr>
            <w:tcW w:w="2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2616DF3">
            <w:r>
              <w:rPr>
                <w:rFonts w:hint="default"/>
                <w:color w:val="555555"/>
                <w:sz w:val="20"/>
                <w:szCs w:val="20"/>
              </w:rPr>
              <w:t>40%</w:t>
            </w:r>
          </w:p>
        </w:tc>
        <w:tc>
          <w:tcPr>
            <w:tcW w:w="27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966485D">
            <w:r>
              <w:rPr>
                <w:rFonts w:hint="default"/>
                <w:color w:val="555555"/>
                <w:sz w:val="20"/>
                <w:szCs w:val="20"/>
              </w:rPr>
              <w:t>Channel Partner (Universities, Agents, Digital Channels)</w:t>
            </w:r>
          </w:p>
        </w:tc>
      </w:tr>
      <w:tr w14:paraId="613A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1AF51A5">
            <w:r>
              <w:rPr>
                <w:color w:val="555555"/>
                <w:sz w:val="20"/>
                <w:szCs w:val="20"/>
              </w:rPr>
              <w:t>Application</w:t>
            </w:r>
          </w:p>
        </w:tc>
        <w:tc>
          <w:tcPr>
            <w:tcW w:w="3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DB54816">
            <w:r>
              <w:rPr>
                <w:rFonts w:hint="default"/>
                <w:color w:val="555555"/>
                <w:sz w:val="20"/>
                <w:szCs w:val="20"/>
              </w:rPr>
              <w:t>Prospect initiates account opening via mobile app, USSD, or assisted agent onboarding</w:t>
            </w:r>
          </w:p>
        </w:tc>
        <w:tc>
          <w:tcPr>
            <w:tcW w:w="2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92C2471">
            <w:r>
              <w:rPr>
                <w:rFonts w:hint="default"/>
                <w:color w:val="555555"/>
                <w:sz w:val="20"/>
                <w:szCs w:val="20"/>
              </w:rPr>
              <w:t>60%</w:t>
            </w:r>
          </w:p>
        </w:tc>
        <w:tc>
          <w:tcPr>
            <w:tcW w:w="27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9A4E9FD">
            <w:r>
              <w:rPr>
                <w:rFonts w:hint="default"/>
                <w:color w:val="555555"/>
                <w:sz w:val="20"/>
                <w:szCs w:val="20"/>
              </w:rPr>
              <w:t>Digital / Agent Network</w:t>
            </w:r>
          </w:p>
        </w:tc>
      </w:tr>
      <w:tr w14:paraId="3CCC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53FBA9A">
            <w:r>
              <w:rPr>
                <w:color w:val="555555"/>
                <w:sz w:val="20"/>
                <w:szCs w:val="20"/>
              </w:rPr>
              <w:t>KYC &amp; Verification</w:t>
            </w:r>
          </w:p>
        </w:tc>
        <w:tc>
          <w:tcPr>
            <w:tcW w:w="3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C9A8683">
            <w:r>
              <w:rPr>
                <w:rFonts w:hint="default"/>
                <w:color w:val="555555"/>
                <w:sz w:val="20"/>
                <w:szCs w:val="20"/>
              </w:rPr>
              <w:t>Customer submits ID + mobile number (Tier 1) or additional documents for higher tiers</w:t>
            </w:r>
          </w:p>
        </w:tc>
        <w:tc>
          <w:tcPr>
            <w:tcW w:w="2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818A9E2">
            <w:r>
              <w:rPr>
                <w:rFonts w:hint="default"/>
                <w:color w:val="555555"/>
                <w:sz w:val="20"/>
                <w:szCs w:val="20"/>
              </w:rPr>
              <w:t>80%</w:t>
            </w:r>
          </w:p>
        </w:tc>
        <w:tc>
          <w:tcPr>
            <w:tcW w:w="27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5B2BDCA">
            <w:r>
              <w:rPr>
                <w:color w:val="555555"/>
                <w:sz w:val="20"/>
                <w:szCs w:val="20"/>
              </w:rPr>
              <w:t>[Operations]</w:t>
            </w:r>
          </w:p>
        </w:tc>
      </w:tr>
      <w:tr w14:paraId="64DA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51CAACC">
            <w:r>
              <w:rPr>
                <w:color w:val="555555"/>
                <w:sz w:val="20"/>
                <w:szCs w:val="20"/>
              </w:rPr>
              <w:t>Account Activation</w:t>
            </w:r>
          </w:p>
        </w:tc>
        <w:tc>
          <w:tcPr>
            <w:tcW w:w="3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9F4AAB2">
            <w:r>
              <w:rPr>
                <w:rFonts w:hint="default"/>
                <w:color w:val="555555"/>
                <w:sz w:val="20"/>
                <w:szCs w:val="20"/>
              </w:rPr>
              <w:t>Customer performs first transaction (deposit, transfer, or payment)</w:t>
            </w:r>
          </w:p>
        </w:tc>
        <w:tc>
          <w:tcPr>
            <w:tcW w:w="2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6D3CB09">
            <w:r>
              <w:rPr>
                <w:rFonts w:hint="default"/>
                <w:color w:val="555555"/>
                <w:sz w:val="20"/>
                <w:szCs w:val="20"/>
              </w:rPr>
              <w:t>70%</w:t>
            </w:r>
          </w:p>
        </w:tc>
        <w:tc>
          <w:tcPr>
            <w:tcW w:w="27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23863E3">
            <w:r>
              <w:rPr>
                <w:rFonts w:hint="default"/>
                <w:color w:val="555555"/>
                <w:sz w:val="20"/>
                <w:szCs w:val="20"/>
              </w:rPr>
              <w:t>Product / Growth Team</w:t>
            </w:r>
          </w:p>
        </w:tc>
      </w:tr>
      <w:tr w14:paraId="6A35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3341C8C">
            <w:r>
              <w:rPr>
                <w:color w:val="555555"/>
                <w:sz w:val="20"/>
                <w:szCs w:val="20"/>
              </w:rPr>
              <w:t>Active Customer</w:t>
            </w:r>
          </w:p>
        </w:tc>
        <w:tc>
          <w:tcPr>
            <w:tcW w:w="3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7B5235D">
            <w:r>
              <w:rPr>
                <w:rFonts w:hint="default"/>
                <w:color w:val="555555"/>
                <w:sz w:val="20"/>
                <w:szCs w:val="20"/>
              </w:rPr>
              <w:t>Defined as ≥3 transactions per month</w:t>
            </w:r>
          </w:p>
        </w:tc>
        <w:tc>
          <w:tcPr>
            <w:tcW w:w="2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E11266E">
            <w:r>
              <w:rPr>
                <w:rFonts w:hint="default"/>
                <w:color w:val="555555"/>
                <w:sz w:val="20"/>
                <w:szCs w:val="20"/>
              </w:rPr>
              <w:t>Target: 60% of activated users</w:t>
            </w:r>
          </w:p>
        </w:tc>
        <w:tc>
          <w:tcPr>
            <w:tcW w:w="27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FB3E06B">
            <w:r>
              <w:rPr>
                <w:color w:val="555555"/>
                <w:sz w:val="20"/>
                <w:szCs w:val="20"/>
              </w:rPr>
              <w:t>[Retention team]</w:t>
            </w:r>
          </w:p>
        </w:tc>
      </w:tr>
    </w:tbl>
    <w:p w14:paraId="476ECED1">
      <w:pPr>
        <w:pStyle w:val="2"/>
        <w:pageBreakBefore/>
        <w:spacing w:before="0"/>
      </w:pPr>
      <w:bookmarkStart w:id="28" w:name="_Toc224559754"/>
      <w:r>
        <w:rPr>
          <w:color w:val="2E6DA4"/>
        </w:rPr>
        <w:t xml:space="preserve">9  </w:t>
      </w:r>
      <w:r>
        <w:t>Distribution Channels</w:t>
      </w:r>
      <w:bookmarkEnd w:id="28"/>
    </w:p>
    <w:p w14:paraId="4371C908">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E5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30ED5903">
            <w:pPr>
              <w:spacing w:before="60" w:after="80"/>
            </w:pPr>
            <w:r>
              <w:rPr>
                <w:b/>
                <w:bCs/>
                <w:color w:val="1B3A5C"/>
              </w:rPr>
              <w:t>Analyst Guidance</w:t>
            </w:r>
          </w:p>
          <w:p w14:paraId="1F0E273B">
            <w:pPr>
              <w:spacing w:before="30" w:after="30"/>
            </w:pPr>
            <w:r>
              <w:rPr>
                <w:i/>
                <w:iCs/>
                <w:color w:val="555555"/>
                <w:sz w:val="20"/>
                <w:szCs w:val="20"/>
              </w:rPr>
              <w:t>Distribution is how the product reaches customers post-acquisition. Distinguish acquisition channels (how you find customers) from distribution channels (how you serve them).</w:t>
            </w:r>
          </w:p>
          <w:p w14:paraId="05448304">
            <w:pPr>
              <w:spacing w:before="30" w:after="30"/>
            </w:pPr>
            <w:r>
              <w:rPr>
                <w:i/>
                <w:iCs/>
                <w:color w:val="555555"/>
                <w:sz w:val="20"/>
                <w:szCs w:val="20"/>
              </w:rPr>
              <w:t>In Zimbabwe, USSD remains critical for low-income and rural segments. Do not design a product that is mobile-app-only unless the segment has confirmed smartphone penetration.</w:t>
            </w:r>
          </w:p>
        </w:tc>
      </w:tr>
    </w:tbl>
    <w:p w14:paraId="2B0B4A56">
      <w:pPr>
        <w:spacing w:line="120" w:lineRule="auto"/>
      </w:pPr>
    </w:p>
    <w:p w14:paraId="2EA90CF2">
      <w:pPr>
        <w:pStyle w:val="3"/>
      </w:pPr>
      <w:bookmarkStart w:id="29" w:name="_Toc224559755"/>
      <w:r>
        <w:t>9.1  Channel Mix</w:t>
      </w:r>
      <w:bookmarkEnd w:id="29"/>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6"/>
        <w:gridCol w:w="1252"/>
        <w:gridCol w:w="1781"/>
        <w:gridCol w:w="1932"/>
        <w:gridCol w:w="2319"/>
      </w:tblGrid>
      <w:tr w14:paraId="7CF4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76"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34359BCA">
            <w:pPr>
              <w:jc w:val="center"/>
            </w:pPr>
            <w:r>
              <w:rPr>
                <w:b/>
                <w:bCs/>
                <w:color w:val="FFFFFF"/>
                <w:sz w:val="19"/>
                <w:szCs w:val="19"/>
              </w:rPr>
              <w:t>Channel</w:t>
            </w:r>
          </w:p>
        </w:tc>
        <w:tc>
          <w:tcPr>
            <w:tcW w:w="1252"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3CB4E857">
            <w:pPr>
              <w:jc w:val="center"/>
            </w:pPr>
            <w:r>
              <w:rPr>
                <w:b/>
                <w:bCs/>
                <w:color w:val="FFFFFF"/>
                <w:sz w:val="19"/>
                <w:szCs w:val="19"/>
              </w:rPr>
              <w:t>Primary / Secondary</w:t>
            </w:r>
          </w:p>
        </w:tc>
        <w:tc>
          <w:tcPr>
            <w:tcW w:w="1781"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FBB9F2E">
            <w:pPr>
              <w:jc w:val="center"/>
            </w:pPr>
            <w:r>
              <w:rPr>
                <w:b/>
                <w:bCs/>
                <w:color w:val="FFFFFF"/>
                <w:sz w:val="19"/>
                <w:szCs w:val="19"/>
              </w:rPr>
              <w:t>Segment Served</w:t>
            </w:r>
          </w:p>
        </w:tc>
        <w:tc>
          <w:tcPr>
            <w:tcW w:w="1932"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D27A7F3">
            <w:pPr>
              <w:jc w:val="center"/>
            </w:pPr>
            <w:r>
              <w:rPr>
                <w:b/>
                <w:bCs/>
                <w:color w:val="FFFFFF"/>
                <w:sz w:val="19"/>
                <w:szCs w:val="19"/>
              </w:rPr>
              <w:t>% of Transactions (Est.)</w:t>
            </w:r>
          </w:p>
        </w:tc>
        <w:tc>
          <w:tcPr>
            <w:tcW w:w="2319"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BDA40F0">
            <w:pPr>
              <w:jc w:val="center"/>
            </w:pPr>
            <w:r>
              <w:rPr>
                <w:b/>
                <w:bCs/>
                <w:color w:val="FFFFFF"/>
                <w:sz w:val="19"/>
                <w:szCs w:val="19"/>
              </w:rPr>
              <w:t>Cost per Transaction</w:t>
            </w:r>
          </w:p>
        </w:tc>
      </w:tr>
      <w:tr w14:paraId="69F71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72B30FB">
            <w:r>
              <w:rPr>
                <w:color w:val="555555"/>
                <w:sz w:val="20"/>
                <w:szCs w:val="20"/>
              </w:rPr>
              <w:t>Mobile Banking App</w:t>
            </w:r>
          </w:p>
        </w:tc>
        <w:tc>
          <w:tcPr>
            <w:tcW w:w="1252"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7730138">
            <w:pPr>
              <w:rPr>
                <w:rFonts w:hint="default"/>
                <w:lang w:val="en-ZA"/>
              </w:rPr>
            </w:pPr>
            <w:r>
              <w:rPr>
                <w:color w:val="555555"/>
                <w:sz w:val="20"/>
                <w:szCs w:val="20"/>
              </w:rPr>
              <w:t>[P</w:t>
            </w:r>
            <w:r>
              <w:rPr>
                <w:rFonts w:hint="default"/>
                <w:color w:val="555555"/>
                <w:sz w:val="20"/>
                <w:szCs w:val="20"/>
                <w:lang w:val="en-ZA"/>
              </w:rPr>
              <w:t>]</w:t>
            </w:r>
          </w:p>
        </w:tc>
        <w:tc>
          <w:tcPr>
            <w:tcW w:w="1781"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698A1F4">
            <w:r>
              <w:rPr>
                <w:rFonts w:hint="default"/>
                <w:color w:val="555555"/>
                <w:sz w:val="20"/>
                <w:szCs w:val="20"/>
              </w:rPr>
              <w:t>Digitally active Gen Z students and online entrepreneurs</w:t>
            </w:r>
          </w:p>
        </w:tc>
        <w:tc>
          <w:tcPr>
            <w:tcW w:w="1932"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A7966C3">
            <w:r>
              <w:rPr>
                <w:rFonts w:hint="default"/>
                <w:color w:val="555555"/>
                <w:sz w:val="20"/>
                <w:szCs w:val="20"/>
              </w:rPr>
              <w:t>50%</w:t>
            </w:r>
          </w:p>
        </w:tc>
        <w:tc>
          <w:tcPr>
            <w:tcW w:w="2319"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283589F">
            <w:r>
              <w:rPr>
                <w:rFonts w:hint="default"/>
                <w:color w:val="555555"/>
                <w:sz w:val="20"/>
                <w:szCs w:val="20"/>
              </w:rPr>
              <w:t>$0.02</w:t>
            </w:r>
          </w:p>
        </w:tc>
      </w:tr>
      <w:tr w14:paraId="00A7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B826C77">
            <w:r>
              <w:rPr>
                <w:color w:val="555555"/>
                <w:sz w:val="20"/>
                <w:szCs w:val="20"/>
              </w:rPr>
              <w:t>USSD Banking</w:t>
            </w:r>
          </w:p>
        </w:tc>
        <w:tc>
          <w:tcPr>
            <w:tcW w:w="1252"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CEF2519">
            <w:pPr>
              <w:rPr>
                <w:rFonts w:hint="default"/>
                <w:lang w:val="en-ZA"/>
              </w:rPr>
            </w:pPr>
            <w:r>
              <w:rPr>
                <w:color w:val="555555"/>
                <w:sz w:val="20"/>
                <w:szCs w:val="20"/>
              </w:rPr>
              <w:t>[P</w:t>
            </w:r>
            <w:r>
              <w:rPr>
                <w:rFonts w:hint="default"/>
                <w:color w:val="555555"/>
                <w:sz w:val="20"/>
                <w:szCs w:val="20"/>
                <w:lang w:val="en-ZA"/>
              </w:rPr>
              <w:t>]</w:t>
            </w:r>
          </w:p>
        </w:tc>
        <w:tc>
          <w:tcPr>
            <w:tcW w:w="1781"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CBD8682">
            <w:r>
              <w:rPr>
                <w:rFonts w:hint="default"/>
                <w:color w:val="555555"/>
                <w:sz w:val="20"/>
                <w:szCs w:val="20"/>
              </w:rPr>
              <w:t>Informal traders and users with limited smartphone/data access</w:t>
            </w:r>
          </w:p>
        </w:tc>
        <w:tc>
          <w:tcPr>
            <w:tcW w:w="1932"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DE2EA02">
            <w:r>
              <w:rPr>
                <w:rFonts w:hint="default"/>
                <w:color w:val="555555"/>
                <w:sz w:val="20"/>
                <w:szCs w:val="20"/>
              </w:rPr>
              <w:t>25%</w:t>
            </w:r>
          </w:p>
        </w:tc>
        <w:tc>
          <w:tcPr>
            <w:tcW w:w="2319"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ABCBD66">
            <w:r>
              <w:rPr>
                <w:rFonts w:hint="default"/>
                <w:color w:val="555555"/>
                <w:sz w:val="20"/>
                <w:szCs w:val="20"/>
              </w:rPr>
              <w:t>$0.05</w:t>
            </w:r>
          </w:p>
        </w:tc>
      </w:tr>
      <w:tr w14:paraId="6D77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1B2CD2D">
            <w:r>
              <w:rPr>
                <w:color w:val="555555"/>
                <w:sz w:val="20"/>
                <w:szCs w:val="20"/>
              </w:rPr>
              <w:t>Branch Network</w:t>
            </w:r>
          </w:p>
        </w:tc>
        <w:tc>
          <w:tcPr>
            <w:tcW w:w="1252"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C22355A">
            <w:r>
              <w:rPr>
                <w:color w:val="555555"/>
                <w:sz w:val="20"/>
                <w:szCs w:val="20"/>
              </w:rPr>
              <w:t>[S]</w:t>
            </w:r>
          </w:p>
        </w:tc>
        <w:tc>
          <w:tcPr>
            <w:tcW w:w="1781"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2D5765D">
            <w:r>
              <w:rPr>
                <w:rFonts w:hint="default"/>
                <w:color w:val="555555"/>
                <w:sz w:val="20"/>
                <w:szCs w:val="20"/>
              </w:rPr>
              <w:t>KYC upgrades, complex queries, onboarding support</w:t>
            </w:r>
          </w:p>
        </w:tc>
        <w:tc>
          <w:tcPr>
            <w:tcW w:w="1932"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FA12B8E">
            <w:r>
              <w:rPr>
                <w:rFonts w:hint="default"/>
                <w:color w:val="555555"/>
                <w:sz w:val="20"/>
                <w:szCs w:val="20"/>
              </w:rPr>
              <w:t>5%</w:t>
            </w:r>
          </w:p>
        </w:tc>
        <w:tc>
          <w:tcPr>
            <w:tcW w:w="2319"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DDE7E50">
            <w:r>
              <w:rPr>
                <w:rFonts w:hint="default"/>
                <w:color w:val="555555"/>
                <w:sz w:val="20"/>
                <w:szCs w:val="20"/>
              </w:rPr>
              <w:t>$1.50</w:t>
            </w:r>
          </w:p>
        </w:tc>
      </w:tr>
      <w:tr w14:paraId="3938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A138531">
            <w:r>
              <w:rPr>
                <w:color w:val="555555"/>
                <w:sz w:val="20"/>
                <w:szCs w:val="20"/>
              </w:rPr>
              <w:t>Agent Banking</w:t>
            </w:r>
          </w:p>
        </w:tc>
        <w:tc>
          <w:tcPr>
            <w:tcW w:w="1252"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ABA6E0B">
            <w:r>
              <w:rPr>
                <w:color w:val="555555"/>
                <w:sz w:val="20"/>
                <w:szCs w:val="20"/>
              </w:rPr>
              <w:t>[S]</w:t>
            </w:r>
          </w:p>
        </w:tc>
        <w:tc>
          <w:tcPr>
            <w:tcW w:w="1781"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CE4B521">
            <w:r>
              <w:rPr>
                <w:rFonts w:hint="default"/>
                <w:color w:val="555555"/>
                <w:sz w:val="20"/>
                <w:szCs w:val="20"/>
              </w:rPr>
              <w:t>Market traders, campus onboarding, cash-in/cash-out users</w:t>
            </w:r>
          </w:p>
        </w:tc>
        <w:tc>
          <w:tcPr>
            <w:tcW w:w="1932"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25A83FB">
            <w:r>
              <w:rPr>
                <w:rFonts w:hint="default"/>
                <w:color w:val="555555"/>
                <w:sz w:val="20"/>
                <w:szCs w:val="20"/>
              </w:rPr>
              <w:t>10%</w:t>
            </w:r>
          </w:p>
        </w:tc>
        <w:tc>
          <w:tcPr>
            <w:tcW w:w="2319"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2EF90D2">
            <w:r>
              <w:rPr>
                <w:rFonts w:hint="default"/>
                <w:color w:val="555555"/>
                <w:sz w:val="20"/>
                <w:szCs w:val="20"/>
              </w:rPr>
              <w:t>$0.30</w:t>
            </w:r>
          </w:p>
        </w:tc>
      </w:tr>
      <w:tr w14:paraId="0C655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3D7C64B">
            <w:r>
              <w:rPr>
                <w:color w:val="555555"/>
                <w:sz w:val="20"/>
                <w:szCs w:val="20"/>
              </w:rPr>
              <w:t>API / Third-Party Integration</w:t>
            </w:r>
          </w:p>
        </w:tc>
        <w:tc>
          <w:tcPr>
            <w:tcW w:w="1252"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354E2E1">
            <w:r>
              <w:rPr>
                <w:color w:val="555555"/>
                <w:sz w:val="20"/>
                <w:szCs w:val="20"/>
              </w:rPr>
              <w:t>[S]</w:t>
            </w:r>
          </w:p>
        </w:tc>
        <w:tc>
          <w:tcPr>
            <w:tcW w:w="1781"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B276ECD">
            <w:r>
              <w:rPr>
                <w:rFonts w:hint="default"/>
                <w:color w:val="555555"/>
                <w:sz w:val="20"/>
                <w:szCs w:val="20"/>
              </w:rPr>
              <w:t>Merchants, payment platforms, ecosystem partners</w:t>
            </w:r>
          </w:p>
        </w:tc>
        <w:tc>
          <w:tcPr>
            <w:tcW w:w="1932"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7C19540">
            <w:r>
              <w:rPr>
                <w:rFonts w:hint="default"/>
                <w:color w:val="555555"/>
                <w:sz w:val="20"/>
                <w:szCs w:val="20"/>
              </w:rPr>
              <w:t>5%</w:t>
            </w:r>
          </w:p>
        </w:tc>
        <w:tc>
          <w:tcPr>
            <w:tcW w:w="2319"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9BF347C">
            <w:r>
              <w:rPr>
                <w:rFonts w:hint="default"/>
                <w:color w:val="555555"/>
                <w:sz w:val="20"/>
                <w:szCs w:val="20"/>
              </w:rPr>
              <w:t>$0.03</w:t>
            </w:r>
          </w:p>
        </w:tc>
      </w:tr>
      <w:tr w14:paraId="340C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6"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235B54A">
            <w:r>
              <w:rPr>
                <w:color w:val="555555"/>
                <w:sz w:val="20"/>
                <w:szCs w:val="20"/>
              </w:rPr>
              <w:t>ATM Network</w:t>
            </w:r>
          </w:p>
        </w:tc>
        <w:tc>
          <w:tcPr>
            <w:tcW w:w="1252"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7F71A8E">
            <w:r>
              <w:rPr>
                <w:color w:val="555555"/>
                <w:sz w:val="20"/>
                <w:szCs w:val="20"/>
              </w:rPr>
              <w:t>[S]</w:t>
            </w:r>
          </w:p>
        </w:tc>
        <w:tc>
          <w:tcPr>
            <w:tcW w:w="1781"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CCFB9BB">
            <w:r>
              <w:rPr>
                <w:rFonts w:hint="default"/>
                <w:color w:val="555555"/>
                <w:sz w:val="20"/>
                <w:szCs w:val="20"/>
              </w:rPr>
              <w:t>Cash withdrawals for general users</w:t>
            </w:r>
          </w:p>
        </w:tc>
        <w:tc>
          <w:tcPr>
            <w:tcW w:w="1932"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7B8E67A">
            <w:r>
              <w:rPr>
                <w:rFonts w:hint="default"/>
                <w:color w:val="555555"/>
                <w:sz w:val="20"/>
                <w:szCs w:val="20"/>
              </w:rPr>
              <w:t>5%</w:t>
            </w:r>
          </w:p>
        </w:tc>
        <w:tc>
          <w:tcPr>
            <w:tcW w:w="2319"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B2BA4C6">
            <w:r>
              <w:rPr>
                <w:rFonts w:hint="default"/>
                <w:color w:val="555555"/>
                <w:sz w:val="20"/>
                <w:szCs w:val="20"/>
              </w:rPr>
              <w:t>$0.50</w:t>
            </w:r>
          </w:p>
        </w:tc>
      </w:tr>
    </w:tbl>
    <w:p w14:paraId="6C1AF805">
      <w:pPr>
        <w:spacing w:line="120" w:lineRule="auto"/>
      </w:pPr>
    </w:p>
    <w:p w14:paraId="0E24B490">
      <w:pPr>
        <w:pStyle w:val="3"/>
      </w:pPr>
      <w:bookmarkStart w:id="30" w:name="_Toc224559756"/>
      <w:r>
        <w:t>9.2  Critical Channel Rationale</w:t>
      </w:r>
      <w:bookmarkEnd w:id="30"/>
    </w:p>
    <w:p w14:paraId="510908CD">
      <w:pPr>
        <w:spacing w:before="60" w:after="60"/>
      </w:pPr>
      <w:r>
        <w:rPr>
          <w:color w:val="000000"/>
        </w:rPr>
        <w:t>Identify the single most critical distribution channel for this model's success and justify the choice.</w:t>
      </w:r>
    </w:p>
    <w:p w14:paraId="6F25C15A">
      <w:pPr>
        <w:pBdr>
          <w:bottom w:val="single" w:color="AAAAAA" w:sz="4" w:space="1"/>
        </w:pBdr>
        <w:spacing w:before="40" w:after="60"/>
        <w:rPr>
          <w:rFonts w:hint="default"/>
          <w:i/>
          <w:iCs/>
          <w:color w:val="999999"/>
          <w:sz w:val="20"/>
          <w:szCs w:val="20"/>
        </w:rPr>
      </w:pPr>
      <w:r>
        <w:rPr>
          <w:rFonts w:hint="default"/>
          <w:i/>
          <w:iCs/>
          <w:color w:val="999999"/>
          <w:sz w:val="20"/>
          <w:szCs w:val="20"/>
        </w:rPr>
        <w:t>The Mobile Banking App (supported by USSD) is the most critical distribution channel for the success of the Hustler Account.</w:t>
      </w:r>
    </w:p>
    <w:p w14:paraId="6D809997">
      <w:pPr>
        <w:pBdr>
          <w:bottom w:val="single" w:color="AAAAAA" w:sz="4" w:space="1"/>
        </w:pBdr>
        <w:spacing w:before="40" w:after="60"/>
        <w:rPr>
          <w:rFonts w:hint="default"/>
          <w:i/>
          <w:iCs/>
          <w:color w:val="999999"/>
          <w:sz w:val="20"/>
          <w:szCs w:val="20"/>
        </w:rPr>
      </w:pPr>
    </w:p>
    <w:p w14:paraId="47F93351">
      <w:pPr>
        <w:pBdr>
          <w:bottom w:val="single" w:color="AAAAAA" w:sz="4" w:space="1"/>
        </w:pBdr>
        <w:spacing w:before="40" w:after="60"/>
        <w:rPr>
          <w:rFonts w:hint="default"/>
          <w:i/>
          <w:iCs/>
          <w:color w:val="999999"/>
          <w:sz w:val="20"/>
          <w:szCs w:val="20"/>
        </w:rPr>
      </w:pPr>
      <w:r>
        <w:rPr>
          <w:rFonts w:hint="default"/>
          <w:i/>
          <w:iCs/>
          <w:color w:val="999999"/>
          <w:sz w:val="20"/>
          <w:szCs w:val="20"/>
        </w:rPr>
        <w:t>This channel is non-negotiable because the target segment—Gen Z informal earners and university students—is highly mobile-first, conducting the majority of their financial activities through smartphones and digital platforms. Most hustlers already use mobile money and social media (WhatsApp, Instagram, TikTok) to run their businesses and receive payments, making a mobile-based banking solution the most natural and frictionless extension of their existing behaviour.</w:t>
      </w:r>
    </w:p>
    <w:p w14:paraId="48F63310">
      <w:pPr>
        <w:pBdr>
          <w:bottom w:val="single" w:color="AAAAAA" w:sz="4" w:space="1"/>
        </w:pBdr>
        <w:spacing w:before="40" w:after="60"/>
        <w:rPr>
          <w:rFonts w:hint="default"/>
          <w:i/>
          <w:iCs/>
          <w:color w:val="999999"/>
          <w:sz w:val="20"/>
          <w:szCs w:val="20"/>
        </w:rPr>
      </w:pPr>
    </w:p>
    <w:p w14:paraId="014B3AD9">
      <w:pPr>
        <w:pBdr>
          <w:bottom w:val="single" w:color="AAAAAA" w:sz="4" w:space="1"/>
        </w:pBdr>
        <w:spacing w:before="40" w:after="60"/>
        <w:rPr>
          <w:rFonts w:hint="default"/>
          <w:i/>
          <w:iCs/>
          <w:color w:val="999999"/>
          <w:sz w:val="20"/>
          <w:szCs w:val="20"/>
        </w:rPr>
      </w:pPr>
      <w:r>
        <w:rPr>
          <w:rFonts w:hint="default"/>
          <w:i/>
          <w:iCs/>
          <w:color w:val="999999"/>
          <w:sz w:val="20"/>
          <w:szCs w:val="20"/>
        </w:rPr>
        <w:t>In addition, the mobile app enables real-time transactions, merchant payments, account management, and future value-added services (such as micro-loans and savings tools), which cannot be efficiently delivered through traditional channels like branches. It also ensures low cost-to-serve, scalability, and continuous customer engagement—critical for a high-volume, low-margin model.</w:t>
      </w:r>
    </w:p>
    <w:p w14:paraId="608A8DF0">
      <w:pPr>
        <w:pBdr>
          <w:bottom w:val="single" w:color="AAAAAA" w:sz="4" w:space="1"/>
        </w:pBdr>
        <w:spacing w:before="40" w:after="60"/>
        <w:rPr>
          <w:rFonts w:hint="default"/>
          <w:i/>
          <w:iCs/>
          <w:color w:val="999999"/>
          <w:sz w:val="20"/>
          <w:szCs w:val="20"/>
        </w:rPr>
      </w:pPr>
    </w:p>
    <w:p w14:paraId="0F147962">
      <w:pPr>
        <w:pBdr>
          <w:bottom w:val="single" w:color="AAAAAA" w:sz="4" w:space="1"/>
        </w:pBdr>
        <w:spacing w:before="40" w:after="60"/>
        <w:rPr>
          <w:rFonts w:hint="default"/>
          <w:i/>
          <w:iCs/>
          <w:color w:val="999999"/>
          <w:sz w:val="20"/>
          <w:szCs w:val="20"/>
        </w:rPr>
      </w:pPr>
      <w:r>
        <w:rPr>
          <w:rFonts w:hint="default"/>
          <w:i/>
          <w:iCs/>
          <w:color w:val="999999"/>
          <w:sz w:val="20"/>
          <w:szCs w:val="20"/>
        </w:rPr>
        <w:t>USSD complements the mobile app by ensuring inclusivity for users with limited data access or lower-end devices, but the mobile app remains the primary engine for engagement, monetization, and long-term customer retention.</w:t>
      </w:r>
    </w:p>
    <w:p w14:paraId="0303A907">
      <w:pPr>
        <w:pBdr>
          <w:bottom w:val="single" w:color="AAAAAA" w:sz="4" w:space="1"/>
        </w:pBdr>
        <w:spacing w:before="40" w:after="60"/>
        <w:rPr>
          <w:rFonts w:hint="default"/>
          <w:i/>
          <w:iCs/>
          <w:color w:val="999999"/>
          <w:sz w:val="20"/>
          <w:szCs w:val="20"/>
        </w:rPr>
      </w:pPr>
    </w:p>
    <w:p w14:paraId="4221FFEF">
      <w:pPr>
        <w:pBdr>
          <w:bottom w:val="single" w:color="AAAAAA" w:sz="4" w:space="1"/>
        </w:pBdr>
        <w:spacing w:before="40" w:after="60"/>
      </w:pPr>
      <w:r>
        <w:rPr>
          <w:rFonts w:hint="default"/>
          <w:i/>
          <w:iCs/>
          <w:color w:val="999999"/>
          <w:sz w:val="20"/>
          <w:szCs w:val="20"/>
        </w:rPr>
        <w:t>Strategic implication: Success of the Hustler Account depends on delivering a seamless, low-cost, and highly intuitive mobile experience, as this directly drives adoption, transaction frequency, and revenue generation.</w:t>
      </w:r>
    </w:p>
    <w:p w14:paraId="3A5B687F">
      <w:pPr>
        <w:pStyle w:val="2"/>
        <w:pageBreakBefore/>
        <w:spacing w:before="0"/>
      </w:pPr>
      <w:bookmarkStart w:id="31" w:name="_Toc224559757"/>
      <w:r>
        <w:rPr>
          <w:color w:val="2E6DA4"/>
        </w:rPr>
        <w:t xml:space="preserve">10. </w:t>
      </w:r>
      <w:r>
        <w:t>Strategic Partnerships (Optional)</w:t>
      </w:r>
      <w:bookmarkEnd w:id="31"/>
    </w:p>
    <w:p w14:paraId="34601701">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D80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13757F8D">
            <w:pPr>
              <w:spacing w:before="60" w:after="80"/>
            </w:pPr>
            <w:r>
              <w:rPr>
                <w:b/>
                <w:bCs/>
                <w:color w:val="1B3A5C"/>
              </w:rPr>
              <w:t>Analyst Guidance</w:t>
            </w:r>
          </w:p>
          <w:p w14:paraId="10248A5D">
            <w:pPr>
              <w:spacing w:before="30" w:after="30"/>
            </w:pPr>
            <w:r>
              <w:rPr>
                <w:i/>
                <w:iCs/>
                <w:color w:val="555555"/>
                <w:sz w:val="20"/>
                <w:szCs w:val="20"/>
              </w:rPr>
              <w:t>Partnerships are often the make-or-break factor in emerging market financial product success. Map every dependency: what does the partner provide, what does the bank provide, and what could break the partnership?</w:t>
            </w:r>
          </w:p>
          <w:p w14:paraId="22C62542">
            <w:pPr>
              <w:spacing w:before="30" w:after="30"/>
            </w:pPr>
            <w:r>
              <w:rPr>
                <w:i/>
                <w:iCs/>
                <w:color w:val="555555"/>
                <w:sz w:val="20"/>
                <w:szCs w:val="20"/>
              </w:rPr>
              <w:t>Prioritise partnerships by: (1) Necessity — cannot operate without them; (2) Value amplification — dramatically improve economics; (3) Optionality — add value but not critical.</w:t>
            </w:r>
          </w:p>
        </w:tc>
      </w:tr>
    </w:tbl>
    <w:p w14:paraId="0DDD6ECA">
      <w:pPr>
        <w:spacing w:line="120" w:lineRule="auto"/>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1"/>
        <w:gridCol w:w="1793"/>
        <w:gridCol w:w="1752"/>
        <w:gridCol w:w="1574"/>
        <w:gridCol w:w="946"/>
        <w:gridCol w:w="1804"/>
      </w:tblGrid>
      <w:tr w14:paraId="1F2C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196BF6D9">
            <w:pPr>
              <w:jc w:val="center"/>
            </w:pPr>
            <w:r>
              <w:rPr>
                <w:b/>
                <w:bCs/>
                <w:color w:val="FFFFFF"/>
                <w:sz w:val="19"/>
                <w:szCs w:val="19"/>
              </w:rPr>
              <w:t>Partner Type</w:t>
            </w:r>
          </w:p>
        </w:tc>
        <w:tc>
          <w:tcPr>
            <w:tcW w:w="16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3097C13">
            <w:pPr>
              <w:jc w:val="center"/>
            </w:pPr>
            <w:r>
              <w:rPr>
                <w:b/>
                <w:bCs/>
                <w:color w:val="FFFFFF"/>
                <w:sz w:val="19"/>
                <w:szCs w:val="19"/>
              </w:rPr>
              <w:t>Specific Partner(s)</w:t>
            </w:r>
          </w:p>
        </w:tc>
        <w:tc>
          <w:tcPr>
            <w:tcW w:w="2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4D87D99">
            <w:pPr>
              <w:jc w:val="center"/>
            </w:pPr>
            <w:r>
              <w:rPr>
                <w:b/>
                <w:bCs/>
                <w:color w:val="FFFFFF"/>
                <w:sz w:val="19"/>
                <w:szCs w:val="19"/>
              </w:rPr>
              <w:t>Role / Contribution</w:t>
            </w:r>
          </w:p>
        </w:tc>
        <w:tc>
          <w:tcPr>
            <w:tcW w:w="16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3B2EFFB2">
            <w:pPr>
              <w:jc w:val="center"/>
            </w:pPr>
            <w:r>
              <w:rPr>
                <w:b/>
                <w:bCs/>
                <w:color w:val="FFFFFF"/>
                <w:sz w:val="19"/>
                <w:szCs w:val="19"/>
              </w:rPr>
              <w:t>Bank Contribution</w:t>
            </w:r>
          </w:p>
        </w:tc>
        <w:tc>
          <w:tcPr>
            <w:tcW w:w="9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876A577">
            <w:pPr>
              <w:jc w:val="center"/>
            </w:pPr>
            <w:r>
              <w:rPr>
                <w:b/>
                <w:bCs/>
                <w:color w:val="FFFFFF"/>
                <w:sz w:val="19"/>
                <w:szCs w:val="19"/>
              </w:rPr>
              <w:t>Priority</w:t>
            </w:r>
          </w:p>
        </w:tc>
        <w:tc>
          <w:tcPr>
            <w:tcW w:w="16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95618DA">
            <w:pPr>
              <w:jc w:val="center"/>
            </w:pPr>
            <w:r>
              <w:rPr>
                <w:b/>
                <w:bCs/>
                <w:color w:val="FFFFFF"/>
                <w:sz w:val="19"/>
                <w:szCs w:val="19"/>
              </w:rPr>
              <w:t>Risk if Lost</w:t>
            </w:r>
          </w:p>
        </w:tc>
      </w:tr>
      <w:tr w14:paraId="524F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53" w:hRule="atLeast"/>
        </w:trPr>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DA68AF6">
            <w:r>
              <w:rPr>
                <w:color w:val="555555"/>
                <w:sz w:val="20"/>
                <w:szCs w:val="20"/>
              </w:rPr>
              <w:t>Government Ministry</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D44549B">
            <w:r>
              <w:rPr>
                <w:rFonts w:hint="default"/>
                <w:color w:val="555555"/>
                <w:sz w:val="20"/>
                <w:szCs w:val="20"/>
              </w:rPr>
              <w:t>Ministry of Finance / RBZ</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0B1CC32">
            <w:r>
              <w:rPr>
                <w:rFonts w:hint="default"/>
                <w:color w:val="555555"/>
                <w:sz w:val="20"/>
                <w:szCs w:val="20"/>
              </w:rPr>
              <w:t>Regulatory support, financial inclusion alignment, approval for tiered KYC and digital onboarding</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3169894">
            <w:r>
              <w:rPr>
                <w:rFonts w:hint="default"/>
                <w:color w:val="555555"/>
                <w:sz w:val="20"/>
                <w:szCs w:val="20"/>
              </w:rPr>
              <w:t>Compliance reporting, financial inclusion delivery, youth empowerment support</w:t>
            </w:r>
          </w:p>
        </w:tc>
        <w:tc>
          <w:tcPr>
            <w:tcW w:w="9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FF637CB">
            <w:r>
              <w:rPr>
                <w:color w:val="555555"/>
                <w:sz w:val="20"/>
                <w:szCs w:val="20"/>
              </w:rPr>
              <w:t>[High]</w:t>
            </w:r>
          </w:p>
        </w:tc>
        <w:tc>
          <w:tcPr>
            <w:tcW w:w="16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91FB929">
            <w:r>
              <w:rPr>
                <w:rFonts w:hint="default"/>
                <w:color w:val="555555"/>
                <w:sz w:val="20"/>
                <w:szCs w:val="20"/>
              </w:rPr>
              <w:t>Delays in approvals, restrictions on onboarding/KYC, inability to scale product</w:t>
            </w:r>
            <w:bookmarkStart w:id="48" w:name="_GoBack"/>
            <w:bookmarkEnd w:id="48"/>
          </w:p>
        </w:tc>
      </w:tr>
      <w:tr w14:paraId="44BF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7397D14">
            <w:r>
              <w:rPr>
                <w:color w:val="555555"/>
                <w:sz w:val="20"/>
                <w:szCs w:val="20"/>
              </w:rPr>
              <w:t>Telecom / MNO</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3DD3120">
            <w:r>
              <w:rPr>
                <w:rFonts w:hint="default"/>
                <w:color w:val="555555"/>
                <w:sz w:val="20"/>
                <w:szCs w:val="20"/>
              </w:rPr>
              <w:t>Econet, NetOne, Telecel</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8D6F64C">
            <w:r>
              <w:rPr>
                <w:rFonts w:hint="default"/>
                <w:color w:val="555555"/>
                <w:sz w:val="20"/>
                <w:szCs w:val="20"/>
              </w:rPr>
              <w:t>USSD infrastructure, mobile connectivity, integration with mobile money ecosystems</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6F1CAE7">
            <w:r>
              <w:rPr>
                <w:rFonts w:hint="default"/>
                <w:color w:val="555555"/>
                <w:sz w:val="20"/>
                <w:szCs w:val="20"/>
              </w:rPr>
              <w:t>Product integration, transaction volume, revenue sharing on USSD and payments</w:t>
            </w:r>
          </w:p>
        </w:tc>
        <w:tc>
          <w:tcPr>
            <w:tcW w:w="9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2213CD7">
            <w:r>
              <w:rPr>
                <w:color w:val="555555"/>
                <w:sz w:val="20"/>
                <w:szCs w:val="20"/>
              </w:rPr>
              <w:t>[High]</w:t>
            </w:r>
          </w:p>
        </w:tc>
        <w:tc>
          <w:tcPr>
            <w:tcW w:w="16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66F2C7A">
            <w:r>
              <w:rPr>
                <w:rFonts w:hint="default"/>
                <w:color w:val="555555"/>
                <w:sz w:val="20"/>
                <w:szCs w:val="20"/>
              </w:rPr>
              <w:t>Loss of USSD channel → reduced access for non-smartphone users and lower adoption</w:t>
            </w:r>
            <w:r>
              <w:rPr>
                <w:color w:val="555555"/>
                <w:sz w:val="20"/>
                <w:szCs w:val="20"/>
              </w:rPr>
              <w:t>]</w:t>
            </w:r>
          </w:p>
        </w:tc>
      </w:tr>
      <w:tr w14:paraId="4062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9B39193">
            <w:r>
              <w:rPr>
                <w:rFonts w:hint="default"/>
                <w:color w:val="555555"/>
                <w:sz w:val="20"/>
                <w:szCs w:val="20"/>
              </w:rPr>
              <w:t>SME / Informal Sector Networks</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D4FB110">
            <w:r>
              <w:rPr>
                <w:rFonts w:hint="default"/>
                <w:color w:val="555555"/>
                <w:sz w:val="20"/>
                <w:szCs w:val="20"/>
              </w:rPr>
              <w:t>Market associations, youth entrepreneurship hubs</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C0FD8C4">
            <w:r>
              <w:rPr>
                <w:rFonts w:hint="default"/>
                <w:color w:val="555555"/>
                <w:sz w:val="20"/>
                <w:szCs w:val="20"/>
              </w:rPr>
              <w:t>Access to informal traders, group onboarding, trust within hustler community</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6C79564">
            <w:r>
              <w:rPr>
                <w:rFonts w:hint="default"/>
                <w:color w:val="555555"/>
                <w:sz w:val="20"/>
                <w:szCs w:val="20"/>
              </w:rPr>
              <w:t>Financial products, micro-credit, merchant tools</w:t>
            </w:r>
          </w:p>
        </w:tc>
        <w:tc>
          <w:tcPr>
            <w:tcW w:w="9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337411F">
            <w:r>
              <w:rPr>
                <w:color w:val="555555"/>
                <w:sz w:val="20"/>
                <w:szCs w:val="20"/>
              </w:rPr>
              <w:t>[</w:t>
            </w:r>
            <w:r>
              <w:rPr>
                <w:rFonts w:hint="default"/>
                <w:color w:val="555555"/>
                <w:sz w:val="20"/>
                <w:szCs w:val="20"/>
                <w:lang w:val="en-ZA"/>
              </w:rPr>
              <w:t>Med</w:t>
            </w:r>
            <w:r>
              <w:rPr>
                <w:color w:val="555555"/>
                <w:sz w:val="20"/>
                <w:szCs w:val="20"/>
              </w:rPr>
              <w:t>]</w:t>
            </w:r>
          </w:p>
        </w:tc>
        <w:tc>
          <w:tcPr>
            <w:tcW w:w="16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DF574CC">
            <w:r>
              <w:rPr>
                <w:rFonts w:hint="default"/>
                <w:color w:val="555555"/>
                <w:sz w:val="20"/>
                <w:szCs w:val="20"/>
              </w:rPr>
              <w:t>Reduced penetration into informal sector, slower ecosystem growth</w:t>
            </w:r>
          </w:p>
        </w:tc>
      </w:tr>
      <w:tr w14:paraId="76436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74B837D">
            <w:r>
              <w:rPr>
                <w:color w:val="555555"/>
                <w:sz w:val="20"/>
                <w:szCs w:val="20"/>
              </w:rPr>
              <w:t>Educational Institution</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49AD9AA">
            <w:r>
              <w:rPr>
                <w:rFonts w:hint="default"/>
                <w:color w:val="555555"/>
                <w:sz w:val="20"/>
                <w:szCs w:val="20"/>
              </w:rPr>
              <w:t>Universities, Colleges (UZ, NUST, MSU, Polytechnics)</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A1A2FB2">
            <w:r>
              <w:rPr>
                <w:rFonts w:hint="default"/>
                <w:color w:val="555555"/>
                <w:sz w:val="20"/>
                <w:szCs w:val="20"/>
              </w:rPr>
              <w:t>Student access, onboarding channels, campus activations, trust anchor for youth</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8D83E1F">
            <w:r>
              <w:rPr>
                <w:rFonts w:hint="default"/>
                <w:color w:val="555555"/>
                <w:sz w:val="20"/>
                <w:szCs w:val="20"/>
              </w:rPr>
              <w:t>Subsidized accounts, payment solutions, financial literacy programs</w:t>
            </w:r>
          </w:p>
        </w:tc>
        <w:tc>
          <w:tcPr>
            <w:tcW w:w="9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CDE461E">
            <w:r>
              <w:rPr>
                <w:color w:val="555555"/>
                <w:sz w:val="20"/>
                <w:szCs w:val="20"/>
              </w:rPr>
              <w:t>[</w:t>
            </w:r>
            <w:r>
              <w:rPr>
                <w:rFonts w:hint="default"/>
                <w:color w:val="555555"/>
                <w:sz w:val="20"/>
                <w:szCs w:val="20"/>
                <w:lang w:val="en-ZA"/>
              </w:rPr>
              <w:t>High</w:t>
            </w:r>
            <w:r>
              <w:rPr>
                <w:color w:val="555555"/>
                <w:sz w:val="20"/>
                <w:szCs w:val="20"/>
              </w:rPr>
              <w:t>]</w:t>
            </w:r>
          </w:p>
        </w:tc>
        <w:tc>
          <w:tcPr>
            <w:tcW w:w="16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D532E13">
            <w:r>
              <w:rPr>
                <w:rFonts w:hint="default"/>
                <w:color w:val="555555"/>
                <w:sz w:val="20"/>
                <w:szCs w:val="20"/>
              </w:rPr>
              <w:t>Loss of primary acquisition channel → slower growth and higher CAC</w:t>
            </w:r>
          </w:p>
        </w:tc>
      </w:tr>
      <w:tr w14:paraId="31768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E74E89B">
            <w:r>
              <w:rPr>
                <w:color w:val="555555"/>
                <w:sz w:val="20"/>
                <w:szCs w:val="20"/>
              </w:rPr>
              <w:t>Fintech Partner</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BA8512C">
            <w:r>
              <w:rPr>
                <w:rFonts w:hint="default"/>
                <w:color w:val="555555"/>
                <w:sz w:val="20"/>
                <w:szCs w:val="20"/>
              </w:rPr>
              <w:t>Payment processors, credit bureaus, KYC providers</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FEF2F65">
            <w:r>
              <w:rPr>
                <w:rFonts w:hint="default"/>
                <w:color w:val="555555"/>
                <w:sz w:val="20"/>
                <w:szCs w:val="20"/>
              </w:rPr>
              <w:t>Payment gateway, transaction processing, alternative credit scoring, digital KYC</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077676A">
            <w:r>
              <w:rPr>
                <w:rFonts w:hint="default"/>
                <w:color w:val="555555"/>
                <w:sz w:val="20"/>
                <w:szCs w:val="20"/>
              </w:rPr>
              <w:t>Banking license, customer base, transaction scale</w:t>
            </w:r>
          </w:p>
        </w:tc>
        <w:tc>
          <w:tcPr>
            <w:tcW w:w="9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33A65AE">
            <w:r>
              <w:rPr>
                <w:color w:val="555555"/>
                <w:sz w:val="20"/>
                <w:szCs w:val="20"/>
              </w:rPr>
              <w:t>[Med]</w:t>
            </w:r>
          </w:p>
        </w:tc>
        <w:tc>
          <w:tcPr>
            <w:tcW w:w="16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2A01F68">
            <w:r>
              <w:rPr>
                <w:rFonts w:hint="default"/>
                <w:color w:val="555555"/>
                <w:sz w:val="20"/>
                <w:szCs w:val="20"/>
              </w:rPr>
              <w:t>Weak credit scoring, poor onboarding experience, limited product functionality</w:t>
            </w:r>
          </w:p>
        </w:tc>
      </w:tr>
      <w:tr w14:paraId="0E22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ED72D3A">
            <w:r>
              <w:rPr>
                <w:rFonts w:hint="default"/>
                <w:color w:val="555555"/>
                <w:sz w:val="20"/>
                <w:szCs w:val="20"/>
              </w:rPr>
              <w:t>Merchant / Platform Partners</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2F4CB38">
            <w:r>
              <w:rPr>
                <w:rFonts w:hint="default"/>
                <w:color w:val="555555"/>
                <w:sz w:val="20"/>
                <w:szCs w:val="20"/>
              </w:rPr>
              <w:t>Campus merchants, e-commerce platforms, creator platforms</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3D65F1C">
            <w:r>
              <w:rPr>
                <w:rFonts w:hint="default"/>
                <w:color w:val="555555"/>
                <w:sz w:val="20"/>
                <w:szCs w:val="20"/>
              </w:rPr>
              <w:t>Payment acceptance ecosystem, transaction generation, customer engagement</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58055A5">
            <w:r>
              <w:rPr>
                <w:rFonts w:hint="default"/>
                <w:color w:val="555555"/>
                <w:sz w:val="20"/>
                <w:szCs w:val="20"/>
              </w:rPr>
              <w:t>Payment solutions, merchant tools, customer base</w:t>
            </w:r>
          </w:p>
        </w:tc>
        <w:tc>
          <w:tcPr>
            <w:tcW w:w="9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C281E71">
            <w:r>
              <w:rPr>
                <w:color w:val="555555"/>
                <w:sz w:val="20"/>
                <w:szCs w:val="20"/>
              </w:rPr>
              <w:t>[Med]</w:t>
            </w:r>
          </w:p>
        </w:tc>
        <w:tc>
          <w:tcPr>
            <w:tcW w:w="16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F7EB748">
            <w:r>
              <w:rPr>
                <w:rFonts w:hint="default"/>
                <w:color w:val="555555"/>
                <w:sz w:val="20"/>
                <w:szCs w:val="20"/>
              </w:rPr>
              <w:t>Lower transaction volumes, weaker ecosystem adoption</w:t>
            </w:r>
          </w:p>
        </w:tc>
      </w:tr>
    </w:tbl>
    <w:p w14:paraId="3377769D">
      <w:pPr>
        <w:pStyle w:val="2"/>
        <w:pageBreakBefore/>
        <w:spacing w:before="0"/>
      </w:pPr>
      <w:bookmarkStart w:id="32" w:name="_Toc224559758"/>
      <w:r>
        <w:rPr>
          <w:color w:val="2E6DA4"/>
        </w:rPr>
        <w:t xml:space="preserve">11 </w:t>
      </w:r>
      <w:r>
        <w:t>Risk Analysis</w:t>
      </w:r>
      <w:bookmarkEnd w:id="32"/>
    </w:p>
    <w:p w14:paraId="5C248CA2">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27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64CD03C6">
            <w:pPr>
              <w:spacing w:before="60" w:after="80"/>
            </w:pPr>
            <w:r>
              <w:rPr>
                <w:b/>
                <w:bCs/>
                <w:color w:val="1B3A5C"/>
              </w:rPr>
              <w:t>Analyst Guidance</w:t>
            </w:r>
          </w:p>
          <w:p w14:paraId="69BC0E3B">
            <w:pPr>
              <w:spacing w:before="30" w:after="30"/>
            </w:pPr>
            <w:r>
              <w:rPr>
                <w:i/>
                <w:iCs/>
                <w:color w:val="555555"/>
                <w:sz w:val="20"/>
                <w:szCs w:val="20"/>
              </w:rPr>
              <w:t>Use a 2×2 risk matrix: Probability (High/Medium/Low) × Impact (High/Medium/Low). Focus your mitigation on High-High quadrant risks.</w:t>
            </w:r>
          </w:p>
          <w:p w14:paraId="33FF3ED4">
            <w:pPr>
              <w:spacing w:before="30" w:after="30"/>
            </w:pPr>
            <w:r>
              <w:rPr>
                <w:i/>
                <w:iCs/>
                <w:color w:val="555555"/>
                <w:sz w:val="20"/>
                <w:szCs w:val="20"/>
              </w:rPr>
              <w:t>For Zimbabwe specifically, flag macro risks: currency instability, regulatory changes, political economy risks, and infrastructure failures as baseline assumptions.</w:t>
            </w:r>
          </w:p>
        </w:tc>
      </w:tr>
    </w:tbl>
    <w:p w14:paraId="43EC588D">
      <w:pPr>
        <w:spacing w:line="120" w:lineRule="auto"/>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6"/>
        <w:gridCol w:w="1683"/>
        <w:gridCol w:w="1262"/>
        <w:gridCol w:w="895"/>
        <w:gridCol w:w="914"/>
        <w:gridCol w:w="1809"/>
        <w:gridCol w:w="1271"/>
      </w:tblGrid>
      <w:tr w14:paraId="373B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5165F1E">
            <w:pPr>
              <w:jc w:val="center"/>
            </w:pPr>
            <w:r>
              <w:rPr>
                <w:b/>
                <w:bCs/>
                <w:color w:val="FFFFFF"/>
                <w:sz w:val="19"/>
                <w:szCs w:val="19"/>
              </w:rPr>
              <w:t>Risk Category</w:t>
            </w:r>
          </w:p>
        </w:tc>
        <w:tc>
          <w:tcPr>
            <w:tcW w:w="2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3E0AC3DB">
            <w:pPr>
              <w:jc w:val="center"/>
            </w:pPr>
            <w:r>
              <w:rPr>
                <w:b/>
                <w:bCs/>
                <w:color w:val="FFFFFF"/>
                <w:sz w:val="19"/>
                <w:szCs w:val="19"/>
              </w:rPr>
              <w:t>Specific Risk</w:t>
            </w:r>
          </w:p>
        </w:tc>
        <w:tc>
          <w:tcPr>
            <w:tcW w:w="1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645F00F">
            <w:pPr>
              <w:jc w:val="center"/>
            </w:pPr>
            <w:r>
              <w:rPr>
                <w:b/>
                <w:bCs/>
                <w:color w:val="FFFFFF"/>
                <w:sz w:val="19"/>
                <w:szCs w:val="19"/>
              </w:rPr>
              <w:t>Probability</w:t>
            </w:r>
          </w:p>
        </w:tc>
        <w:tc>
          <w:tcPr>
            <w:tcW w:w="9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BFFAABF">
            <w:pPr>
              <w:jc w:val="center"/>
            </w:pPr>
            <w:r>
              <w:rPr>
                <w:b/>
                <w:bCs/>
                <w:color w:val="FFFFFF"/>
                <w:sz w:val="19"/>
                <w:szCs w:val="19"/>
              </w:rPr>
              <w:t>Impact</w:t>
            </w:r>
          </w:p>
        </w:tc>
        <w:tc>
          <w:tcPr>
            <w:tcW w:w="1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A53F6BE">
            <w:pPr>
              <w:jc w:val="center"/>
            </w:pPr>
            <w:r>
              <w:rPr>
                <w:b/>
                <w:bCs/>
                <w:color w:val="FFFFFF"/>
                <w:sz w:val="19"/>
                <w:szCs w:val="19"/>
              </w:rPr>
              <w:t>Risk Rating</w:t>
            </w:r>
          </w:p>
        </w:tc>
        <w:tc>
          <w:tcPr>
            <w:tcW w:w="23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77D39EB">
            <w:pPr>
              <w:jc w:val="center"/>
            </w:pPr>
            <w:r>
              <w:rPr>
                <w:b/>
                <w:bCs/>
                <w:color w:val="FFFFFF"/>
                <w:sz w:val="19"/>
                <w:szCs w:val="19"/>
              </w:rPr>
              <w:t>Mitigation Strategy</w:t>
            </w:r>
          </w:p>
        </w:tc>
        <w:tc>
          <w:tcPr>
            <w:tcW w:w="9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8D8BA3F">
            <w:pPr>
              <w:jc w:val="center"/>
            </w:pPr>
            <w:r>
              <w:rPr>
                <w:b/>
                <w:bCs/>
                <w:color w:val="FFFFFF"/>
                <w:sz w:val="19"/>
                <w:szCs w:val="19"/>
              </w:rPr>
              <w:t>Owner</w:t>
            </w:r>
          </w:p>
        </w:tc>
      </w:tr>
      <w:tr w14:paraId="34BF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1BFF8B8">
            <w:r>
              <w:rPr>
                <w:color w:val="555555"/>
                <w:sz w:val="20"/>
                <w:szCs w:val="20"/>
              </w:rPr>
              <w:t>Credit Risk</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5935BFE">
            <w:r>
              <w:rPr>
                <w:rFonts w:hint="default"/>
                <w:color w:val="555555"/>
                <w:sz w:val="20"/>
                <w:szCs w:val="20"/>
              </w:rPr>
              <w:t>High default rates due to irregular and informal income patterns of youth entrepreneurs</w:t>
            </w:r>
          </w:p>
        </w:tc>
        <w:tc>
          <w:tcPr>
            <w:tcW w:w="1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ECC10FC">
            <w:r>
              <w:rPr>
                <w:color w:val="555555"/>
                <w:sz w:val="20"/>
                <w:szCs w:val="20"/>
              </w:rPr>
              <w:t>[H]</w:t>
            </w:r>
          </w:p>
        </w:tc>
        <w:tc>
          <w:tcPr>
            <w:tcW w:w="9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B4BCEE0">
            <w:r>
              <w:rPr>
                <w:color w:val="555555"/>
                <w:sz w:val="20"/>
                <w:szCs w:val="20"/>
              </w:rPr>
              <w:t>[H]</w:t>
            </w:r>
          </w:p>
        </w:tc>
        <w:tc>
          <w:tcPr>
            <w:tcW w:w="1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7B73061">
            <w:r>
              <w:rPr>
                <w:color w:val="555555"/>
                <w:sz w:val="20"/>
                <w:szCs w:val="20"/>
              </w:rPr>
              <w:t>[H]</w:t>
            </w:r>
          </w:p>
        </w:tc>
        <w:tc>
          <w:tcPr>
            <w:tcW w:w="23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077FB41">
            <w:r>
              <w:rPr>
                <w:rFonts w:hint="default"/>
                <w:color w:val="555555"/>
                <w:sz w:val="20"/>
                <w:szCs w:val="20"/>
              </w:rPr>
              <w:t>Use transaction-based credit scoring, start with small ticket loans, implement graduated lending limits, and require repayment via daily/weekly deductions</w:t>
            </w:r>
          </w:p>
        </w:tc>
        <w:tc>
          <w:tcPr>
            <w:tcW w:w="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3F8CEBC">
            <w:r>
              <w:rPr>
                <w:color w:val="555555"/>
                <w:sz w:val="20"/>
                <w:szCs w:val="20"/>
              </w:rPr>
              <w:t>[Credit]</w:t>
            </w:r>
          </w:p>
        </w:tc>
      </w:tr>
      <w:tr w14:paraId="3986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6534521">
            <w:r>
              <w:rPr>
                <w:color w:val="555555"/>
                <w:sz w:val="20"/>
                <w:szCs w:val="20"/>
              </w:rPr>
              <w:t>Market Risk</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2B2C55B">
            <w:r>
              <w:rPr>
                <w:rFonts w:hint="default"/>
                <w:color w:val="555555"/>
                <w:sz w:val="20"/>
                <w:szCs w:val="20"/>
              </w:rPr>
              <w:t>Currency instability (USD vs ZWL fluctuations) affecting transaction value and loan repayment capacity</w:t>
            </w:r>
          </w:p>
        </w:tc>
        <w:tc>
          <w:tcPr>
            <w:tcW w:w="1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3165B92">
            <w:r>
              <w:rPr>
                <w:color w:val="555555"/>
                <w:sz w:val="20"/>
                <w:szCs w:val="20"/>
              </w:rPr>
              <w:t>[H]</w:t>
            </w:r>
          </w:p>
        </w:tc>
        <w:tc>
          <w:tcPr>
            <w:tcW w:w="9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C15D328">
            <w:r>
              <w:rPr>
                <w:color w:val="555555"/>
                <w:sz w:val="20"/>
                <w:szCs w:val="20"/>
              </w:rPr>
              <w:t>[H]</w:t>
            </w:r>
          </w:p>
        </w:tc>
        <w:tc>
          <w:tcPr>
            <w:tcW w:w="1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6AACCD5">
            <w:r>
              <w:rPr>
                <w:color w:val="555555"/>
                <w:sz w:val="20"/>
                <w:szCs w:val="20"/>
              </w:rPr>
              <w:t>[H]</w:t>
            </w:r>
          </w:p>
        </w:tc>
        <w:tc>
          <w:tcPr>
            <w:tcW w:w="23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FA347D1">
            <w:r>
              <w:rPr>
                <w:rFonts w:hint="default"/>
                <w:color w:val="555555"/>
                <w:sz w:val="20"/>
                <w:szCs w:val="20"/>
              </w:rPr>
              <w:t>Maintain USD-denominated accounts and lending, limit ZWL exposure, and apply dynamic pricing adjustments</w:t>
            </w:r>
          </w:p>
        </w:tc>
        <w:tc>
          <w:tcPr>
            <w:tcW w:w="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877B47D">
            <w:r>
              <w:rPr>
                <w:color w:val="555555"/>
                <w:sz w:val="20"/>
                <w:szCs w:val="20"/>
              </w:rPr>
              <w:t>[Treasury]</w:t>
            </w:r>
          </w:p>
        </w:tc>
      </w:tr>
      <w:tr w14:paraId="63BF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DE4F658">
            <w:r>
              <w:rPr>
                <w:color w:val="555555"/>
                <w:sz w:val="20"/>
                <w:szCs w:val="20"/>
              </w:rPr>
              <w:t>Operational Risk</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3D1F532">
            <w:r>
              <w:rPr>
                <w:rFonts w:hint="default"/>
                <w:color w:val="555555"/>
                <w:sz w:val="20"/>
                <w:szCs w:val="20"/>
              </w:rPr>
              <w:t>Fraud or misuse within agent network and merchant ecosystem</w:t>
            </w:r>
          </w:p>
        </w:tc>
        <w:tc>
          <w:tcPr>
            <w:tcW w:w="1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C0DD447">
            <w:r>
              <w:rPr>
                <w:color w:val="555555"/>
                <w:sz w:val="20"/>
                <w:szCs w:val="20"/>
              </w:rPr>
              <w:t>[</w:t>
            </w:r>
            <w:r>
              <w:rPr>
                <w:rFonts w:hint="default"/>
                <w:color w:val="555555"/>
                <w:sz w:val="20"/>
                <w:szCs w:val="20"/>
                <w:lang w:val="en-ZA"/>
              </w:rPr>
              <w:t>M</w:t>
            </w:r>
            <w:r>
              <w:rPr>
                <w:color w:val="555555"/>
                <w:sz w:val="20"/>
                <w:szCs w:val="20"/>
              </w:rPr>
              <w:t>]</w:t>
            </w:r>
          </w:p>
        </w:tc>
        <w:tc>
          <w:tcPr>
            <w:tcW w:w="9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9AC4700">
            <w:r>
              <w:rPr>
                <w:color w:val="555555"/>
                <w:sz w:val="20"/>
                <w:szCs w:val="20"/>
              </w:rPr>
              <w:t>[H]</w:t>
            </w:r>
          </w:p>
        </w:tc>
        <w:tc>
          <w:tcPr>
            <w:tcW w:w="1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1ABA579">
            <w:r>
              <w:rPr>
                <w:color w:val="555555"/>
                <w:sz w:val="20"/>
                <w:szCs w:val="20"/>
              </w:rPr>
              <w:t>[H]</w:t>
            </w:r>
          </w:p>
        </w:tc>
        <w:tc>
          <w:tcPr>
            <w:tcW w:w="23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4BEF041">
            <w:r>
              <w:rPr>
                <w:rFonts w:hint="default"/>
                <w:color w:val="555555"/>
                <w:sz w:val="20"/>
                <w:szCs w:val="20"/>
              </w:rPr>
              <w:t>Implement transaction limits, agent vetting, real-time monitoring, and biometric verification for high-risk transactions</w:t>
            </w:r>
          </w:p>
        </w:tc>
        <w:tc>
          <w:tcPr>
            <w:tcW w:w="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8B304DD">
            <w:r>
              <w:rPr>
                <w:color w:val="555555"/>
                <w:sz w:val="20"/>
                <w:szCs w:val="20"/>
              </w:rPr>
              <w:t>[Ops]</w:t>
            </w:r>
          </w:p>
        </w:tc>
      </w:tr>
      <w:tr w14:paraId="0AD1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B8FF688">
            <w:r>
              <w:rPr>
                <w:color w:val="555555"/>
                <w:sz w:val="20"/>
                <w:szCs w:val="20"/>
              </w:rPr>
              <w:t>Technology Risk</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F74B61F">
            <w:r>
              <w:rPr>
                <w:rFonts w:hint="default"/>
                <w:color w:val="555555"/>
                <w:sz w:val="20"/>
                <w:szCs w:val="20"/>
              </w:rPr>
              <w:t>USSD downtime or dependency on mobile network operators affecting service availability</w:t>
            </w:r>
          </w:p>
        </w:tc>
        <w:tc>
          <w:tcPr>
            <w:tcW w:w="1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89CF8BC">
            <w:r>
              <w:rPr>
                <w:color w:val="555555"/>
                <w:sz w:val="20"/>
                <w:szCs w:val="20"/>
              </w:rPr>
              <w:t>[M]</w:t>
            </w:r>
          </w:p>
        </w:tc>
        <w:tc>
          <w:tcPr>
            <w:tcW w:w="9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93E9996">
            <w:r>
              <w:rPr>
                <w:color w:val="555555"/>
                <w:sz w:val="20"/>
                <w:szCs w:val="20"/>
              </w:rPr>
              <w:t>[H]</w:t>
            </w:r>
          </w:p>
        </w:tc>
        <w:tc>
          <w:tcPr>
            <w:tcW w:w="1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5911ED9">
            <w:r>
              <w:rPr>
                <w:color w:val="555555"/>
                <w:sz w:val="20"/>
                <w:szCs w:val="20"/>
              </w:rPr>
              <w:t>[H]</w:t>
            </w:r>
          </w:p>
        </w:tc>
        <w:tc>
          <w:tcPr>
            <w:tcW w:w="23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DFA194F">
            <w:r>
              <w:rPr>
                <w:rFonts w:hint="default"/>
                <w:color w:val="555555"/>
                <w:sz w:val="20"/>
                <w:szCs w:val="20"/>
              </w:rPr>
              <w:t>Ensure multi-channel redundancy (App + USSD), establish SLAs with MNOs, and maintain system uptime monitoring</w:t>
            </w:r>
          </w:p>
        </w:tc>
        <w:tc>
          <w:tcPr>
            <w:tcW w:w="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B68B8FC">
            <w:r>
              <w:rPr>
                <w:color w:val="555555"/>
                <w:sz w:val="20"/>
                <w:szCs w:val="20"/>
              </w:rPr>
              <w:t>[IT]</w:t>
            </w:r>
          </w:p>
        </w:tc>
      </w:tr>
      <w:tr w14:paraId="62A5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260FAFD">
            <w:r>
              <w:rPr>
                <w:color w:val="555555"/>
                <w:sz w:val="20"/>
                <w:szCs w:val="20"/>
              </w:rPr>
              <w:t>Regulatory Risk</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24C9CD8">
            <w:r>
              <w:rPr>
                <w:rFonts w:hint="default"/>
                <w:color w:val="555555"/>
                <w:sz w:val="20"/>
                <w:szCs w:val="20"/>
              </w:rPr>
              <w:t>RBZ policy changes affecting digital onboarding, KYC tiers, or micro-lending regulations</w:t>
            </w:r>
            <w:r>
              <w:rPr>
                <w:color w:val="555555"/>
                <w:sz w:val="20"/>
                <w:szCs w:val="20"/>
              </w:rPr>
              <w:t>]</w:t>
            </w:r>
          </w:p>
        </w:tc>
        <w:tc>
          <w:tcPr>
            <w:tcW w:w="1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AD1AF65">
            <w:r>
              <w:rPr>
                <w:color w:val="555555"/>
                <w:sz w:val="20"/>
                <w:szCs w:val="20"/>
              </w:rPr>
              <w:t>[M]</w:t>
            </w:r>
          </w:p>
        </w:tc>
        <w:tc>
          <w:tcPr>
            <w:tcW w:w="9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35FE9C2">
            <w:r>
              <w:rPr>
                <w:color w:val="555555"/>
                <w:sz w:val="20"/>
                <w:szCs w:val="20"/>
              </w:rPr>
              <w:t>[H]</w:t>
            </w:r>
          </w:p>
        </w:tc>
        <w:tc>
          <w:tcPr>
            <w:tcW w:w="1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040CF58">
            <w:r>
              <w:rPr>
                <w:color w:val="555555"/>
                <w:sz w:val="20"/>
                <w:szCs w:val="20"/>
              </w:rPr>
              <w:t>[H]</w:t>
            </w:r>
          </w:p>
        </w:tc>
        <w:tc>
          <w:tcPr>
            <w:tcW w:w="23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A6771F1">
            <w:r>
              <w:rPr>
                <w:rFonts w:hint="default"/>
              </w:rPr>
              <w:t>Maintain proactive regulatory engagement, ensure compliance flexibility, and build buffer capital for regulatory changes</w:t>
            </w:r>
          </w:p>
        </w:tc>
        <w:tc>
          <w:tcPr>
            <w:tcW w:w="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67E59F7">
            <w:r>
              <w:rPr>
                <w:color w:val="555555"/>
                <w:sz w:val="20"/>
                <w:szCs w:val="20"/>
              </w:rPr>
              <w:t>[Legal]</w:t>
            </w:r>
          </w:p>
        </w:tc>
      </w:tr>
      <w:tr w14:paraId="7CF91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E47016F">
            <w:r>
              <w:rPr>
                <w:color w:val="555555"/>
                <w:sz w:val="20"/>
                <w:szCs w:val="20"/>
              </w:rPr>
              <w:t>Reputational Risk</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FE24BB3">
            <w:r>
              <w:rPr>
                <w:rFonts w:hint="default"/>
                <w:color w:val="555555"/>
                <w:sz w:val="20"/>
                <w:szCs w:val="20"/>
              </w:rPr>
              <w:t>Perception of exploitative fees or predatory micro-lending targeting youth</w:t>
            </w:r>
          </w:p>
        </w:tc>
        <w:tc>
          <w:tcPr>
            <w:tcW w:w="1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0AAA228">
            <w:r>
              <w:rPr>
                <w:color w:val="555555"/>
                <w:sz w:val="20"/>
                <w:szCs w:val="20"/>
              </w:rPr>
              <w:t>[M]</w:t>
            </w:r>
          </w:p>
        </w:tc>
        <w:tc>
          <w:tcPr>
            <w:tcW w:w="9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73F7DE0">
            <w:r>
              <w:rPr>
                <w:color w:val="555555"/>
                <w:sz w:val="20"/>
                <w:szCs w:val="20"/>
              </w:rPr>
              <w:t>[M]</w:t>
            </w:r>
          </w:p>
        </w:tc>
        <w:tc>
          <w:tcPr>
            <w:tcW w:w="1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3DE3C88">
            <w:r>
              <w:rPr>
                <w:color w:val="555555"/>
                <w:sz w:val="20"/>
                <w:szCs w:val="20"/>
              </w:rPr>
              <w:t>[M]</w:t>
            </w:r>
          </w:p>
        </w:tc>
        <w:tc>
          <w:tcPr>
            <w:tcW w:w="23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4E5A6C8">
            <w:r>
              <w:rPr>
                <w:rFonts w:hint="default"/>
                <w:color w:val="555555"/>
                <w:sz w:val="20"/>
                <w:szCs w:val="20"/>
              </w:rPr>
              <w:t>Ensure transparent pricing, implement financial literacy tools, and enforce responsible lending practices</w:t>
            </w:r>
          </w:p>
        </w:tc>
        <w:tc>
          <w:tcPr>
            <w:tcW w:w="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BF9FA7D">
            <w:r>
              <w:rPr>
                <w:color w:val="555555"/>
                <w:sz w:val="20"/>
                <w:szCs w:val="20"/>
              </w:rPr>
              <w:t>[Marketing]</w:t>
            </w:r>
          </w:p>
        </w:tc>
      </w:tr>
      <w:tr w14:paraId="5AEE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D8D98C5">
            <w:r>
              <w:rPr>
                <w:color w:val="555555"/>
                <w:sz w:val="20"/>
                <w:szCs w:val="20"/>
              </w:rPr>
              <w:t>Concentration Risk</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8AB0BF5">
            <w:r>
              <w:rPr>
                <w:rFonts w:hint="default"/>
                <w:color w:val="555555"/>
                <w:sz w:val="20"/>
                <w:szCs w:val="20"/>
              </w:rPr>
              <w:t>Over-reliance on student segment or specific campuses for customer acquisition</w:t>
            </w:r>
          </w:p>
        </w:tc>
        <w:tc>
          <w:tcPr>
            <w:tcW w:w="1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A818742">
            <w:r>
              <w:rPr>
                <w:color w:val="555555"/>
                <w:sz w:val="20"/>
                <w:szCs w:val="20"/>
              </w:rPr>
              <w:t>[M]</w:t>
            </w:r>
          </w:p>
        </w:tc>
        <w:tc>
          <w:tcPr>
            <w:tcW w:w="9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20C5D5E">
            <w:r>
              <w:rPr>
                <w:color w:val="555555"/>
                <w:sz w:val="20"/>
                <w:szCs w:val="20"/>
              </w:rPr>
              <w:t>[M]</w:t>
            </w:r>
          </w:p>
        </w:tc>
        <w:tc>
          <w:tcPr>
            <w:tcW w:w="1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171E59C">
            <w:r>
              <w:rPr>
                <w:color w:val="555555"/>
                <w:sz w:val="20"/>
                <w:szCs w:val="20"/>
              </w:rPr>
              <w:t>[M]</w:t>
            </w:r>
          </w:p>
        </w:tc>
        <w:tc>
          <w:tcPr>
            <w:tcW w:w="23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506C82D">
            <w:r>
              <w:rPr>
                <w:rFonts w:hint="default"/>
                <w:color w:val="555555"/>
                <w:sz w:val="20"/>
                <w:szCs w:val="20"/>
              </w:rPr>
              <w:t>Diversify into urban informal traders, gig workers, and non-student youth segments over time</w:t>
            </w:r>
          </w:p>
        </w:tc>
        <w:tc>
          <w:tcPr>
            <w:tcW w:w="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5079909">
            <w:r>
              <w:rPr>
                <w:color w:val="555555"/>
                <w:sz w:val="20"/>
                <w:szCs w:val="20"/>
              </w:rPr>
              <w:t>[Strategy]</w:t>
            </w:r>
          </w:p>
        </w:tc>
      </w:tr>
    </w:tbl>
    <w:p w14:paraId="58E94217">
      <w:pPr>
        <w:pStyle w:val="2"/>
        <w:pageBreakBefore/>
        <w:spacing w:before="0"/>
      </w:pPr>
      <w:bookmarkStart w:id="33" w:name="_Toc224559759"/>
      <w:r>
        <w:rPr>
          <w:color w:val="2E6DA4"/>
        </w:rPr>
        <w:t xml:space="preserve">12 </w:t>
      </w:r>
      <w:r>
        <w:t>Regulatory &amp; Compliance Considerations</w:t>
      </w:r>
      <w:bookmarkEnd w:id="33"/>
    </w:p>
    <w:p w14:paraId="6B8A525F">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18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170EA0F5">
            <w:pPr>
              <w:spacing w:before="60" w:after="80"/>
            </w:pPr>
            <w:r>
              <w:rPr>
                <w:b/>
                <w:bCs/>
                <w:color w:val="1B3A5C"/>
              </w:rPr>
              <w:t>Analyst Guidance</w:t>
            </w:r>
          </w:p>
          <w:p w14:paraId="64CDF0E4">
            <w:pPr>
              <w:spacing w:before="30" w:after="30"/>
            </w:pPr>
            <w:r>
              <w:rPr>
                <w:i/>
                <w:iCs/>
                <w:color w:val="555555"/>
                <w:sz w:val="20"/>
                <w:szCs w:val="20"/>
              </w:rPr>
              <w:t>All financial products in Zimbabwe must comply with the Reserve Bank of Zimbabwe (RBZ) Banking Act, Exchange Control Act, Consumer Protection Act, and applicable FATF/AML/CFT requirements.</w:t>
            </w:r>
          </w:p>
          <w:p w14:paraId="2B0B4B06">
            <w:pPr>
              <w:spacing w:before="30" w:after="30"/>
            </w:pPr>
            <w:r>
              <w:rPr>
                <w:i/>
                <w:iCs/>
                <w:color w:val="555555"/>
                <w:sz w:val="20"/>
                <w:szCs w:val="20"/>
              </w:rPr>
              <w:t>Products targeting minors (under 18) require additional parent/guardian consent frameworks. Agricultural lending may require engagement with the Agricultural Finance Corporation.</w:t>
            </w:r>
          </w:p>
        </w:tc>
      </w:tr>
    </w:tbl>
    <w:p w14:paraId="1D48CFAA">
      <w:pPr>
        <w:spacing w:line="120" w:lineRule="auto"/>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47"/>
        <w:gridCol w:w="2165"/>
        <w:gridCol w:w="1784"/>
        <w:gridCol w:w="2165"/>
        <w:gridCol w:w="1299"/>
      </w:tblGrid>
      <w:tr w14:paraId="33A79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3563E5FB">
            <w:pPr>
              <w:jc w:val="center"/>
            </w:pPr>
            <w:r>
              <w:rPr>
                <w:b/>
                <w:bCs/>
                <w:color w:val="FFFFFF"/>
                <w:sz w:val="19"/>
                <w:szCs w:val="19"/>
              </w:rPr>
              <w:t>Regulatory Area</w:t>
            </w:r>
          </w:p>
        </w:tc>
        <w:tc>
          <w:tcPr>
            <w:tcW w:w="2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0EF4418">
            <w:pPr>
              <w:jc w:val="center"/>
            </w:pPr>
            <w:r>
              <w:rPr>
                <w:b/>
                <w:bCs/>
                <w:color w:val="FFFFFF"/>
                <w:sz w:val="19"/>
                <w:szCs w:val="19"/>
              </w:rPr>
              <w:t>Applicable Law / Standard</w:t>
            </w:r>
          </w:p>
        </w:tc>
        <w:tc>
          <w:tcPr>
            <w:tcW w:w="1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2885744">
            <w:pPr>
              <w:jc w:val="center"/>
            </w:pPr>
            <w:r>
              <w:rPr>
                <w:b/>
                <w:bCs/>
                <w:color w:val="FFFFFF"/>
                <w:sz w:val="19"/>
                <w:szCs w:val="19"/>
              </w:rPr>
              <w:t>Requirement</w:t>
            </w:r>
          </w:p>
        </w:tc>
        <w:tc>
          <w:tcPr>
            <w:tcW w:w="2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66DED84">
            <w:pPr>
              <w:jc w:val="center"/>
            </w:pPr>
            <w:r>
              <w:rPr>
                <w:b/>
                <w:bCs/>
                <w:color w:val="FFFFFF"/>
                <w:sz w:val="19"/>
                <w:szCs w:val="19"/>
              </w:rPr>
              <w:t>Compliance Action</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69758F0">
            <w:pPr>
              <w:jc w:val="center"/>
            </w:pPr>
            <w:r>
              <w:rPr>
                <w:b/>
                <w:bCs/>
                <w:color w:val="FFFFFF"/>
                <w:sz w:val="19"/>
                <w:szCs w:val="19"/>
              </w:rPr>
              <w:t>Timeline</w:t>
            </w:r>
          </w:p>
        </w:tc>
      </w:tr>
      <w:tr w14:paraId="3EF5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CC54814">
            <w:r>
              <w:rPr>
                <w:color w:val="555555"/>
                <w:sz w:val="20"/>
                <w:szCs w:val="20"/>
              </w:rPr>
              <w:t>Banking Licence &amp; Product Approval</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8DACAA6">
            <w:r>
              <w:rPr>
                <w:color w:val="555555"/>
                <w:sz w:val="20"/>
                <w:szCs w:val="20"/>
              </w:rPr>
              <w:t>RBZ Banking Act [Chapter 24:20]</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AF30193">
            <w:r>
              <w:rPr>
                <w:color w:val="555555"/>
                <w:sz w:val="20"/>
                <w:szCs w:val="20"/>
              </w:rPr>
              <w:t>[New product approval required?]</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F76983E">
            <w:r>
              <w:rPr>
                <w:color w:val="555555"/>
                <w:sz w:val="20"/>
                <w:szCs w:val="20"/>
              </w:rPr>
              <w:t>[Submit to RBZ DFS Division]</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79D0BF6">
            <w:r>
              <w:rPr>
                <w:color w:val="555555"/>
                <w:sz w:val="20"/>
                <w:szCs w:val="20"/>
              </w:rPr>
              <w:t>[___ months pre-launch]</w:t>
            </w:r>
          </w:p>
        </w:tc>
      </w:tr>
      <w:tr w14:paraId="27CF3743">
        <w:tblPrEx>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FAAA825">
            <w:r>
              <w:rPr>
                <w:color w:val="555555"/>
                <w:sz w:val="20"/>
                <w:szCs w:val="20"/>
              </w:rPr>
              <w:t>KYC / CDD Requirements</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B31350F">
            <w:r>
              <w:rPr>
                <w:color w:val="555555"/>
                <w:sz w:val="20"/>
                <w:szCs w:val="20"/>
              </w:rPr>
              <w:t>RBZ KYC Directives (Tier 1–3)</w:t>
            </w:r>
          </w:p>
        </w:tc>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EE578A1">
            <w:r>
              <w:rPr>
                <w:color w:val="555555"/>
                <w:sz w:val="20"/>
                <w:szCs w:val="20"/>
              </w:rPr>
              <w:t>[Tiered KYC minimum documentation]</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AA5F1A5">
            <w:r>
              <w:rPr>
                <w:color w:val="555555"/>
                <w:sz w:val="20"/>
                <w:szCs w:val="20"/>
              </w:rPr>
              <w:t>[Implement digital KYC flow]</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B6122C9">
            <w:r>
              <w:rPr>
                <w:color w:val="555555"/>
                <w:sz w:val="20"/>
                <w:szCs w:val="20"/>
              </w:rPr>
              <w:t>[Pre-launch]</w:t>
            </w:r>
          </w:p>
        </w:tc>
      </w:tr>
      <w:tr w14:paraId="64BE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54B0AA6">
            <w:r>
              <w:rPr>
                <w:color w:val="555555"/>
                <w:sz w:val="20"/>
                <w:szCs w:val="20"/>
              </w:rPr>
              <w:t>AML / CFT</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B10342C">
            <w:r>
              <w:rPr>
                <w:color w:val="555555"/>
                <w:sz w:val="20"/>
                <w:szCs w:val="20"/>
              </w:rPr>
              <w:t>Money Laundering &amp; Proceeds of Crime Act</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D0CA93C">
            <w:r>
              <w:rPr>
                <w:color w:val="555555"/>
                <w:sz w:val="20"/>
                <w:szCs w:val="20"/>
              </w:rPr>
              <w:t>[Transaction monitoring, STR filing]</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2F734FC">
            <w:r>
              <w:rPr>
                <w:color w:val="555555"/>
                <w:sz w:val="20"/>
                <w:szCs w:val="20"/>
              </w:rPr>
              <w:t>[Update AML system rules]</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50F49EF">
            <w:r>
              <w:rPr>
                <w:color w:val="555555"/>
                <w:sz w:val="20"/>
                <w:szCs w:val="20"/>
              </w:rPr>
              <w:t>[Pre-launch]</w:t>
            </w:r>
          </w:p>
        </w:tc>
      </w:tr>
      <w:tr w14:paraId="1682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4F9DFC4">
            <w:r>
              <w:rPr>
                <w:color w:val="555555"/>
                <w:sz w:val="20"/>
                <w:szCs w:val="20"/>
              </w:rPr>
              <w:t>Consumer Protection</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3EFB548">
            <w:r>
              <w:rPr>
                <w:color w:val="555555"/>
                <w:sz w:val="20"/>
                <w:szCs w:val="20"/>
              </w:rPr>
              <w:t>Consumer Protection Act [Chapter 14:44]</w:t>
            </w:r>
          </w:p>
        </w:tc>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199449C">
            <w:r>
              <w:rPr>
                <w:color w:val="555555"/>
                <w:sz w:val="20"/>
                <w:szCs w:val="20"/>
              </w:rPr>
              <w:t>[Fee disclosure, grievance mechanism]</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17FD3B1">
            <w:r>
              <w:rPr>
                <w:color w:val="555555"/>
                <w:sz w:val="20"/>
                <w:szCs w:val="20"/>
              </w:rPr>
              <w:t>[T&amp;C documentation, complaints line]</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6A88604">
            <w:r>
              <w:rPr>
                <w:color w:val="555555"/>
                <w:sz w:val="20"/>
                <w:szCs w:val="20"/>
              </w:rPr>
              <w:t>[Pre-launch]</w:t>
            </w:r>
          </w:p>
        </w:tc>
      </w:tr>
      <w:tr w14:paraId="515A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4B9DECD">
            <w:r>
              <w:rPr>
                <w:color w:val="555555"/>
                <w:sz w:val="20"/>
                <w:szCs w:val="20"/>
              </w:rPr>
              <w:t>Data Privacy</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7D41BA7">
            <w:r>
              <w:rPr>
                <w:color w:val="555555"/>
                <w:sz w:val="20"/>
                <w:szCs w:val="20"/>
              </w:rPr>
              <w:t>Cyber &amp; Data Protection Act, 2021</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E34C403">
            <w:r>
              <w:rPr>
                <w:color w:val="555555"/>
                <w:sz w:val="20"/>
                <w:szCs w:val="20"/>
              </w:rPr>
              <w:t>[Data processing consent, localisation]</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7101B6A">
            <w:r>
              <w:rPr>
                <w:color w:val="555555"/>
                <w:sz w:val="20"/>
                <w:szCs w:val="20"/>
              </w:rPr>
              <w:t>[Privacy policy, data governance]</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952E5D4">
            <w:r>
              <w:rPr>
                <w:color w:val="555555"/>
                <w:sz w:val="20"/>
                <w:szCs w:val="20"/>
              </w:rPr>
              <w:t>[Pre-launch]</w:t>
            </w:r>
          </w:p>
        </w:tc>
      </w:tr>
      <w:tr w14:paraId="36D2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C26CF18">
            <w:r>
              <w:rPr>
                <w:color w:val="555555"/>
                <w:sz w:val="20"/>
                <w:szCs w:val="20"/>
              </w:rPr>
              <w:t>Credit Reporting</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FF39A12">
            <w:r>
              <w:rPr>
                <w:color w:val="555555"/>
                <w:sz w:val="20"/>
                <w:szCs w:val="20"/>
              </w:rPr>
              <w:t>Credit Registry Corporation regulations</w:t>
            </w:r>
          </w:p>
        </w:tc>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23F3A82">
            <w:r>
              <w:rPr>
                <w:color w:val="555555"/>
                <w:sz w:val="20"/>
                <w:szCs w:val="20"/>
              </w:rPr>
              <w:t>[Reporting non-performing loans]</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F3B1481">
            <w:r>
              <w:rPr>
                <w:color w:val="555555"/>
                <w:sz w:val="20"/>
                <w:szCs w:val="20"/>
              </w:rPr>
              <w:t>[CRC integration]</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443EEB2">
            <w:r>
              <w:rPr>
                <w:color w:val="555555"/>
                <w:sz w:val="20"/>
                <w:szCs w:val="20"/>
              </w:rPr>
              <w:t>[90 days post-launch]</w:t>
            </w:r>
          </w:p>
        </w:tc>
      </w:tr>
      <w:tr w14:paraId="2E1A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E774EB1">
            <w:r>
              <w:rPr>
                <w:color w:val="555555"/>
                <w:sz w:val="20"/>
                <w:szCs w:val="20"/>
              </w:rPr>
              <w:t>Exchange Control (if USD)</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52D568D">
            <w:r>
              <w:rPr>
                <w:color w:val="555555"/>
                <w:sz w:val="20"/>
                <w:szCs w:val="20"/>
              </w:rPr>
              <w:t>Exchange Control Act</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541C854">
            <w:r>
              <w:rPr>
                <w:color w:val="555555"/>
                <w:sz w:val="20"/>
                <w:szCs w:val="20"/>
              </w:rPr>
              <w:t>[USD lending limits and reporting]</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0D9072F">
            <w:r>
              <w:rPr>
                <w:color w:val="555555"/>
                <w:sz w:val="20"/>
                <w:szCs w:val="20"/>
              </w:rPr>
              <w:t>[RBZ Exchange Control approval]</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3C4F05D">
            <w:r>
              <w:rPr>
                <w:color w:val="555555"/>
                <w:sz w:val="20"/>
                <w:szCs w:val="20"/>
              </w:rPr>
              <w:t>[Pre-launch]</w:t>
            </w:r>
          </w:p>
        </w:tc>
      </w:tr>
    </w:tbl>
    <w:p w14:paraId="208A4AD9">
      <w:pPr>
        <w:pStyle w:val="2"/>
        <w:pageBreakBefore/>
        <w:spacing w:before="0"/>
      </w:pPr>
      <w:bookmarkStart w:id="34" w:name="_Toc224559760"/>
      <w:r>
        <w:rPr>
          <w:color w:val="2E6DA4"/>
        </w:rPr>
        <w:t xml:space="preserve">13 </w:t>
      </w:r>
      <w:r>
        <w:t>Implementation Requirements</w:t>
      </w:r>
      <w:bookmarkEnd w:id="34"/>
    </w:p>
    <w:p w14:paraId="3D693F5F">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20E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3A123E3C">
            <w:pPr>
              <w:spacing w:before="60" w:after="80"/>
            </w:pPr>
            <w:r>
              <w:rPr>
                <w:b/>
                <w:bCs/>
                <w:color w:val="1B3A5C"/>
              </w:rPr>
              <w:t>Analyst Guidance</w:t>
            </w:r>
          </w:p>
          <w:p w14:paraId="3048C68F">
            <w:pPr>
              <w:spacing w:before="30" w:after="30"/>
            </w:pPr>
            <w:r>
              <w:rPr>
                <w:i/>
                <w:iCs/>
                <w:color w:val="555555"/>
                <w:sz w:val="20"/>
                <w:szCs w:val="20"/>
              </w:rPr>
              <w:t>Be honest about gaps. A credible implementation plan identifies what the bank does not yet have and how it will be acquired. Underprepared launches are the primary cause of product failure.</w:t>
            </w:r>
          </w:p>
          <w:p w14:paraId="6CE909CD">
            <w:pPr>
              <w:spacing w:before="30" w:after="30"/>
            </w:pPr>
            <w:r>
              <w:rPr>
                <w:i/>
                <w:iCs/>
                <w:color w:val="555555"/>
                <w:sz w:val="20"/>
                <w:szCs w:val="20"/>
              </w:rPr>
              <w:t>Estimate capital expenditure (CAPEX) and operating expenditure (OPEX) separately. Show these inputs feeding into the unit economics model in Section 7.</w:t>
            </w:r>
          </w:p>
        </w:tc>
      </w:tr>
    </w:tbl>
    <w:p w14:paraId="0963BE13">
      <w:pPr>
        <w:spacing w:line="120" w:lineRule="auto"/>
      </w:pPr>
    </w:p>
    <w:p w14:paraId="45DCD08B">
      <w:pPr>
        <w:pStyle w:val="3"/>
      </w:pPr>
      <w:bookmarkStart w:id="35" w:name="_Toc224559761"/>
      <w:r>
        <w:t>13.1 Technology &amp; Systems</w:t>
      </w:r>
      <w:bookmarkEnd w:id="35"/>
    </w:p>
    <w:tbl>
      <w:tblPr>
        <w:tblStyle w:val="10"/>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2"/>
        <w:gridCol w:w="1448"/>
        <w:gridCol w:w="1448"/>
        <w:gridCol w:w="1281"/>
        <w:gridCol w:w="1336"/>
        <w:gridCol w:w="1125"/>
      </w:tblGrid>
      <w:tr w14:paraId="4954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877268D">
            <w:pPr>
              <w:jc w:val="center"/>
            </w:pPr>
            <w:r>
              <w:rPr>
                <w:b/>
                <w:bCs/>
                <w:color w:val="FFFFFF"/>
                <w:sz w:val="19"/>
                <w:szCs w:val="19"/>
              </w:rPr>
              <w:t>System / Component</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C08F205">
            <w:pPr>
              <w:jc w:val="center"/>
            </w:pPr>
            <w:r>
              <w:rPr>
                <w:b/>
                <w:bCs/>
                <w:color w:val="FFFFFF"/>
                <w:sz w:val="19"/>
                <w:szCs w:val="19"/>
              </w:rPr>
              <w:t>Current State</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10F02ED8">
            <w:pPr>
              <w:jc w:val="center"/>
            </w:pPr>
            <w:r>
              <w:rPr>
                <w:b/>
                <w:bCs/>
                <w:color w:val="FFFFFF"/>
                <w:sz w:val="19"/>
                <w:szCs w:val="19"/>
              </w:rPr>
              <w:t>Required State</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5F78DA0">
            <w:pPr>
              <w:jc w:val="center"/>
            </w:pPr>
            <w:r>
              <w:rPr>
                <w:b/>
                <w:bCs/>
                <w:color w:val="FFFFFF"/>
                <w:sz w:val="19"/>
                <w:szCs w:val="19"/>
              </w:rPr>
              <w:t>Gap Action</w:t>
            </w:r>
          </w:p>
        </w:tc>
        <w:tc>
          <w:tcPr>
            <w:tcW w:w="15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9D0EC7D">
            <w:pPr>
              <w:jc w:val="center"/>
            </w:pPr>
            <w:r>
              <w:rPr>
                <w:b/>
                <w:bCs/>
                <w:color w:val="FFFFFF"/>
                <w:sz w:val="19"/>
                <w:szCs w:val="19"/>
              </w:rPr>
              <w:t>Cost Estimate (USD)</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3DC77E2">
            <w:pPr>
              <w:jc w:val="center"/>
            </w:pPr>
            <w:r>
              <w:rPr>
                <w:b/>
                <w:bCs/>
                <w:color w:val="FFFFFF"/>
                <w:sz w:val="19"/>
                <w:szCs w:val="19"/>
              </w:rPr>
              <w:t>Timeline</w:t>
            </w:r>
          </w:p>
        </w:tc>
      </w:tr>
      <w:tr w14:paraId="6295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8354F6D">
            <w:r>
              <w:rPr>
                <w:color w:val="555555"/>
                <w:sz w:val="20"/>
                <w:szCs w:val="20"/>
              </w:rPr>
              <w:t>Core Banking Integration</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7ACCA85">
            <w:r>
              <w:rPr>
                <w:rFonts w:hint="default"/>
                <w:color w:val="555555"/>
                <w:sz w:val="20"/>
                <w:szCs w:val="20"/>
              </w:rPr>
              <w:t>Existing core banking supports basic accounts but limited for high-volume digital onboarding</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E05834E">
            <w:r>
              <w:rPr>
                <w:rFonts w:hint="default"/>
                <w:color w:val="555555"/>
                <w:sz w:val="20"/>
                <w:szCs w:val="20"/>
              </w:rPr>
              <w:t>Real-time API-enabled core banking with support for digital accounts, wallets, and micro-loans</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A383A58">
            <w:r>
              <w:rPr>
                <w:rFonts w:hint="default"/>
                <w:color w:val="555555"/>
                <w:sz w:val="20"/>
                <w:szCs w:val="20"/>
              </w:rPr>
              <w:t>Enhance (Build + Integrate APIs)</w:t>
            </w:r>
          </w:p>
        </w:tc>
        <w:tc>
          <w:tcPr>
            <w:tcW w:w="1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671A566">
            <w:r>
              <w:rPr>
                <w:rFonts w:hint="default"/>
                <w:color w:val="555555"/>
                <w:sz w:val="20"/>
                <w:szCs w:val="20"/>
              </w:rPr>
              <w:t>$80,000</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F436D46">
            <w:r>
              <w:rPr>
                <w:rFonts w:hint="default"/>
                <w:color w:val="555555"/>
                <w:sz w:val="20"/>
                <w:szCs w:val="20"/>
              </w:rPr>
              <w:t>4–6 months</w:t>
            </w:r>
          </w:p>
        </w:tc>
      </w:tr>
      <w:tr w14:paraId="5BEF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EE34FD5">
            <w:r>
              <w:rPr>
                <w:color w:val="555555"/>
                <w:sz w:val="20"/>
                <w:szCs w:val="20"/>
              </w:rPr>
              <w:t>Mobile / USSD Platform</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3269569">
            <w:r>
              <w:rPr>
                <w:rFonts w:hint="default"/>
                <w:color w:val="555555"/>
                <w:sz w:val="20"/>
                <w:szCs w:val="20"/>
              </w:rPr>
              <w:t>Basic mobile banking and USSD available but not optimized for youth or merchant use cases</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486DBB2">
            <w:r>
              <w:rPr>
                <w:rFonts w:hint="default"/>
                <w:color w:val="555555"/>
                <w:sz w:val="20"/>
                <w:szCs w:val="20"/>
              </w:rPr>
              <w:t>Enhanced mobile app + USSD with merchant payments, QR, and seamless UX</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C54064F">
            <w:r>
              <w:rPr>
                <w:rFonts w:hint="default"/>
                <w:color w:val="555555"/>
                <w:sz w:val="20"/>
                <w:szCs w:val="20"/>
              </w:rPr>
              <w:t>Enhance (Build + Partner with MNOs)</w:t>
            </w:r>
          </w:p>
        </w:tc>
        <w:tc>
          <w:tcPr>
            <w:tcW w:w="1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30D48B9">
            <w:r>
              <w:rPr>
                <w:rFonts w:hint="default"/>
                <w:color w:val="555555"/>
                <w:sz w:val="20"/>
                <w:szCs w:val="20"/>
              </w:rPr>
              <w:t>$120,000</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C124E3F">
            <w:r>
              <w:rPr>
                <w:rFonts w:hint="default"/>
                <w:color w:val="555555"/>
                <w:sz w:val="20"/>
                <w:szCs w:val="20"/>
              </w:rPr>
              <w:t>3–5 months</w:t>
            </w:r>
          </w:p>
        </w:tc>
      </w:tr>
      <w:tr w14:paraId="431A7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121B311">
            <w:r>
              <w:rPr>
                <w:color w:val="555555"/>
                <w:sz w:val="20"/>
                <w:szCs w:val="20"/>
              </w:rPr>
              <w:t>Digital KYC System</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D35CF89">
            <w:r>
              <w:rPr>
                <w:rFonts w:hint="default"/>
                <w:color w:val="555555"/>
                <w:sz w:val="20"/>
                <w:szCs w:val="20"/>
              </w:rPr>
              <w:t>Manual or semi-digital onboarding processes</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A40F4B0">
            <w:r>
              <w:rPr>
                <w:rFonts w:hint="default"/>
                <w:color w:val="555555"/>
                <w:sz w:val="20"/>
                <w:szCs w:val="20"/>
              </w:rPr>
              <w:t>Fully digital KYC with tiered onboarding, ID verification, and API integration with national databases</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E1C1172">
            <w:r>
              <w:rPr>
                <w:rFonts w:hint="default"/>
                <w:color w:val="555555"/>
                <w:sz w:val="20"/>
                <w:szCs w:val="20"/>
              </w:rPr>
              <w:t>Build / Partner (RegTech provider)</w:t>
            </w:r>
            <w:r>
              <w:rPr>
                <w:color w:val="555555"/>
                <w:sz w:val="20"/>
                <w:szCs w:val="20"/>
              </w:rPr>
              <w:t>]</w:t>
            </w:r>
          </w:p>
        </w:tc>
        <w:tc>
          <w:tcPr>
            <w:tcW w:w="1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FC9EAEA">
            <w:r>
              <w:rPr>
                <w:rFonts w:hint="default"/>
                <w:color w:val="555555"/>
                <w:sz w:val="20"/>
                <w:szCs w:val="20"/>
              </w:rPr>
              <w:t>$50,000</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E670520">
            <w:r>
              <w:rPr>
                <w:rFonts w:hint="default"/>
                <w:color w:val="555555"/>
                <w:sz w:val="20"/>
                <w:szCs w:val="20"/>
              </w:rPr>
              <w:t>2–3 months</w:t>
            </w:r>
          </w:p>
        </w:tc>
      </w:tr>
      <w:tr w14:paraId="7CB1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10A2615">
            <w:r>
              <w:rPr>
                <w:color w:val="555555"/>
                <w:sz w:val="20"/>
                <w:szCs w:val="20"/>
              </w:rPr>
              <w:t>Credit Scoring Engine</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784955F">
            <w:r>
              <w:rPr>
                <w:rFonts w:hint="default"/>
                <w:color w:val="555555"/>
                <w:sz w:val="20"/>
                <w:szCs w:val="20"/>
              </w:rPr>
              <w:t>Limited or traditional credit scoring models</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7820335">
            <w:r>
              <w:rPr>
                <w:rFonts w:hint="default"/>
                <w:color w:val="555555"/>
                <w:sz w:val="20"/>
                <w:szCs w:val="20"/>
              </w:rPr>
              <w:t>Alternative data-based scoring using transaction history and behavioural data</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D279E6D">
            <w:r>
              <w:rPr>
                <w:rFonts w:hint="default"/>
                <w:color w:val="555555"/>
                <w:sz w:val="20"/>
                <w:szCs w:val="20"/>
              </w:rPr>
              <w:t>Build (Data + AI models)</w:t>
            </w:r>
          </w:p>
        </w:tc>
        <w:tc>
          <w:tcPr>
            <w:tcW w:w="1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421D633">
            <w:r>
              <w:rPr>
                <w:rFonts w:hint="default"/>
                <w:color w:val="555555"/>
                <w:sz w:val="20"/>
                <w:szCs w:val="20"/>
              </w:rPr>
              <w:t>$70,000</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AE1E256">
            <w:r>
              <w:rPr>
                <w:rFonts w:hint="default"/>
                <w:color w:val="555555"/>
                <w:sz w:val="20"/>
                <w:szCs w:val="20"/>
              </w:rPr>
              <w:t>4–6 months</w:t>
            </w:r>
          </w:p>
        </w:tc>
      </w:tr>
      <w:tr w14:paraId="30B4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74A62B3">
            <w:r>
              <w:rPr>
                <w:color w:val="555555"/>
                <w:sz w:val="20"/>
                <w:szCs w:val="20"/>
              </w:rPr>
              <w:t>Collections / Loan Management</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EA609DA">
            <w:r>
              <w:rPr>
                <w:rFonts w:hint="default"/>
                <w:color w:val="555555"/>
                <w:sz w:val="20"/>
                <w:szCs w:val="20"/>
              </w:rPr>
              <w:t>Basic loan management systems focused on traditional lending</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76296CF">
            <w:r>
              <w:rPr>
                <w:rFonts w:hint="default"/>
                <w:color w:val="555555"/>
                <w:sz w:val="20"/>
                <w:szCs w:val="20"/>
              </w:rPr>
              <w:t>Automated micro-loan management system with reminders, deductions, and repayment tracking</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BC9C6F1">
            <w:r>
              <w:rPr>
                <w:rFonts w:hint="default"/>
                <w:color w:val="555555"/>
                <w:sz w:val="20"/>
                <w:szCs w:val="20"/>
              </w:rPr>
              <w:t>Enhance / Buy (Fintech solution)</w:t>
            </w:r>
          </w:p>
        </w:tc>
        <w:tc>
          <w:tcPr>
            <w:tcW w:w="15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D77272F">
            <w:r>
              <w:rPr>
                <w:rFonts w:hint="default"/>
                <w:color w:val="555555"/>
                <w:sz w:val="20"/>
                <w:szCs w:val="20"/>
              </w:rPr>
              <w:t>$60,000</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AA0B375">
            <w:r>
              <w:rPr>
                <w:rFonts w:hint="default"/>
                <w:color w:val="555555"/>
                <w:sz w:val="20"/>
                <w:szCs w:val="20"/>
              </w:rPr>
              <w:t>3–4 months</w:t>
            </w:r>
          </w:p>
        </w:tc>
      </w:tr>
      <w:tr w14:paraId="0F8F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503DEC6">
            <w:r>
              <w:rPr>
                <w:color w:val="555555"/>
                <w:sz w:val="20"/>
                <w:szCs w:val="20"/>
              </w:rPr>
              <w:t>Analytics &amp; Reporting</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85E8806">
            <w:r>
              <w:rPr>
                <w:rFonts w:hint="default"/>
                <w:color w:val="555555"/>
                <w:sz w:val="20"/>
                <w:szCs w:val="20"/>
              </w:rPr>
              <w:t>Standard reporting tools with limited real-time insights</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ADB5CF1">
            <w:r>
              <w:rPr>
                <w:rFonts w:hint="default"/>
                <w:color w:val="555555"/>
                <w:sz w:val="20"/>
                <w:szCs w:val="20"/>
              </w:rPr>
              <w:t>Real-time dashboards for customer behaviour, transactions, and risk monitoring</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F52BF35">
            <w:r>
              <w:rPr>
                <w:rFonts w:hint="default"/>
                <w:color w:val="555555"/>
                <w:sz w:val="20"/>
                <w:szCs w:val="20"/>
              </w:rPr>
              <w:t>Enhance (BI tools integration)</w:t>
            </w:r>
          </w:p>
        </w:tc>
        <w:tc>
          <w:tcPr>
            <w:tcW w:w="15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A0114B5">
            <w:r>
              <w:rPr>
                <w:rFonts w:hint="default"/>
                <w:color w:val="555555"/>
                <w:sz w:val="20"/>
                <w:szCs w:val="20"/>
              </w:rPr>
              <w:t>$40,000</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E92D9FA">
            <w:r>
              <w:rPr>
                <w:rFonts w:hint="default"/>
                <w:color w:val="555555"/>
                <w:sz w:val="20"/>
                <w:szCs w:val="20"/>
              </w:rPr>
              <w:t>2–3 months</w:t>
            </w:r>
          </w:p>
        </w:tc>
      </w:tr>
    </w:tbl>
    <w:p w14:paraId="44C70C8B">
      <w:pPr>
        <w:spacing w:line="120" w:lineRule="auto"/>
      </w:pPr>
    </w:p>
    <w:p w14:paraId="06B4BBA9">
      <w:pPr>
        <w:pStyle w:val="2"/>
        <w:pageBreakBefore/>
        <w:spacing w:before="0"/>
      </w:pPr>
      <w:bookmarkStart w:id="36" w:name="_Toc224559762"/>
      <w:r>
        <w:rPr>
          <w:color w:val="2E6DA4"/>
        </w:rPr>
        <w:t xml:space="preserve">14 </w:t>
      </w:r>
      <w:r>
        <w:t>Competitive Landscape</w:t>
      </w:r>
      <w:bookmarkEnd w:id="36"/>
    </w:p>
    <w:p w14:paraId="0AA737E3">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BF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6B044A8E">
            <w:pPr>
              <w:spacing w:before="60" w:after="80"/>
            </w:pPr>
            <w:r>
              <w:rPr>
                <w:b/>
                <w:bCs/>
                <w:color w:val="1B3A5C"/>
              </w:rPr>
              <w:t>Analyst Guidance</w:t>
            </w:r>
          </w:p>
          <w:p w14:paraId="3791C46A">
            <w:pPr>
              <w:spacing w:before="30" w:after="30"/>
            </w:pPr>
            <w:r>
              <w:rPr>
                <w:i/>
                <w:iCs/>
                <w:color w:val="555555"/>
                <w:sz w:val="20"/>
                <w:szCs w:val="20"/>
              </w:rPr>
              <w:t>Do not underestimate informal competitors. In Zimbabwe, loan sharks, burial societies, and savings clubs often out-compete formal institutions on speed and access. Map them honestly.</w:t>
            </w:r>
          </w:p>
          <w:p w14:paraId="4A97F312">
            <w:pPr>
              <w:spacing w:before="30" w:after="30"/>
            </w:pPr>
            <w:r>
              <w:rPr>
                <w:i/>
                <w:iCs/>
                <w:color w:val="555555"/>
                <w:sz w:val="20"/>
                <w:szCs w:val="20"/>
              </w:rPr>
              <w:t>Your differentiation must be sustainable — based on unique capabilities or structural advantages, not just pricing or better marketing.</w:t>
            </w:r>
          </w:p>
        </w:tc>
      </w:tr>
    </w:tbl>
    <w:p w14:paraId="61542247">
      <w:pPr>
        <w:spacing w:line="120" w:lineRule="auto"/>
      </w:pPr>
    </w:p>
    <w:p w14:paraId="267D5710">
      <w:pPr>
        <w:pStyle w:val="3"/>
      </w:pPr>
      <w:bookmarkStart w:id="37" w:name="_Toc224559763"/>
      <w:r>
        <w:t>14.1 Competitive Map</w:t>
      </w:r>
      <w:bookmarkEnd w:id="37"/>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4"/>
        <w:gridCol w:w="1180"/>
        <w:gridCol w:w="1481"/>
        <w:gridCol w:w="1597"/>
        <w:gridCol w:w="1625"/>
        <w:gridCol w:w="2063"/>
      </w:tblGrid>
      <w:tr w14:paraId="0D53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810EC32">
            <w:pPr>
              <w:jc w:val="center"/>
            </w:pPr>
            <w:r>
              <w:rPr>
                <w:b/>
                <w:bCs/>
                <w:color w:val="FFFFFF"/>
                <w:sz w:val="19"/>
                <w:szCs w:val="19"/>
              </w:rPr>
              <w:t>Competitor</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A0A0FED">
            <w:pPr>
              <w:jc w:val="center"/>
            </w:pPr>
            <w:r>
              <w:rPr>
                <w:b/>
                <w:bCs/>
                <w:color w:val="FFFFFF"/>
                <w:sz w:val="19"/>
                <w:szCs w:val="19"/>
              </w:rPr>
              <w:t>Type</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FD45322">
            <w:pPr>
              <w:jc w:val="center"/>
            </w:pPr>
            <w:r>
              <w:rPr>
                <w:b/>
                <w:bCs/>
                <w:color w:val="FFFFFF"/>
                <w:sz w:val="19"/>
                <w:szCs w:val="19"/>
              </w:rPr>
              <w:t>Estimated Market Share</w:t>
            </w:r>
          </w:p>
        </w:tc>
        <w:tc>
          <w:tcPr>
            <w:tcW w:w="16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6A09BB6">
            <w:pPr>
              <w:jc w:val="center"/>
            </w:pPr>
            <w:r>
              <w:rPr>
                <w:b/>
                <w:bCs/>
                <w:color w:val="FFFFFF"/>
                <w:sz w:val="19"/>
                <w:szCs w:val="19"/>
              </w:rPr>
              <w:t>Key Strengths</w:t>
            </w:r>
          </w:p>
        </w:tc>
        <w:tc>
          <w:tcPr>
            <w:tcW w:w="16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833E580">
            <w:pPr>
              <w:jc w:val="center"/>
            </w:pPr>
            <w:r>
              <w:rPr>
                <w:b/>
                <w:bCs/>
                <w:color w:val="FFFFFF"/>
                <w:sz w:val="19"/>
                <w:szCs w:val="19"/>
              </w:rPr>
              <w:t>Key Weaknesses</w:t>
            </w:r>
          </w:p>
        </w:tc>
        <w:tc>
          <w:tcPr>
            <w:tcW w:w="23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0B06F98">
            <w:pPr>
              <w:jc w:val="center"/>
            </w:pPr>
            <w:r>
              <w:rPr>
                <w:b/>
                <w:bCs/>
                <w:color w:val="FFFFFF"/>
                <w:sz w:val="19"/>
                <w:szCs w:val="19"/>
              </w:rPr>
              <w:t>Our Differentiation</w:t>
            </w:r>
          </w:p>
        </w:tc>
      </w:tr>
      <w:tr w14:paraId="4A511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8ACE864">
            <w:r>
              <w:rPr>
                <w:rFonts w:hint="default"/>
                <w:color w:val="555555"/>
                <w:sz w:val="20"/>
                <w:szCs w:val="20"/>
              </w:rPr>
              <w:t>EcoCash / Mobile Money Platforms</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2148CE4">
            <w:r>
              <w:rPr>
                <w:color w:val="555555"/>
                <w:sz w:val="20"/>
                <w:szCs w:val="20"/>
              </w:rPr>
              <w:t>[Mobile Money l]</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2588BB8">
            <w:r>
              <w:rPr>
                <w:rFonts w:hint="default"/>
                <w:color w:val="555555"/>
                <w:sz w:val="20"/>
                <w:szCs w:val="20"/>
              </w:rPr>
              <w:t>40–50%</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058665D">
            <w:r>
              <w:rPr>
                <w:rFonts w:hint="default"/>
                <w:color w:val="555555"/>
                <w:sz w:val="20"/>
                <w:szCs w:val="20"/>
              </w:rPr>
              <w:t>High adoption, wide agent network, instant payments, low onboarding friction</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B54C711">
            <w:r>
              <w:rPr>
                <w:rFonts w:hint="default"/>
                <w:color w:val="555555"/>
                <w:sz w:val="20"/>
                <w:szCs w:val="20"/>
              </w:rPr>
              <w:t>Limited financial tools (no structured savings/credit), high transaction costs at scale, not business-focused</w:t>
            </w:r>
          </w:p>
        </w:tc>
        <w:tc>
          <w:tcPr>
            <w:tcW w:w="23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3D4B202">
            <w:r>
              <w:rPr>
                <w:rFonts w:hint="default"/>
                <w:color w:val="555555"/>
                <w:sz w:val="20"/>
                <w:szCs w:val="20"/>
              </w:rPr>
              <w:t>Structured business account + lower fees + access to micro-credit + financial growth tools</w:t>
            </w:r>
          </w:p>
        </w:tc>
      </w:tr>
      <w:tr w14:paraId="3730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A25342D">
            <w:r>
              <w:rPr>
                <w:rFonts w:hint="default"/>
                <w:color w:val="555555"/>
                <w:sz w:val="20"/>
                <w:szCs w:val="20"/>
              </w:rPr>
              <w:t>CBZ Youth / SME Accounts</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C1CEC56">
            <w:r>
              <w:rPr>
                <w:rFonts w:hint="default"/>
                <w:color w:val="555555"/>
                <w:sz w:val="20"/>
                <w:szCs w:val="20"/>
              </w:rPr>
              <w:t>Bank</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D8DDB2D">
            <w:r>
              <w:rPr>
                <w:rFonts w:hint="default"/>
                <w:color w:val="555555"/>
                <w:sz w:val="20"/>
                <w:szCs w:val="20"/>
              </w:rPr>
              <w:t>15–20%</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3B80E88">
            <w:r>
              <w:rPr>
                <w:rFonts w:hint="default"/>
                <w:color w:val="555555"/>
                <w:sz w:val="20"/>
                <w:szCs w:val="20"/>
              </w:rPr>
              <w:t>Strong brand, large customer base, existing digital platforms</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AC3F8AE">
            <w:r>
              <w:rPr>
                <w:rFonts w:hint="default"/>
                <w:color w:val="555555"/>
                <w:sz w:val="20"/>
                <w:szCs w:val="20"/>
              </w:rPr>
              <w:t>Higher fees, complex onboarding, not tailored to informal youth businesses</w:t>
            </w:r>
          </w:p>
        </w:tc>
        <w:tc>
          <w:tcPr>
            <w:tcW w:w="23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2F4136E">
            <w:r>
              <w:rPr>
                <w:rFonts w:hint="default"/>
                <w:color w:val="555555"/>
                <w:sz w:val="20"/>
                <w:szCs w:val="20"/>
              </w:rPr>
              <w:t>Simplified onboarding, youth-focused pricing, and merchant-friendly features</w:t>
            </w:r>
          </w:p>
        </w:tc>
      </w:tr>
      <w:tr w14:paraId="3F50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7FEA073">
            <w:r>
              <w:rPr>
                <w:rFonts w:hint="default"/>
                <w:color w:val="555555"/>
                <w:sz w:val="20"/>
                <w:szCs w:val="20"/>
              </w:rPr>
              <w:t>POSB Youth / Low-Cost Accounts</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E4367AD">
            <w:r>
              <w:rPr>
                <w:rFonts w:hint="default"/>
                <w:color w:val="555555"/>
                <w:sz w:val="20"/>
                <w:szCs w:val="20"/>
              </w:rPr>
              <w:t>Bank</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F3234BA">
            <w:r>
              <w:rPr>
                <w:rFonts w:hint="default"/>
                <w:color w:val="555555"/>
                <w:sz w:val="20"/>
                <w:szCs w:val="20"/>
              </w:rPr>
              <w:t>10–15%</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9304685">
            <w:r>
              <w:rPr>
                <w:rFonts w:hint="default"/>
                <w:color w:val="555555"/>
                <w:sz w:val="20"/>
                <w:szCs w:val="20"/>
              </w:rPr>
              <w:t>Financial inclusion focus, low-cost accounts, wide branch reach</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F1DE054">
            <w:r>
              <w:rPr>
                <w:rFonts w:hint="default"/>
                <w:color w:val="555555"/>
                <w:sz w:val="20"/>
                <w:szCs w:val="20"/>
              </w:rPr>
              <w:t>Limited digital experience, weak ecosystem integration, low engagement tools</w:t>
            </w:r>
          </w:p>
        </w:tc>
        <w:tc>
          <w:tcPr>
            <w:tcW w:w="23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184D4A4">
            <w:r>
              <w:rPr>
                <w:rFonts w:hint="default"/>
                <w:color w:val="555555"/>
                <w:sz w:val="20"/>
                <w:szCs w:val="20"/>
              </w:rPr>
              <w:t>Digital-first experience + integrated merchant payments + ecosystem approach</w:t>
            </w:r>
          </w:p>
        </w:tc>
      </w:tr>
      <w:tr w14:paraId="5350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F044D1B">
            <w:r>
              <w:rPr>
                <w:rFonts w:hint="default"/>
                <w:color w:val="555555"/>
                <w:sz w:val="20"/>
                <w:szCs w:val="20"/>
              </w:rPr>
              <w:t>Microfinance Institutions (MFIs)</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D6859A6">
            <w:r>
              <w:rPr>
                <w:rFonts w:hint="default"/>
                <w:color w:val="555555"/>
                <w:sz w:val="20"/>
                <w:szCs w:val="20"/>
              </w:rPr>
              <w:t>MFI</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DCA8D55">
            <w:r>
              <w:rPr>
                <w:rFonts w:hint="default"/>
                <w:color w:val="555555"/>
                <w:sz w:val="20"/>
                <w:szCs w:val="20"/>
              </w:rPr>
              <w:t>10–15%</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128C1B5">
            <w:r>
              <w:rPr>
                <w:rFonts w:hint="default"/>
                <w:color w:val="555555"/>
                <w:sz w:val="20"/>
                <w:szCs w:val="20"/>
              </w:rPr>
              <w:t>Access to credit for informal sector, flexible lending models</w:t>
            </w:r>
          </w:p>
        </w:tc>
        <w:tc>
          <w:tcPr>
            <w:tcW w:w="1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10770F2">
            <w:r>
              <w:rPr>
                <w:rFonts w:hint="default"/>
                <w:color w:val="555555"/>
                <w:sz w:val="20"/>
                <w:szCs w:val="20"/>
              </w:rPr>
              <w:t>High interest rates, no transactional ecosystem, limited digital integration</w:t>
            </w:r>
          </w:p>
        </w:tc>
        <w:tc>
          <w:tcPr>
            <w:tcW w:w="23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8C58F50">
            <w:r>
              <w:rPr>
                <w:rFonts w:hint="default"/>
                <w:color w:val="555555"/>
                <w:sz w:val="20"/>
                <w:szCs w:val="20"/>
              </w:rPr>
              <w:t>Lower-cost credit linked to transaction history + full banking ecosystem</w:t>
            </w:r>
          </w:p>
        </w:tc>
      </w:tr>
      <w:tr w14:paraId="3A94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431B6B3">
            <w:r>
              <w:rPr>
                <w:color w:val="555555"/>
                <w:sz w:val="20"/>
                <w:szCs w:val="20"/>
              </w:rPr>
              <w:t>Informal / Cash</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6E776DC">
            <w:r>
              <w:rPr>
                <w:color w:val="555555"/>
                <w:sz w:val="20"/>
                <w:szCs w:val="20"/>
              </w:rPr>
              <w:t>[Informal economy]</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90D8B4B">
            <w:r>
              <w:rPr>
                <w:rFonts w:hint="default"/>
                <w:color w:val="555555"/>
                <w:sz w:val="20"/>
                <w:szCs w:val="20"/>
              </w:rPr>
              <w:t>Significant (&gt;50% of transactions)</w:t>
            </w:r>
            <w:r>
              <w:rPr>
                <w:color w:val="555555"/>
                <w:sz w:val="20"/>
                <w:szCs w:val="20"/>
              </w:rPr>
              <w:t>]</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61A7268">
            <w:r>
              <w:rPr>
                <w:rFonts w:hint="default"/>
                <w:color w:val="555555"/>
                <w:sz w:val="20"/>
                <w:szCs w:val="20"/>
              </w:rPr>
              <w:t>Speed, accessibility, no documentation required, universal acceptance</w:t>
            </w:r>
          </w:p>
        </w:tc>
        <w:tc>
          <w:tcPr>
            <w:tcW w:w="1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6DE2C1D">
            <w:r>
              <w:rPr>
                <w:rFonts w:hint="default"/>
                <w:color w:val="555555"/>
                <w:sz w:val="20"/>
                <w:szCs w:val="20"/>
              </w:rPr>
              <w:t>High risk (theft, loss), no financial history, no access to credit or growth tools</w:t>
            </w:r>
          </w:p>
        </w:tc>
        <w:tc>
          <w:tcPr>
            <w:tcW w:w="23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B673079">
            <w:r>
              <w:rPr>
                <w:rFonts w:hint="default"/>
                <w:color w:val="555555"/>
                <w:sz w:val="20"/>
                <w:szCs w:val="20"/>
              </w:rPr>
              <w:t>Secure digital transactions, financial track record, access to savings and credit, long-term cost efficiency</w:t>
            </w:r>
          </w:p>
        </w:tc>
      </w:tr>
    </w:tbl>
    <w:p w14:paraId="514B8FE0">
      <w:pPr>
        <w:spacing w:line="120" w:lineRule="auto"/>
      </w:pPr>
    </w:p>
    <w:p w14:paraId="73B678EC">
      <w:pPr>
        <w:pStyle w:val="3"/>
      </w:pPr>
      <w:bookmarkStart w:id="38" w:name="_Toc224559764"/>
      <w:r>
        <w:t>14.2 Sustainable Competitive Advantage</w:t>
      </w:r>
      <w:bookmarkEnd w:id="38"/>
    </w:p>
    <w:p w14:paraId="4E8E4FF2">
      <w:pPr>
        <w:spacing w:before="60" w:after="60"/>
      </w:pPr>
      <w:r>
        <w:rPr>
          <w:color w:val="000000"/>
        </w:rPr>
        <w:t>Identify the 1–3 structural advantages that make this model defensible over 3–5 years.</w:t>
      </w:r>
    </w:p>
    <w:p w14:paraId="58AA47C3">
      <w:pPr>
        <w:pStyle w:val="18"/>
        <w:numPr>
          <w:ilvl w:val="0"/>
          <w:numId w:val="1"/>
        </w:numPr>
        <w:spacing w:before="40" w:after="40"/>
      </w:pPr>
      <w:r>
        <w:rPr>
          <w:color w:val="000000"/>
        </w:rPr>
        <w:t>[Advantage 1 —</w:t>
      </w:r>
      <w:r>
        <w:rPr>
          <w:rFonts w:hint="default"/>
          <w:color w:val="000000"/>
        </w:rPr>
        <w:t>Proprietary Transaction Data for Credit Scoring</w:t>
      </w:r>
      <w:r>
        <w:rPr>
          <w:rFonts w:hint="default"/>
          <w:color w:val="000000"/>
          <w:lang w:val="en-ZA"/>
        </w:rPr>
        <w:t xml:space="preserve">, </w:t>
      </w:r>
      <w:r>
        <w:rPr>
          <w:rFonts w:hint="default"/>
          <w:color w:val="000000"/>
        </w:rPr>
        <w:t>The Hustler Account generates high-frequency transaction data from informal business activity (payments, sales, transfers), enabling AFC to build alternative credit scoring models that competitors (especially mobile money platforms) cannot easily replicate. This creates a data moat, allowing AFC to offer better-priced, lower-risk micro-loans over time.</w:t>
      </w:r>
    </w:p>
    <w:p w14:paraId="762DF87C">
      <w:pPr>
        <w:pStyle w:val="18"/>
        <w:numPr>
          <w:ilvl w:val="0"/>
          <w:numId w:val="1"/>
        </w:numPr>
        <w:spacing w:before="40" w:after="40"/>
      </w:pPr>
      <w:r>
        <w:rPr>
          <w:color w:val="000000"/>
        </w:rPr>
        <w:t xml:space="preserve">[Advantage 2 — </w:t>
      </w:r>
      <w:r>
        <w:rPr>
          <w:rFonts w:hint="default"/>
          <w:color w:val="000000"/>
        </w:rPr>
        <w:t>Integrated Gen Z Financial Ecosystem</w:t>
      </w:r>
      <w:r>
        <w:rPr>
          <w:rFonts w:hint="default"/>
          <w:color w:val="000000"/>
          <w:lang w:val="en-ZA"/>
        </w:rPr>
        <w:t xml:space="preserve">, </w:t>
      </w:r>
      <w:r>
        <w:rPr>
          <w:rFonts w:hint="default"/>
          <w:color w:val="000000"/>
        </w:rPr>
        <w:t>The Hustler Account is not a standalone product but part of a broader AFC Gen Z ecosystem (Pulse Account, Creator Wallet, Campus Merchant Network, Squad Savings). This creates high switching costs, as customers become embedded across multiple financial touchpoints (income, payments, savings, and credit), making it difficult for competitors to displace AFC once adoption is achieved.</w:t>
      </w:r>
    </w:p>
    <w:p w14:paraId="05BFDE59">
      <w:pPr>
        <w:pStyle w:val="18"/>
        <w:numPr>
          <w:ilvl w:val="0"/>
          <w:numId w:val="1"/>
        </w:numPr>
        <w:spacing w:before="40" w:after="40"/>
        <w:rPr>
          <w:color w:val="000000"/>
        </w:rPr>
      </w:pPr>
      <w:r>
        <w:rPr>
          <w:color w:val="000000"/>
        </w:rPr>
        <w:t>[Advantage 3 —</w:t>
      </w:r>
      <w:r>
        <w:rPr>
          <w:rFonts w:hint="default"/>
          <w:color w:val="000000"/>
        </w:rPr>
        <w:t>Low-Friction Onboarding + Youth-Focused Product Design</w:t>
      </w:r>
      <w:r>
        <w:rPr>
          <w:rFonts w:hint="default"/>
          <w:color w:val="000000"/>
          <w:lang w:val="en-ZA"/>
        </w:rPr>
        <w:t xml:space="preserve">, </w:t>
      </w:r>
      <w:r>
        <w:rPr>
          <w:rFonts w:hint="default"/>
          <w:color w:val="000000"/>
        </w:rPr>
        <w:t>By leveraging tiered KYC, mobile-first onboarding, and pricing tailored to micro-transactions, AFC can acquire and retain customers at a lower cost and higher scale than traditional banks. Combined with brand positioning as the “bank for hustlers,” this creates a first-mover advantage in the youth informal segment, which is still underserved by formal banking institutions.</w:t>
      </w:r>
    </w:p>
    <w:p w14:paraId="1291FE33">
      <w:pPr>
        <w:pStyle w:val="2"/>
        <w:pageBreakBefore/>
        <w:spacing w:before="0"/>
      </w:pPr>
      <w:bookmarkStart w:id="39" w:name="_Toc224559765"/>
      <w:r>
        <w:rPr>
          <w:color w:val="2E6DA4"/>
        </w:rPr>
        <w:t xml:space="preserve">15 </w:t>
      </w:r>
      <w:r>
        <w:t>Strategic Impact</w:t>
      </w:r>
      <w:bookmarkEnd w:id="39"/>
    </w:p>
    <w:p w14:paraId="7E203687">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0D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510BAFF2">
            <w:pPr>
              <w:spacing w:before="60" w:after="80"/>
            </w:pPr>
            <w:r>
              <w:rPr>
                <w:b/>
                <w:bCs/>
                <w:color w:val="1B3A5C"/>
              </w:rPr>
              <w:t>Analyst Guidance</w:t>
            </w:r>
          </w:p>
          <w:p w14:paraId="63983F48">
            <w:pPr>
              <w:spacing w:before="30" w:after="30"/>
            </w:pPr>
            <w:r>
              <w:rPr>
                <w:i/>
                <w:iCs/>
                <w:color w:val="555555"/>
                <w:sz w:val="20"/>
                <w:szCs w:val="20"/>
              </w:rPr>
              <w:t>Connect this business model to the bank's declared strategic objectives. If it does not advance at least 2–3 strategic priorities, the investment case is weak.</w:t>
            </w:r>
          </w:p>
          <w:p w14:paraId="6039302D">
            <w:pPr>
              <w:spacing w:before="30" w:after="30"/>
            </w:pPr>
            <w:r>
              <w:rPr>
                <w:i/>
                <w:iCs/>
                <w:color w:val="555555"/>
                <w:sz w:val="20"/>
                <w:szCs w:val="20"/>
              </w:rPr>
              <w:t>Quantify impact wherever possible. 'Will grow deposits' is weak. 'Will add USD 2M in CASA deposits in Year 1 from a previously unbanked segment' is strong.</w:t>
            </w:r>
          </w:p>
        </w:tc>
      </w:tr>
    </w:tbl>
    <w:p w14:paraId="7679844B">
      <w:pPr>
        <w:spacing w:line="120" w:lineRule="auto"/>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2400"/>
        <w:gridCol w:w="1960"/>
      </w:tblGrid>
      <w:tr w14:paraId="5716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C234E81">
            <w:pPr>
              <w:jc w:val="center"/>
            </w:pPr>
            <w:r>
              <w:rPr>
                <w:b/>
                <w:bCs/>
                <w:color w:val="FFFFFF"/>
                <w:sz w:val="19"/>
                <w:szCs w:val="19"/>
              </w:rPr>
              <w:t>Strategic Objective</w:t>
            </w:r>
          </w:p>
        </w:tc>
        <w:tc>
          <w:tcPr>
            <w:tcW w:w="26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06819E3">
            <w:pPr>
              <w:jc w:val="center"/>
            </w:pPr>
            <w:r>
              <w:rPr>
                <w:b/>
                <w:bCs/>
                <w:color w:val="FFFFFF"/>
                <w:sz w:val="19"/>
                <w:szCs w:val="19"/>
              </w:rPr>
              <w:t>How This Model Contributes</w:t>
            </w:r>
          </w:p>
        </w:tc>
        <w:tc>
          <w:tcPr>
            <w:tcW w:w="2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24A5C8D">
            <w:pPr>
              <w:jc w:val="center"/>
            </w:pPr>
            <w:r>
              <w:rPr>
                <w:b/>
                <w:bCs/>
                <w:color w:val="FFFFFF"/>
                <w:sz w:val="19"/>
                <w:szCs w:val="19"/>
              </w:rPr>
              <w:t>Quantified Impact (Year 3)</w:t>
            </w:r>
          </w:p>
        </w:tc>
        <w:tc>
          <w:tcPr>
            <w:tcW w:w="19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17082817">
            <w:pPr>
              <w:jc w:val="center"/>
            </w:pPr>
            <w:r>
              <w:rPr>
                <w:b/>
                <w:bCs/>
                <w:color w:val="FFFFFF"/>
                <w:sz w:val="19"/>
                <w:szCs w:val="19"/>
              </w:rPr>
              <w:t>Confidence</w:t>
            </w:r>
          </w:p>
        </w:tc>
      </w:tr>
      <w:tr w14:paraId="1F98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573348C">
            <w:r>
              <w:rPr>
                <w:color w:val="555555"/>
                <w:sz w:val="20"/>
                <w:szCs w:val="20"/>
              </w:rPr>
              <w:t>Increase Retail Deposits</w:t>
            </w:r>
          </w:p>
        </w:tc>
        <w:tc>
          <w:tcPr>
            <w:tcW w:w="2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6DE9700">
            <w:r>
              <w:rPr>
                <w:rFonts w:hint="default"/>
                <w:color w:val="555555"/>
                <w:sz w:val="20"/>
                <w:szCs w:val="20"/>
              </w:rPr>
              <w:t>Converts informal cash flows into daily transactional balances (CASA) from youth entrepreneurs and students using the account for business income and payments</w:t>
            </w:r>
          </w:p>
        </w:tc>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37A63B0">
            <w:r>
              <w:rPr>
                <w:rFonts w:hint="default"/>
                <w:color w:val="555555"/>
                <w:sz w:val="20"/>
                <w:szCs w:val="20"/>
              </w:rPr>
              <w:t>USD $4.5M – $6M additional CASA deposits</w:t>
            </w:r>
          </w:p>
        </w:tc>
        <w:tc>
          <w:tcPr>
            <w:tcW w:w="1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23A1D1A">
            <w:r>
              <w:rPr>
                <w:rFonts w:hint="default"/>
                <w:color w:val="555555"/>
                <w:sz w:val="20"/>
                <w:szCs w:val="20"/>
              </w:rPr>
              <w:t>Medium–High</w:t>
            </w:r>
          </w:p>
        </w:tc>
      </w:tr>
      <w:tr w14:paraId="309C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1EB8E46">
            <w:r>
              <w:rPr>
                <w:color w:val="555555"/>
                <w:sz w:val="20"/>
                <w:szCs w:val="20"/>
              </w:rPr>
              <w:t>Grow Loan Book</w:t>
            </w:r>
          </w:p>
        </w:tc>
        <w:tc>
          <w:tcPr>
            <w:tcW w:w="2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D1884CE">
            <w:r>
              <w:rPr>
                <w:rFonts w:hint="default"/>
                <w:color w:val="555555"/>
                <w:sz w:val="20"/>
                <w:szCs w:val="20"/>
              </w:rPr>
              <w:t>Enables micro-lending based on transaction history, starting with small ticket loans and scaling with customer activity</w:t>
            </w:r>
          </w:p>
        </w:tc>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F49E75B">
            <w:r>
              <w:rPr>
                <w:rFonts w:hint="default"/>
                <w:color w:val="555555"/>
                <w:sz w:val="20"/>
                <w:szCs w:val="20"/>
              </w:rPr>
              <w:t>USD $2M – $3M net new lending portfolio</w:t>
            </w:r>
          </w:p>
        </w:tc>
        <w:tc>
          <w:tcPr>
            <w:tcW w:w="1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6B2A206">
            <w:pPr>
              <w:rPr>
                <w:rFonts w:hint="default"/>
                <w:lang w:val="en-ZA"/>
              </w:rPr>
            </w:pPr>
            <w:r>
              <w:rPr>
                <w:rFonts w:hint="default"/>
                <w:color w:val="555555"/>
                <w:sz w:val="20"/>
                <w:szCs w:val="20"/>
                <w:lang w:val="en-ZA"/>
              </w:rPr>
              <w:t>[</w:t>
            </w:r>
            <w:r>
              <w:rPr>
                <w:color w:val="555555"/>
                <w:sz w:val="20"/>
                <w:szCs w:val="20"/>
              </w:rPr>
              <w:t>M</w:t>
            </w:r>
            <w:r>
              <w:rPr>
                <w:rFonts w:hint="default"/>
                <w:color w:val="555555"/>
                <w:sz w:val="20"/>
                <w:szCs w:val="20"/>
                <w:lang w:val="en-ZA"/>
              </w:rPr>
              <w:t>]</w:t>
            </w:r>
          </w:p>
        </w:tc>
      </w:tr>
      <w:tr w14:paraId="55FC3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551F9AB">
            <w:r>
              <w:rPr>
                <w:color w:val="555555"/>
                <w:sz w:val="20"/>
                <w:szCs w:val="20"/>
              </w:rPr>
              <w:t>Expand Digital Banking Adoption</w:t>
            </w:r>
          </w:p>
        </w:tc>
        <w:tc>
          <w:tcPr>
            <w:tcW w:w="2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5A93050">
            <w:r>
              <w:rPr>
                <w:rFonts w:hint="default"/>
                <w:color w:val="555555"/>
                <w:sz w:val="20"/>
                <w:szCs w:val="20"/>
              </w:rPr>
              <w:t>Drives onboarding through mobile-first channels (App + USSD) targeting digitally active Gen Z users</w:t>
            </w:r>
          </w:p>
        </w:tc>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C78219A">
            <w:r>
              <w:rPr>
                <w:rFonts w:hint="default"/>
                <w:color w:val="555555"/>
                <w:sz w:val="20"/>
                <w:szCs w:val="20"/>
              </w:rPr>
              <w:t>50,000+ new digital customers</w:t>
            </w:r>
          </w:p>
        </w:tc>
        <w:tc>
          <w:tcPr>
            <w:tcW w:w="1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970ADB2">
            <w:r>
              <w:rPr>
                <w:color w:val="555555"/>
                <w:sz w:val="20"/>
                <w:szCs w:val="20"/>
              </w:rPr>
              <w:t>[H]</w:t>
            </w:r>
          </w:p>
        </w:tc>
      </w:tr>
      <w:tr w14:paraId="4B19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FE1ECA6">
            <w:r>
              <w:rPr>
                <w:color w:val="555555"/>
                <w:sz w:val="20"/>
                <w:szCs w:val="20"/>
              </w:rPr>
              <w:t>Improve Financial Inclusion</w:t>
            </w:r>
          </w:p>
        </w:tc>
        <w:tc>
          <w:tcPr>
            <w:tcW w:w="2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5E1C00E">
            <w:r>
              <w:rPr>
                <w:rFonts w:hint="default"/>
                <w:color w:val="555555"/>
                <w:sz w:val="20"/>
                <w:szCs w:val="20"/>
              </w:rPr>
              <w:t>Brings unbanked informal earners into the formal banking system through simplified KYC and low-cost accounts</w:t>
            </w:r>
          </w:p>
        </w:tc>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F68A706">
            <w:r>
              <w:rPr>
                <w:rFonts w:hint="default"/>
                <w:color w:val="555555"/>
                <w:sz w:val="20"/>
                <w:szCs w:val="20"/>
              </w:rPr>
              <w:t>30,000 – 35,000 previously unbanked customers</w:t>
            </w:r>
          </w:p>
        </w:tc>
        <w:tc>
          <w:tcPr>
            <w:tcW w:w="1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788E7339">
            <w:r>
              <w:rPr>
                <w:color w:val="555555"/>
                <w:sz w:val="20"/>
                <w:szCs w:val="20"/>
              </w:rPr>
              <w:t>[H]</w:t>
            </w:r>
          </w:p>
        </w:tc>
      </w:tr>
      <w:tr w14:paraId="0424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100BEFF">
            <w:r>
              <w:rPr>
                <w:color w:val="555555"/>
                <w:sz w:val="20"/>
                <w:szCs w:val="20"/>
              </w:rPr>
              <w:t>Diversify Revenue Streams</w:t>
            </w:r>
          </w:p>
        </w:tc>
        <w:tc>
          <w:tcPr>
            <w:tcW w:w="26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37B8D2C">
            <w:r>
              <w:rPr>
                <w:rFonts w:hint="default"/>
                <w:color w:val="555555"/>
                <w:sz w:val="20"/>
                <w:szCs w:val="20"/>
              </w:rPr>
              <w:t>Generates non-interest income from transaction fees, merchant payments, and ecosystem partnerships</w:t>
            </w:r>
          </w:p>
        </w:tc>
        <w:tc>
          <w:tcPr>
            <w:tcW w:w="2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A1C2C9C">
            <w:r>
              <w:rPr>
                <w:rFonts w:hint="default"/>
                <w:color w:val="555555"/>
                <w:sz w:val="20"/>
                <w:szCs w:val="20"/>
              </w:rPr>
              <w:t>USD $500,000 – $800,000 annual non-interest income</w:t>
            </w:r>
          </w:p>
        </w:tc>
        <w:tc>
          <w:tcPr>
            <w:tcW w:w="1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58DEF58">
            <w:r>
              <w:rPr>
                <w:color w:val="555555"/>
                <w:sz w:val="20"/>
                <w:szCs w:val="20"/>
              </w:rPr>
              <w:t>[M]</w:t>
            </w:r>
          </w:p>
        </w:tc>
      </w:tr>
      <w:tr w14:paraId="6C82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E708F56">
            <w:r>
              <w:rPr>
                <w:color w:val="555555"/>
                <w:sz w:val="20"/>
                <w:szCs w:val="20"/>
              </w:rPr>
              <w:t>Enter New Market Segment</w:t>
            </w:r>
          </w:p>
        </w:tc>
        <w:tc>
          <w:tcPr>
            <w:tcW w:w="26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F1C9225">
            <w:r>
              <w:rPr>
                <w:rFonts w:hint="default"/>
                <w:color w:val="555555"/>
                <w:sz w:val="20"/>
                <w:szCs w:val="20"/>
              </w:rPr>
              <w:t>Establishes AFC as a primary bank for Gen Z entrepreneurs and informal traders, a largely underserved segment</w:t>
            </w:r>
          </w:p>
        </w:tc>
        <w:tc>
          <w:tcPr>
            <w:tcW w:w="2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1081218">
            <w:r>
              <w:rPr>
                <w:rFonts w:hint="default"/>
                <w:color w:val="555555"/>
                <w:sz w:val="20"/>
                <w:szCs w:val="20"/>
              </w:rPr>
              <w:t>~4–6% market share of target segment (~1.2M SAM)</w:t>
            </w:r>
          </w:p>
        </w:tc>
        <w:tc>
          <w:tcPr>
            <w:tcW w:w="1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BE32CE8">
            <w:r>
              <w:rPr>
                <w:color w:val="555555"/>
                <w:sz w:val="20"/>
                <w:szCs w:val="20"/>
              </w:rPr>
              <w:t>[M]</w:t>
            </w:r>
          </w:p>
        </w:tc>
      </w:tr>
    </w:tbl>
    <w:p w14:paraId="1D871677">
      <w:pPr>
        <w:pStyle w:val="2"/>
        <w:pageBreakBefore/>
        <w:spacing w:before="0"/>
      </w:pPr>
      <w:bookmarkStart w:id="40" w:name="_Toc224559766"/>
      <w:r>
        <w:rPr>
          <w:color w:val="2E6DA4"/>
        </w:rPr>
        <w:t xml:space="preserve">16 </w:t>
      </w:r>
      <w:r>
        <w:t>Scalability Potential</w:t>
      </w:r>
      <w:bookmarkEnd w:id="40"/>
    </w:p>
    <w:p w14:paraId="31BAE9D5">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69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3B174729">
            <w:pPr>
              <w:spacing w:before="60" w:after="80"/>
            </w:pPr>
            <w:r>
              <w:rPr>
                <w:b/>
                <w:bCs/>
                <w:color w:val="1B3A5C"/>
              </w:rPr>
              <w:t>Analyst Guidance</w:t>
            </w:r>
          </w:p>
          <w:p w14:paraId="68215FE3">
            <w:pPr>
              <w:spacing w:before="30" w:after="30"/>
            </w:pPr>
            <w:r>
              <w:rPr>
                <w:i/>
                <w:iCs/>
                <w:color w:val="555555"/>
                <w:sz w:val="20"/>
                <w:szCs w:val="20"/>
              </w:rPr>
              <w:t>A strong scalability story transforms a good product into a platform. Think about: what additional products can be cross-sold to this customer base? What other segments benefit from the same infrastructure built for Phase 1?</w:t>
            </w:r>
          </w:p>
        </w:tc>
      </w:tr>
    </w:tbl>
    <w:p w14:paraId="5D1D5A0C">
      <w:pPr>
        <w:spacing w:line="120" w:lineRule="auto"/>
      </w:pPr>
    </w:p>
    <w:p w14:paraId="7AC02EBC">
      <w:pPr>
        <w:pStyle w:val="3"/>
      </w:pPr>
      <w:bookmarkStart w:id="41" w:name="_Toc224559767"/>
      <w:r>
        <w:t>16.1 Scaling Dimensions</w:t>
      </w:r>
      <w:bookmarkEnd w:id="41"/>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000"/>
        <w:gridCol w:w="1800"/>
        <w:gridCol w:w="1960"/>
      </w:tblGrid>
      <w:tr w14:paraId="261F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1F39766">
            <w:pPr>
              <w:jc w:val="center"/>
            </w:pPr>
            <w:r>
              <w:rPr>
                <w:b/>
                <w:bCs/>
                <w:color w:val="FFFFFF"/>
                <w:sz w:val="19"/>
                <w:szCs w:val="19"/>
              </w:rPr>
              <w:t>Dimension</w:t>
            </w:r>
          </w:p>
        </w:tc>
        <w:tc>
          <w:tcPr>
            <w:tcW w:w="18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891D08F">
            <w:pPr>
              <w:jc w:val="center"/>
            </w:pPr>
            <w:r>
              <w:rPr>
                <w:b/>
                <w:bCs/>
                <w:color w:val="FFFFFF"/>
                <w:sz w:val="19"/>
                <w:szCs w:val="19"/>
              </w:rPr>
              <w:t>Current Scope (Pilot)</w:t>
            </w:r>
          </w:p>
        </w:tc>
        <w:tc>
          <w:tcPr>
            <w:tcW w:w="20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C5A9A75">
            <w:pPr>
              <w:jc w:val="center"/>
            </w:pPr>
            <w:r>
              <w:rPr>
                <w:b/>
                <w:bCs/>
                <w:color w:val="FFFFFF"/>
                <w:sz w:val="19"/>
                <w:szCs w:val="19"/>
              </w:rPr>
              <w:t>Scale-Up Opportunity</w:t>
            </w:r>
          </w:p>
        </w:tc>
        <w:tc>
          <w:tcPr>
            <w:tcW w:w="18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35D20CC">
            <w:pPr>
              <w:jc w:val="center"/>
            </w:pPr>
            <w:r>
              <w:rPr>
                <w:b/>
                <w:bCs/>
                <w:color w:val="FFFFFF"/>
                <w:sz w:val="19"/>
                <w:szCs w:val="19"/>
              </w:rPr>
              <w:t>Key Enabler</w:t>
            </w:r>
          </w:p>
        </w:tc>
        <w:tc>
          <w:tcPr>
            <w:tcW w:w="19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27F0E59">
            <w:pPr>
              <w:jc w:val="center"/>
            </w:pPr>
            <w:r>
              <w:rPr>
                <w:b/>
                <w:bCs/>
                <w:color w:val="FFFFFF"/>
                <w:sz w:val="19"/>
                <w:szCs w:val="19"/>
              </w:rPr>
              <w:t>Timeline</w:t>
            </w:r>
          </w:p>
        </w:tc>
      </w:tr>
      <w:tr w14:paraId="654EC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F6CC1EF">
            <w:r>
              <w:rPr>
                <w:color w:val="555555"/>
                <w:sz w:val="20"/>
                <w:szCs w:val="20"/>
              </w:rPr>
              <w:t>Geographic Reach</w:t>
            </w:r>
          </w:p>
        </w:tc>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FFB52ED">
            <w:r>
              <w:rPr>
                <w:rFonts w:hint="default"/>
                <w:color w:val="555555"/>
                <w:sz w:val="20"/>
                <w:szCs w:val="20"/>
              </w:rPr>
              <w:t>Harare + Bulawayo (urban pilot markets)</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DD6E532">
            <w:r>
              <w:rPr>
                <w:rFonts w:hint="default"/>
                <w:color w:val="555555"/>
                <w:sz w:val="20"/>
                <w:szCs w:val="20"/>
              </w:rPr>
              <w:t>National rollout across all provinces, including peri-urban and high-density informal trading zones</w:t>
            </w:r>
          </w:p>
        </w:tc>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D3AA019">
            <w:r>
              <w:rPr>
                <w:rFonts w:hint="default"/>
                <w:color w:val="555555"/>
                <w:sz w:val="20"/>
                <w:szCs w:val="20"/>
              </w:rPr>
              <w:t>Agent network expansion, digital onboarding (USSD + App)</w:t>
            </w:r>
          </w:p>
        </w:tc>
        <w:tc>
          <w:tcPr>
            <w:tcW w:w="1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831C9D6">
            <w:r>
              <w:rPr>
                <w:color w:val="555555"/>
                <w:sz w:val="20"/>
                <w:szCs w:val="20"/>
              </w:rPr>
              <w:t>[Year 2–3]</w:t>
            </w:r>
          </w:p>
        </w:tc>
      </w:tr>
      <w:tr w14:paraId="5CD8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70E232D">
            <w:r>
              <w:rPr>
                <w:color w:val="555555"/>
                <w:sz w:val="20"/>
                <w:szCs w:val="20"/>
              </w:rPr>
              <w:t>Customer Segment Breadth</w:t>
            </w:r>
          </w:p>
        </w:tc>
        <w:tc>
          <w:tcPr>
            <w:tcW w:w="1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D7ADDB4">
            <w:r>
              <w:rPr>
                <w:rFonts w:hint="default"/>
                <w:color w:val="555555"/>
                <w:sz w:val="20"/>
                <w:szCs w:val="20"/>
              </w:rPr>
              <w:t>University students and campus-based hustlers</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6CD9A86">
            <w:r>
              <w:rPr>
                <w:rFonts w:hint="default"/>
                <w:color w:val="555555"/>
                <w:sz w:val="20"/>
                <w:szCs w:val="20"/>
              </w:rPr>
              <w:t>Expansion to non-student youth entrepreneurs, informal traders, gig workers, and SMEs</w:t>
            </w:r>
          </w:p>
        </w:tc>
        <w:tc>
          <w:tcPr>
            <w:tcW w:w="1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9D9B2C0">
            <w:r>
              <w:rPr>
                <w:rFonts w:hint="default"/>
                <w:color w:val="555555"/>
                <w:sz w:val="20"/>
                <w:szCs w:val="20"/>
              </w:rPr>
              <w:t>Product bundling (Hustler → SME account), targeted marketing</w:t>
            </w:r>
          </w:p>
        </w:tc>
        <w:tc>
          <w:tcPr>
            <w:tcW w:w="1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2CE5A6C">
            <w:r>
              <w:rPr>
                <w:color w:val="555555"/>
                <w:sz w:val="20"/>
                <w:szCs w:val="20"/>
              </w:rPr>
              <w:t>[Year 2]</w:t>
            </w:r>
          </w:p>
        </w:tc>
      </w:tr>
      <w:tr w14:paraId="1680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F49B0ED">
            <w:r>
              <w:rPr>
                <w:color w:val="555555"/>
                <w:sz w:val="20"/>
                <w:szCs w:val="20"/>
              </w:rPr>
              <w:t>Product Depth</w:t>
            </w:r>
          </w:p>
        </w:tc>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2BD709D">
            <w:r>
              <w:rPr>
                <w:rFonts w:hint="default"/>
                <w:color w:val="555555"/>
                <w:sz w:val="20"/>
                <w:szCs w:val="20"/>
              </w:rPr>
              <w:t>Core transactional account (payments + basic merchant tools)</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FBFD218">
            <w:r>
              <w:rPr>
                <w:rFonts w:hint="default"/>
                <w:color w:val="555555"/>
                <w:sz w:val="20"/>
                <w:szCs w:val="20"/>
              </w:rPr>
              <w:t>Full financial suite including micro-savings, micro-loans, insurance, and business tools (invoicing, analytics)</w:t>
            </w:r>
          </w:p>
        </w:tc>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0EF8AD8">
            <w:r>
              <w:rPr>
                <w:rFonts w:hint="default"/>
                <w:color w:val="555555"/>
                <w:sz w:val="20"/>
                <w:szCs w:val="20"/>
              </w:rPr>
              <w:t>Technology investment (credit scoring, product modules)</w:t>
            </w:r>
          </w:p>
        </w:tc>
        <w:tc>
          <w:tcPr>
            <w:tcW w:w="1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7912B35">
            <w:r>
              <w:rPr>
                <w:color w:val="555555"/>
                <w:sz w:val="20"/>
                <w:szCs w:val="20"/>
              </w:rPr>
              <w:t>[Year 2–3]</w:t>
            </w:r>
          </w:p>
        </w:tc>
      </w:tr>
      <w:tr w14:paraId="6FC0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DABF6A9">
            <w:r>
              <w:rPr>
                <w:color w:val="555555"/>
                <w:sz w:val="20"/>
                <w:szCs w:val="20"/>
              </w:rPr>
              <w:t>Ecosystem Participation</w:t>
            </w:r>
          </w:p>
        </w:tc>
        <w:tc>
          <w:tcPr>
            <w:tcW w:w="1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3E9114B">
            <w:r>
              <w:rPr>
                <w:rFonts w:hint="default"/>
                <w:color w:val="555555"/>
                <w:sz w:val="20"/>
                <w:szCs w:val="20"/>
              </w:rPr>
              <w:t>Standalone account with limited merchant integration</w:t>
            </w:r>
          </w:p>
        </w:tc>
        <w:tc>
          <w:tcPr>
            <w:tcW w:w="20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C8CB51A">
            <w:r>
              <w:rPr>
                <w:rFonts w:hint="default"/>
                <w:color w:val="555555"/>
                <w:sz w:val="20"/>
                <w:szCs w:val="20"/>
              </w:rPr>
              <w:t>Full ecosystem including Creator Wallet, Campus Merchant Network, Squad Savings, and third-party platforms</w:t>
            </w:r>
          </w:p>
        </w:tc>
        <w:tc>
          <w:tcPr>
            <w:tcW w:w="18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4FA3887">
            <w:r>
              <w:rPr>
                <w:rFonts w:hint="default"/>
                <w:color w:val="555555"/>
                <w:sz w:val="20"/>
                <w:szCs w:val="20"/>
              </w:rPr>
              <w:t>API strategy, partnership integrations</w:t>
            </w:r>
          </w:p>
        </w:tc>
        <w:tc>
          <w:tcPr>
            <w:tcW w:w="19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5AED8AE">
            <w:r>
              <w:rPr>
                <w:color w:val="555555"/>
                <w:sz w:val="20"/>
                <w:szCs w:val="20"/>
              </w:rPr>
              <w:t>[Year 3–5]</w:t>
            </w:r>
          </w:p>
        </w:tc>
      </w:tr>
      <w:tr w14:paraId="7B5AE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8DF397E">
            <w:r>
              <w:rPr>
                <w:color w:val="555555"/>
                <w:sz w:val="20"/>
                <w:szCs w:val="20"/>
              </w:rPr>
              <w:t>Cross-Border / Regional</w:t>
            </w:r>
          </w:p>
        </w:tc>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4F1A89D">
            <w:r>
              <w:rPr>
                <w:color w:val="555555"/>
                <w:sz w:val="20"/>
                <w:szCs w:val="20"/>
              </w:rPr>
              <w:t>[Zimbabwe only]</w:t>
            </w:r>
          </w:p>
        </w:tc>
        <w:tc>
          <w:tcPr>
            <w:tcW w:w="20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147DA6C">
            <w:r>
              <w:rPr>
                <w:rFonts w:hint="default"/>
                <w:color w:val="555555"/>
                <w:sz w:val="20"/>
                <w:szCs w:val="20"/>
              </w:rPr>
              <w:t>Expansion into SADC region (e.g. Zambia, Malawi, South Africa corridors) targeting cross-border traders and diaspora-linked youth</w:t>
            </w:r>
          </w:p>
        </w:tc>
        <w:tc>
          <w:tcPr>
            <w:tcW w:w="18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FB971A7">
            <w:r>
              <w:rPr>
                <w:rFonts w:hint="default"/>
                <w:color w:val="555555"/>
                <w:sz w:val="20"/>
                <w:szCs w:val="20"/>
              </w:rPr>
              <w:t>Regulatory passporting, regional payment integrations</w:t>
            </w:r>
          </w:p>
        </w:tc>
        <w:tc>
          <w:tcPr>
            <w:tcW w:w="19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ECC9902">
            <w:r>
              <w:rPr>
                <w:color w:val="555555"/>
                <w:sz w:val="20"/>
                <w:szCs w:val="20"/>
              </w:rPr>
              <w:t>[Year 4–5]</w:t>
            </w:r>
          </w:p>
        </w:tc>
      </w:tr>
    </w:tbl>
    <w:p w14:paraId="735A256B">
      <w:pPr>
        <w:spacing w:line="120" w:lineRule="auto"/>
      </w:pPr>
    </w:p>
    <w:p w14:paraId="13E2DEBE">
      <w:pPr>
        <w:pStyle w:val="2"/>
        <w:pageBreakBefore/>
        <w:spacing w:before="0"/>
      </w:pPr>
      <w:bookmarkStart w:id="42" w:name="_Toc224559768"/>
      <w:r>
        <w:rPr>
          <w:color w:val="2E6DA4"/>
        </w:rPr>
        <w:t xml:space="preserve">17  </w:t>
      </w:r>
      <w:r>
        <w:t>Success Metrics (KPIs)</w:t>
      </w:r>
      <w:bookmarkEnd w:id="42"/>
    </w:p>
    <w:p w14:paraId="43BBF488">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7C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3B1D6334">
            <w:pPr>
              <w:spacing w:before="60" w:after="80"/>
            </w:pPr>
            <w:r>
              <w:rPr>
                <w:b/>
                <w:bCs/>
                <w:color w:val="1B3A5C"/>
              </w:rPr>
              <w:t>Analyst Guidance</w:t>
            </w:r>
          </w:p>
          <w:p w14:paraId="0E597F9A">
            <w:pPr>
              <w:spacing w:before="30" w:after="30"/>
            </w:pPr>
            <w:r>
              <w:rPr>
                <w:i/>
                <w:iCs/>
                <w:color w:val="555555"/>
                <w:sz w:val="20"/>
                <w:szCs w:val="20"/>
              </w:rPr>
              <w:t>KPIs must be SMART: Specific, Measurable, Achievable, Relevant, Time-bound. Include leading indicators (activity metrics) and lagging indicators (financial outcomes).</w:t>
            </w:r>
          </w:p>
          <w:p w14:paraId="65718B5D">
            <w:pPr>
              <w:spacing w:before="30" w:after="30"/>
            </w:pPr>
            <w:r>
              <w:rPr>
                <w:i/>
                <w:iCs/>
                <w:color w:val="555555"/>
                <w:sz w:val="20"/>
                <w:szCs w:val="20"/>
              </w:rPr>
              <w:t>Define measurement frequency, data source, and responsible owner for each KPI. KPIs without owners are not managed.</w:t>
            </w:r>
          </w:p>
        </w:tc>
      </w:tr>
    </w:tbl>
    <w:p w14:paraId="73019433">
      <w:pPr>
        <w:spacing w:line="120" w:lineRule="auto"/>
      </w:pPr>
    </w:p>
    <w:tbl>
      <w:tblPr>
        <w:tblStyle w:val="10"/>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3"/>
        <w:gridCol w:w="1546"/>
        <w:gridCol w:w="1537"/>
        <w:gridCol w:w="1059"/>
        <w:gridCol w:w="1259"/>
        <w:gridCol w:w="1525"/>
        <w:gridCol w:w="981"/>
      </w:tblGrid>
      <w:tr w14:paraId="73E2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72"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11DA6C05">
            <w:pPr>
              <w:jc w:val="center"/>
            </w:pPr>
            <w:r>
              <w:rPr>
                <w:b/>
                <w:bCs/>
                <w:color w:val="FFFFFF"/>
                <w:sz w:val="19"/>
                <w:szCs w:val="19"/>
              </w:rPr>
              <w:t>KPI</w:t>
            </w:r>
          </w:p>
        </w:tc>
        <w:tc>
          <w:tcPr>
            <w:tcW w:w="1581"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D128009">
            <w:pPr>
              <w:jc w:val="center"/>
            </w:pPr>
            <w:r>
              <w:rPr>
                <w:b/>
                <w:bCs/>
                <w:color w:val="FFFFFF"/>
                <w:sz w:val="19"/>
                <w:szCs w:val="19"/>
              </w:rPr>
              <w:t>Category</w:t>
            </w:r>
          </w:p>
        </w:tc>
        <w:tc>
          <w:tcPr>
            <w:tcW w:w="114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9EBB065">
            <w:pPr>
              <w:jc w:val="center"/>
            </w:pPr>
            <w:r>
              <w:rPr>
                <w:b/>
                <w:bCs/>
                <w:color w:val="FFFFFF"/>
                <w:sz w:val="19"/>
                <w:szCs w:val="19"/>
              </w:rPr>
              <w:t>Target: Pilot (6 mo)</w:t>
            </w:r>
          </w:p>
        </w:tc>
        <w:tc>
          <w:tcPr>
            <w:tcW w:w="1036"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1E187915">
            <w:pPr>
              <w:jc w:val="center"/>
            </w:pPr>
            <w:r>
              <w:rPr>
                <w:b/>
                <w:bCs/>
                <w:color w:val="FFFFFF"/>
                <w:sz w:val="19"/>
                <w:szCs w:val="19"/>
              </w:rPr>
              <w:t>Target: Year 1</w:t>
            </w:r>
          </w:p>
        </w:tc>
        <w:tc>
          <w:tcPr>
            <w:tcW w:w="1036"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AE2176C">
            <w:pPr>
              <w:jc w:val="center"/>
            </w:pPr>
            <w:r>
              <w:rPr>
                <w:b/>
                <w:bCs/>
                <w:color w:val="FFFFFF"/>
                <w:sz w:val="19"/>
                <w:szCs w:val="19"/>
              </w:rPr>
              <w:t>Target: Year 3</w:t>
            </w:r>
          </w:p>
        </w:tc>
        <w:tc>
          <w:tcPr>
            <w:tcW w:w="1559"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51961DFD">
            <w:pPr>
              <w:jc w:val="center"/>
            </w:pPr>
            <w:r>
              <w:rPr>
                <w:b/>
                <w:bCs/>
                <w:color w:val="FFFFFF"/>
                <w:sz w:val="19"/>
                <w:szCs w:val="19"/>
              </w:rPr>
              <w:t>Measurement Source</w:t>
            </w:r>
          </w:p>
        </w:tc>
        <w:tc>
          <w:tcPr>
            <w:tcW w:w="1036"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57A7E57">
            <w:pPr>
              <w:jc w:val="center"/>
            </w:pPr>
            <w:r>
              <w:rPr>
                <w:b/>
                <w:bCs/>
                <w:color w:val="FFFFFF"/>
                <w:sz w:val="19"/>
                <w:szCs w:val="19"/>
              </w:rPr>
              <w:t>Owner</w:t>
            </w:r>
          </w:p>
        </w:tc>
      </w:tr>
      <w:tr w14:paraId="5640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2"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5E0BAD8">
            <w:r>
              <w:rPr>
                <w:color w:val="555555"/>
                <w:sz w:val="20"/>
                <w:szCs w:val="20"/>
              </w:rPr>
              <w:t>New Customers Acquired</w:t>
            </w:r>
          </w:p>
        </w:tc>
        <w:tc>
          <w:tcPr>
            <w:tcW w:w="1581"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6683A4D">
            <w:r>
              <w:rPr>
                <w:color w:val="555555"/>
                <w:sz w:val="20"/>
                <w:szCs w:val="20"/>
              </w:rPr>
              <w:t>[Growth]</w:t>
            </w:r>
          </w:p>
        </w:tc>
        <w:tc>
          <w:tcPr>
            <w:tcW w:w="114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0C82C80">
            <w:r>
              <w:rPr>
                <w:rFonts w:hint="default"/>
                <w:color w:val="555555"/>
                <w:sz w:val="20"/>
                <w:szCs w:val="20"/>
                <w:lang w:val="en-ZA"/>
              </w:rPr>
              <w:t>3,000</w:t>
            </w:r>
          </w:p>
        </w:tc>
        <w:tc>
          <w:tcPr>
            <w:tcW w:w="103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0C51473">
            <w:pPr>
              <w:rPr>
                <w:rFonts w:hint="default"/>
                <w:lang w:val="en-ZA"/>
              </w:rPr>
            </w:pPr>
            <w:r>
              <w:rPr>
                <w:rFonts w:hint="default"/>
                <w:lang w:val="en-ZA"/>
              </w:rPr>
              <w:t>6,000</w:t>
            </w:r>
          </w:p>
        </w:tc>
        <w:tc>
          <w:tcPr>
            <w:tcW w:w="103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60F730D">
            <w:r>
              <w:rPr>
                <w:rFonts w:hint="default"/>
                <w:color w:val="555555"/>
                <w:sz w:val="20"/>
                <w:szCs w:val="20"/>
                <w:lang w:val="en-ZA"/>
              </w:rPr>
              <w:t>50,000</w:t>
            </w:r>
          </w:p>
        </w:tc>
        <w:tc>
          <w:tcPr>
            <w:tcW w:w="1559"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4C5B318">
            <w:r>
              <w:rPr>
                <w:color w:val="555555"/>
                <w:sz w:val="20"/>
                <w:szCs w:val="20"/>
              </w:rPr>
              <w:t>[Core banking]</w:t>
            </w:r>
          </w:p>
        </w:tc>
        <w:tc>
          <w:tcPr>
            <w:tcW w:w="103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3ACE4E9">
            <w:r>
              <w:rPr>
                <w:color w:val="555555"/>
                <w:sz w:val="20"/>
                <w:szCs w:val="20"/>
              </w:rPr>
              <w:t>[_____]</w:t>
            </w:r>
          </w:p>
        </w:tc>
      </w:tr>
      <w:tr w14:paraId="52A6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2"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1568B02">
            <w:r>
              <w:rPr>
                <w:color w:val="555555"/>
                <w:sz w:val="20"/>
                <w:szCs w:val="20"/>
              </w:rPr>
              <w:t>Active Customer Rate (30-day)</w:t>
            </w:r>
          </w:p>
        </w:tc>
        <w:tc>
          <w:tcPr>
            <w:tcW w:w="1581"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C43A4A7">
            <w:r>
              <w:rPr>
                <w:color w:val="555555"/>
                <w:sz w:val="20"/>
                <w:szCs w:val="20"/>
              </w:rPr>
              <w:t>[Engagement]</w:t>
            </w:r>
          </w:p>
        </w:tc>
        <w:tc>
          <w:tcPr>
            <w:tcW w:w="114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03486DD5">
            <w:r>
              <w:rPr>
                <w:color w:val="555555"/>
                <w:sz w:val="20"/>
                <w:szCs w:val="20"/>
              </w:rPr>
              <w:t>[</w:t>
            </w:r>
            <w:r>
              <w:rPr>
                <w:rFonts w:hint="default"/>
                <w:color w:val="555555"/>
                <w:sz w:val="20"/>
                <w:szCs w:val="20"/>
                <w:lang w:val="en-ZA"/>
              </w:rPr>
              <w:t>50</w:t>
            </w:r>
            <w:r>
              <w:rPr>
                <w:color w:val="555555"/>
                <w:sz w:val="20"/>
                <w:szCs w:val="20"/>
              </w:rPr>
              <w:t>%]</w:t>
            </w:r>
          </w:p>
        </w:tc>
        <w:tc>
          <w:tcPr>
            <w:tcW w:w="1036"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51A4F5B">
            <w:r>
              <w:rPr>
                <w:color w:val="555555"/>
                <w:sz w:val="20"/>
                <w:szCs w:val="20"/>
              </w:rPr>
              <w:t>[</w:t>
            </w:r>
            <w:r>
              <w:rPr>
                <w:rFonts w:hint="default"/>
                <w:color w:val="555555"/>
                <w:sz w:val="20"/>
                <w:szCs w:val="20"/>
                <w:lang w:val="en-ZA"/>
              </w:rPr>
              <w:t>60</w:t>
            </w:r>
            <w:r>
              <w:rPr>
                <w:color w:val="555555"/>
                <w:sz w:val="20"/>
                <w:szCs w:val="20"/>
              </w:rPr>
              <w:t>%]</w:t>
            </w:r>
          </w:p>
        </w:tc>
        <w:tc>
          <w:tcPr>
            <w:tcW w:w="1036"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1244A033">
            <w:r>
              <w:rPr>
                <w:color w:val="555555"/>
                <w:sz w:val="20"/>
                <w:szCs w:val="20"/>
              </w:rPr>
              <w:t>[</w:t>
            </w:r>
            <w:r>
              <w:rPr>
                <w:rFonts w:hint="default"/>
                <w:color w:val="555555"/>
                <w:sz w:val="20"/>
                <w:szCs w:val="20"/>
                <w:lang w:val="en-ZA"/>
              </w:rPr>
              <w:t>70</w:t>
            </w:r>
            <w:r>
              <w:rPr>
                <w:color w:val="555555"/>
                <w:sz w:val="20"/>
                <w:szCs w:val="20"/>
              </w:rPr>
              <w:t>%]</w:t>
            </w:r>
          </w:p>
        </w:tc>
        <w:tc>
          <w:tcPr>
            <w:tcW w:w="1559"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23FB8E1">
            <w:r>
              <w:rPr>
                <w:color w:val="555555"/>
                <w:sz w:val="20"/>
                <w:szCs w:val="20"/>
              </w:rPr>
              <w:t>[Transaction data]</w:t>
            </w:r>
          </w:p>
        </w:tc>
        <w:tc>
          <w:tcPr>
            <w:tcW w:w="1036"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6055E935">
            <w:r>
              <w:rPr>
                <w:color w:val="555555"/>
                <w:sz w:val="20"/>
                <w:szCs w:val="20"/>
              </w:rPr>
              <w:t>[_____]</w:t>
            </w:r>
          </w:p>
        </w:tc>
      </w:tr>
      <w:tr w14:paraId="39A2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2"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48EEBAC">
            <w:r>
              <w:rPr>
                <w:color w:val="555555"/>
                <w:sz w:val="20"/>
                <w:szCs w:val="20"/>
              </w:rPr>
              <w:t>Digital Adoption Rate</w:t>
            </w:r>
          </w:p>
        </w:tc>
        <w:tc>
          <w:tcPr>
            <w:tcW w:w="1581"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C3A0B00">
            <w:r>
              <w:rPr>
                <w:color w:val="555555"/>
                <w:sz w:val="20"/>
                <w:szCs w:val="20"/>
              </w:rPr>
              <w:t>[Digital]</w:t>
            </w:r>
          </w:p>
        </w:tc>
        <w:tc>
          <w:tcPr>
            <w:tcW w:w="114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55630AA">
            <w:r>
              <w:rPr>
                <w:color w:val="555555"/>
                <w:sz w:val="20"/>
                <w:szCs w:val="20"/>
              </w:rPr>
              <w:t>[</w:t>
            </w:r>
            <w:r>
              <w:rPr>
                <w:rFonts w:hint="default"/>
                <w:color w:val="555555"/>
                <w:sz w:val="20"/>
                <w:szCs w:val="20"/>
                <w:lang w:val="en-ZA"/>
              </w:rPr>
              <w:t>80</w:t>
            </w:r>
            <w:r>
              <w:rPr>
                <w:color w:val="555555"/>
                <w:sz w:val="20"/>
                <w:szCs w:val="20"/>
              </w:rPr>
              <w:t>%]</w:t>
            </w:r>
          </w:p>
        </w:tc>
        <w:tc>
          <w:tcPr>
            <w:tcW w:w="103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83F266B">
            <w:r>
              <w:rPr>
                <w:color w:val="555555"/>
                <w:sz w:val="20"/>
                <w:szCs w:val="20"/>
              </w:rPr>
              <w:t>[</w:t>
            </w:r>
            <w:r>
              <w:rPr>
                <w:rFonts w:hint="default"/>
                <w:color w:val="555555"/>
                <w:sz w:val="20"/>
                <w:szCs w:val="20"/>
                <w:lang w:val="en-ZA"/>
              </w:rPr>
              <w:t>90</w:t>
            </w:r>
            <w:r>
              <w:rPr>
                <w:color w:val="555555"/>
                <w:sz w:val="20"/>
                <w:szCs w:val="20"/>
              </w:rPr>
              <w:t>%]</w:t>
            </w:r>
          </w:p>
        </w:tc>
        <w:tc>
          <w:tcPr>
            <w:tcW w:w="103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BA09173">
            <w:r>
              <w:rPr>
                <w:color w:val="555555"/>
                <w:sz w:val="20"/>
                <w:szCs w:val="20"/>
              </w:rPr>
              <w:t>[</w:t>
            </w:r>
            <w:r>
              <w:rPr>
                <w:rFonts w:hint="default"/>
                <w:color w:val="555555"/>
                <w:sz w:val="20"/>
                <w:szCs w:val="20"/>
                <w:lang w:val="en-ZA"/>
              </w:rPr>
              <w:t>95</w:t>
            </w:r>
            <w:r>
              <w:rPr>
                <w:color w:val="555555"/>
                <w:sz w:val="20"/>
                <w:szCs w:val="20"/>
              </w:rPr>
              <w:t>%]</w:t>
            </w:r>
          </w:p>
        </w:tc>
        <w:tc>
          <w:tcPr>
            <w:tcW w:w="1559"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04F677CD">
            <w:r>
              <w:rPr>
                <w:color w:val="555555"/>
                <w:sz w:val="20"/>
                <w:szCs w:val="20"/>
              </w:rPr>
              <w:t>[Channel data]</w:t>
            </w:r>
          </w:p>
        </w:tc>
        <w:tc>
          <w:tcPr>
            <w:tcW w:w="103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0596A90">
            <w:r>
              <w:rPr>
                <w:color w:val="555555"/>
                <w:sz w:val="20"/>
                <w:szCs w:val="20"/>
              </w:rPr>
              <w:t>[_____]</w:t>
            </w:r>
          </w:p>
        </w:tc>
      </w:tr>
      <w:tr w14:paraId="5E19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2"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BF45B80">
            <w:r>
              <w:rPr>
                <w:color w:val="555555"/>
                <w:sz w:val="20"/>
                <w:szCs w:val="20"/>
              </w:rPr>
              <w:t>Revenue Generated (USD)</w:t>
            </w:r>
          </w:p>
        </w:tc>
        <w:tc>
          <w:tcPr>
            <w:tcW w:w="1581"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DB9EC16">
            <w:r>
              <w:rPr>
                <w:color w:val="555555"/>
                <w:sz w:val="20"/>
                <w:szCs w:val="20"/>
              </w:rPr>
              <w:t>[Financial]</w:t>
            </w:r>
          </w:p>
        </w:tc>
        <w:tc>
          <w:tcPr>
            <w:tcW w:w="114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2DDA21F">
            <w:r>
              <w:rPr>
                <w:color w:val="555555"/>
                <w:sz w:val="20"/>
                <w:szCs w:val="20"/>
              </w:rPr>
              <w:t>[USD</w:t>
            </w:r>
            <w:r>
              <w:rPr>
                <w:rFonts w:hint="default"/>
                <w:color w:val="555555"/>
                <w:sz w:val="20"/>
                <w:szCs w:val="20"/>
                <w:lang w:val="en-ZA"/>
              </w:rPr>
              <w:t>120,000</w:t>
            </w:r>
            <w:r>
              <w:rPr>
                <w:color w:val="555555"/>
                <w:sz w:val="20"/>
                <w:szCs w:val="20"/>
              </w:rPr>
              <w:t>]</w:t>
            </w:r>
          </w:p>
        </w:tc>
        <w:tc>
          <w:tcPr>
            <w:tcW w:w="103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787EB09">
            <w:r>
              <w:rPr>
                <w:color w:val="555555"/>
                <w:sz w:val="20"/>
                <w:szCs w:val="20"/>
              </w:rPr>
              <w:t xml:space="preserve">[USD </w:t>
            </w:r>
            <w:r>
              <w:rPr>
                <w:rFonts w:hint="default"/>
                <w:color w:val="555555"/>
                <w:sz w:val="20"/>
                <w:szCs w:val="20"/>
                <w:lang w:val="en-ZA"/>
              </w:rPr>
              <w:t>370,000</w:t>
            </w:r>
            <w:r>
              <w:rPr>
                <w:color w:val="555555"/>
                <w:sz w:val="20"/>
                <w:szCs w:val="20"/>
              </w:rPr>
              <w:t>]</w:t>
            </w:r>
          </w:p>
        </w:tc>
        <w:tc>
          <w:tcPr>
            <w:tcW w:w="103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6723F02">
            <w:r>
              <w:rPr>
                <w:color w:val="555555"/>
                <w:sz w:val="20"/>
                <w:szCs w:val="20"/>
              </w:rPr>
              <w:t>[USD</w:t>
            </w:r>
            <w:r>
              <w:rPr>
                <w:rFonts w:hint="default"/>
                <w:color w:val="555555"/>
                <w:sz w:val="20"/>
                <w:szCs w:val="20"/>
                <w:lang w:val="en-ZA"/>
              </w:rPr>
              <w:t>1.5M</w:t>
            </w:r>
            <w:r>
              <w:rPr>
                <w:color w:val="555555"/>
                <w:sz w:val="20"/>
                <w:szCs w:val="20"/>
              </w:rPr>
              <w:t>]</w:t>
            </w:r>
          </w:p>
        </w:tc>
        <w:tc>
          <w:tcPr>
            <w:tcW w:w="1559"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3779440A">
            <w:r>
              <w:rPr>
                <w:color w:val="555555"/>
                <w:sz w:val="20"/>
                <w:szCs w:val="20"/>
              </w:rPr>
              <w:t>[Finance]</w:t>
            </w:r>
          </w:p>
        </w:tc>
        <w:tc>
          <w:tcPr>
            <w:tcW w:w="1036"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B73651D">
            <w:r>
              <w:rPr>
                <w:color w:val="555555"/>
                <w:sz w:val="20"/>
                <w:szCs w:val="20"/>
              </w:rPr>
              <w:t>[_____]</w:t>
            </w:r>
          </w:p>
        </w:tc>
      </w:tr>
    </w:tbl>
    <w:p w14:paraId="2FFCBB67">
      <w:pPr>
        <w:pStyle w:val="2"/>
        <w:pageBreakBefore/>
        <w:spacing w:before="0"/>
      </w:pPr>
      <w:bookmarkStart w:id="43" w:name="_Toc224559769"/>
      <w:r>
        <w:rPr>
          <w:color w:val="2E6DA4"/>
        </w:rPr>
        <w:t xml:space="preserve">18  </w:t>
      </w:r>
      <w:r>
        <w:t>Implementation Roadmap</w:t>
      </w:r>
      <w:bookmarkEnd w:id="43"/>
    </w:p>
    <w:p w14:paraId="0C8C3431">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52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6357C702">
            <w:pPr>
              <w:spacing w:before="60" w:after="80"/>
            </w:pPr>
            <w:r>
              <w:rPr>
                <w:b/>
                <w:bCs/>
                <w:color w:val="1B3A5C"/>
              </w:rPr>
              <w:t>Analyst Guidance</w:t>
            </w:r>
          </w:p>
          <w:p w14:paraId="2C1736B7">
            <w:pPr>
              <w:spacing w:before="30" w:after="30"/>
            </w:pPr>
            <w:r>
              <w:rPr>
                <w:i/>
                <w:iCs/>
                <w:color w:val="555555"/>
                <w:sz w:val="20"/>
                <w:szCs w:val="20"/>
              </w:rPr>
              <w:t>A 3-phase rollout is the standard for new financial products: Pilot → Regional → National. Each phase must have defined entry/exit criteria — what metrics must be achieved before advancing.</w:t>
            </w:r>
          </w:p>
          <w:p w14:paraId="3C85FFC9">
            <w:pPr>
              <w:spacing w:before="30" w:after="30"/>
            </w:pPr>
            <w:r>
              <w:rPr>
                <w:i/>
                <w:iCs/>
                <w:color w:val="555555"/>
                <w:sz w:val="20"/>
                <w:szCs w:val="20"/>
              </w:rPr>
              <w:t>Do not advance to Phase 2 without validating Phase 1 assumptions. Include a go/no-go review gate at the end of Phase 1.</w:t>
            </w:r>
          </w:p>
        </w:tc>
      </w:tr>
    </w:tbl>
    <w:p w14:paraId="3D788D21">
      <w:pPr>
        <w:spacing w:line="120" w:lineRule="auto"/>
      </w:pPr>
    </w:p>
    <w:tbl>
      <w:tblPr>
        <w:tblStyle w:val="10"/>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0"/>
        <w:gridCol w:w="1186"/>
        <w:gridCol w:w="1498"/>
        <w:gridCol w:w="2138"/>
        <w:gridCol w:w="1615"/>
        <w:gridCol w:w="2543"/>
      </w:tblGrid>
      <w:tr w14:paraId="5EA9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B519543">
            <w:pPr>
              <w:jc w:val="center"/>
            </w:pPr>
            <w:r>
              <w:rPr>
                <w:b/>
                <w:bCs/>
                <w:color w:val="FFFFFF"/>
                <w:sz w:val="19"/>
                <w:szCs w:val="19"/>
              </w:rPr>
              <w:t>Phase</w:t>
            </w:r>
          </w:p>
        </w:tc>
        <w:tc>
          <w:tcPr>
            <w:tcW w:w="1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745DACC4">
            <w:pPr>
              <w:jc w:val="center"/>
            </w:pPr>
            <w:r>
              <w:rPr>
                <w:b/>
                <w:bCs/>
                <w:color w:val="FFFFFF"/>
                <w:sz w:val="19"/>
                <w:szCs w:val="19"/>
              </w:rPr>
              <w:t>Duration</w:t>
            </w:r>
          </w:p>
        </w:tc>
        <w:tc>
          <w:tcPr>
            <w:tcW w:w="15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47E46254">
            <w:pPr>
              <w:jc w:val="center"/>
            </w:pPr>
            <w:r>
              <w:rPr>
                <w:b/>
                <w:bCs/>
                <w:color w:val="FFFFFF"/>
                <w:sz w:val="19"/>
                <w:szCs w:val="19"/>
              </w:rPr>
              <w:t>Geography</w:t>
            </w:r>
          </w:p>
        </w:tc>
        <w:tc>
          <w:tcPr>
            <w:tcW w:w="22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678C9783">
            <w:pPr>
              <w:jc w:val="center"/>
            </w:pPr>
            <w:r>
              <w:rPr>
                <w:b/>
                <w:bCs/>
                <w:color w:val="FFFFFF"/>
                <w:sz w:val="19"/>
                <w:szCs w:val="19"/>
              </w:rPr>
              <w:t>Key Activities</w:t>
            </w:r>
          </w:p>
        </w:tc>
        <w:tc>
          <w:tcPr>
            <w:tcW w:w="140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0D98B25E">
            <w:pPr>
              <w:jc w:val="center"/>
            </w:pPr>
            <w:r>
              <w:rPr>
                <w:b/>
                <w:bCs/>
                <w:color w:val="FFFFFF"/>
                <w:sz w:val="19"/>
                <w:szCs w:val="19"/>
              </w:rPr>
              <w:t>Target Customers</w:t>
            </w:r>
          </w:p>
        </w:tc>
        <w:tc>
          <w:tcPr>
            <w:tcW w:w="2660" w:type="dxa"/>
            <w:tcBorders>
              <w:top w:val="single" w:color="C7D8E8" w:sz="4" w:space="0"/>
              <w:left w:val="single" w:color="C7D8E8" w:sz="4" w:space="0"/>
              <w:bottom w:val="single" w:color="C7D8E8" w:sz="4" w:space="0"/>
              <w:right w:val="single" w:color="C7D8E8" w:sz="4" w:space="0"/>
            </w:tcBorders>
            <w:shd w:val="clear" w:color="auto" w:fill="1B3A5C"/>
            <w:tcMar>
              <w:top w:w="100" w:type="dxa"/>
              <w:left w:w="140" w:type="dxa"/>
              <w:bottom w:w="100" w:type="dxa"/>
              <w:right w:w="140" w:type="dxa"/>
            </w:tcMar>
            <w:vAlign w:val="center"/>
          </w:tcPr>
          <w:p w14:paraId="2CB7C060">
            <w:pPr>
              <w:jc w:val="center"/>
            </w:pPr>
            <w:r>
              <w:rPr>
                <w:b/>
                <w:bCs/>
                <w:color w:val="FFFFFF"/>
                <w:sz w:val="19"/>
                <w:szCs w:val="19"/>
              </w:rPr>
              <w:t>Exit Criteria</w:t>
            </w:r>
          </w:p>
        </w:tc>
      </w:tr>
      <w:tr w14:paraId="0003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11D5F96">
            <w:r>
              <w:rPr>
                <w:color w:val="555555"/>
                <w:sz w:val="20"/>
                <w:szCs w:val="20"/>
              </w:rPr>
              <w:t>Phase 1 — Pilot</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43441F0">
            <w:r>
              <w:rPr>
                <w:color w:val="555555"/>
                <w:sz w:val="20"/>
                <w:szCs w:val="20"/>
              </w:rPr>
              <w:t>[3–6 months]</w:t>
            </w:r>
          </w:p>
        </w:tc>
        <w:tc>
          <w:tcPr>
            <w:tcW w:w="15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1014AA7">
            <w:r>
              <w:rPr>
                <w:rFonts w:hint="default"/>
                <w:color w:val="555555"/>
                <w:sz w:val="20"/>
                <w:szCs w:val="20"/>
              </w:rPr>
              <w:t>Harare + 1 additional urban hub (e.g. Bulawayo)</w:t>
            </w:r>
          </w:p>
        </w:tc>
        <w:tc>
          <w:tcPr>
            <w:tcW w:w="2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365B70D">
            <w:r>
              <w:rPr>
                <w:rFonts w:hint="default"/>
                <w:color w:val="555555"/>
                <w:sz w:val="20"/>
                <w:szCs w:val="20"/>
              </w:rPr>
              <w:t>Product build (MVP), digital onboarding rollout, university MOUs, campus activations, initial agent onboarding, marketing launch</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6FB19AF8">
            <w:r>
              <w:rPr>
                <w:rFonts w:hint="default"/>
                <w:color w:val="555555"/>
                <w:sz w:val="20"/>
                <w:szCs w:val="20"/>
              </w:rPr>
              <w:t>3,000–5,000</w:t>
            </w:r>
          </w:p>
        </w:tc>
        <w:tc>
          <w:tcPr>
            <w:tcW w:w="26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6A9704F">
            <w:r>
              <w:rPr>
                <w:rFonts w:hint="default"/>
                <w:color w:val="555555"/>
                <w:sz w:val="20"/>
                <w:szCs w:val="20"/>
              </w:rPr>
              <w:t>Active rate ≥50%, CAC ≤$10, NPS &gt;40, system stability &gt;95% uptime, initial transaction volume targets met</w:t>
            </w:r>
          </w:p>
        </w:tc>
      </w:tr>
      <w:tr w14:paraId="7B17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DE97D2F">
            <w:r>
              <w:rPr>
                <w:color w:val="555555"/>
                <w:sz w:val="20"/>
                <w:szCs w:val="20"/>
              </w:rPr>
              <w:t>Phase 2 — Regional Expansion</w:t>
            </w:r>
          </w:p>
        </w:tc>
        <w:tc>
          <w:tcPr>
            <w:tcW w:w="1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555F25A2">
            <w:r>
              <w:rPr>
                <w:color w:val="555555"/>
                <w:sz w:val="20"/>
                <w:szCs w:val="20"/>
              </w:rPr>
              <w:t>[6–12 months]</w:t>
            </w:r>
          </w:p>
        </w:tc>
        <w:tc>
          <w:tcPr>
            <w:tcW w:w="15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59D641A">
            <w:r>
              <w:rPr>
                <w:rFonts w:hint="default"/>
                <w:color w:val="555555"/>
                <w:sz w:val="20"/>
                <w:szCs w:val="20"/>
              </w:rPr>
              <w:t>3–5 major provinces (Harare, Bulawayo, Midlands, Manicaland, Mashonaland East)</w:t>
            </w:r>
          </w:p>
        </w:tc>
        <w:tc>
          <w:tcPr>
            <w:tcW w:w="22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33660595">
            <w:r>
              <w:rPr>
                <w:rFonts w:hint="default"/>
                <w:color w:val="555555"/>
                <w:sz w:val="20"/>
                <w:szCs w:val="20"/>
              </w:rPr>
              <w:t>Agent network expansion, merchant onboarding (QR payments), product enhancements (savings + early credit pilots), partnership deepening, scaled marketing campaigns</w:t>
            </w:r>
          </w:p>
        </w:tc>
        <w:tc>
          <w:tcPr>
            <w:tcW w:w="140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2B155BFC">
            <w:r>
              <w:rPr>
                <w:rFonts w:hint="default"/>
                <w:color w:val="555555"/>
                <w:sz w:val="20"/>
                <w:szCs w:val="20"/>
              </w:rPr>
              <w:t>15,000–25,000</w:t>
            </w:r>
          </w:p>
        </w:tc>
        <w:tc>
          <w:tcPr>
            <w:tcW w:w="2660" w:type="dxa"/>
            <w:tcBorders>
              <w:top w:val="single" w:color="C7D8E8" w:sz="4" w:space="0"/>
              <w:left w:val="single" w:color="C7D8E8" w:sz="4" w:space="0"/>
              <w:bottom w:val="single" w:color="C7D8E8" w:sz="4" w:space="0"/>
              <w:right w:val="single" w:color="C7D8E8" w:sz="4" w:space="0"/>
            </w:tcBorders>
            <w:shd w:val="clear" w:color="auto" w:fill="EBF3FB"/>
            <w:tcMar>
              <w:top w:w="100" w:type="dxa"/>
              <w:left w:w="140" w:type="dxa"/>
              <w:bottom w:w="100" w:type="dxa"/>
              <w:right w:w="140" w:type="dxa"/>
            </w:tcMar>
          </w:tcPr>
          <w:p w14:paraId="4E9A0703">
            <w:r>
              <w:rPr>
                <w:rFonts w:hint="default"/>
                <w:color w:val="555555"/>
                <w:sz w:val="20"/>
                <w:szCs w:val="20"/>
              </w:rPr>
              <w:t>Break-even achieved, active rate ≥60%, NPS stable (&gt;45), early loan repayment performance (NPL &lt;8%) validated</w:t>
            </w:r>
          </w:p>
        </w:tc>
      </w:tr>
      <w:tr w14:paraId="08A34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4E255C0B">
            <w:r>
              <w:rPr>
                <w:color w:val="555555"/>
                <w:sz w:val="20"/>
                <w:szCs w:val="20"/>
              </w:rPr>
              <w:t>Phase 3 — National Rollout</w:t>
            </w:r>
          </w:p>
        </w:tc>
        <w:tc>
          <w:tcPr>
            <w:tcW w:w="1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B3BCFD5">
            <w:r>
              <w:rPr>
                <w:color w:val="555555"/>
                <w:sz w:val="20"/>
                <w:szCs w:val="20"/>
              </w:rPr>
              <w:t>[12–24 months]</w:t>
            </w:r>
          </w:p>
        </w:tc>
        <w:tc>
          <w:tcPr>
            <w:tcW w:w="15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13212D62">
            <w:r>
              <w:rPr>
                <w:rFonts w:hint="default"/>
                <w:color w:val="555555"/>
                <w:sz w:val="20"/>
                <w:szCs w:val="20"/>
              </w:rPr>
              <w:t>Nationwide (all provinces)</w:t>
            </w:r>
          </w:p>
        </w:tc>
        <w:tc>
          <w:tcPr>
            <w:tcW w:w="22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5652F866">
            <w:r>
              <w:rPr>
                <w:rFonts w:hint="default"/>
                <w:color w:val="555555"/>
                <w:sz w:val="20"/>
                <w:szCs w:val="20"/>
              </w:rPr>
              <w:t>Full-scale marketing, ecosystem integrations (creator wallet, merchant platforms), full micro-lending rollout, advanced analytics deployment</w:t>
            </w:r>
          </w:p>
        </w:tc>
        <w:tc>
          <w:tcPr>
            <w:tcW w:w="140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2F987E93">
            <w:r>
              <w:rPr>
                <w:color w:val="555555"/>
                <w:sz w:val="20"/>
                <w:szCs w:val="20"/>
              </w:rPr>
              <w:t>[50,000+]</w:t>
            </w:r>
          </w:p>
        </w:tc>
        <w:tc>
          <w:tcPr>
            <w:tcW w:w="2660" w:type="dxa"/>
            <w:tcBorders>
              <w:top w:val="single" w:color="C7D8E8" w:sz="4" w:space="0"/>
              <w:left w:val="single" w:color="C7D8E8" w:sz="4" w:space="0"/>
              <w:bottom w:val="single" w:color="C7D8E8" w:sz="4" w:space="0"/>
              <w:right w:val="single" w:color="C7D8E8" w:sz="4" w:space="0"/>
            </w:tcBorders>
            <w:shd w:val="clear" w:color="auto" w:fill="FFFFFF"/>
            <w:tcMar>
              <w:top w:w="100" w:type="dxa"/>
              <w:left w:w="140" w:type="dxa"/>
              <w:bottom w:w="100" w:type="dxa"/>
              <w:right w:w="140" w:type="dxa"/>
            </w:tcMar>
          </w:tcPr>
          <w:p w14:paraId="7423FBB3">
            <w:r>
              <w:rPr>
                <w:rFonts w:hint="default"/>
                <w:color w:val="555555"/>
                <w:sz w:val="20"/>
                <w:szCs w:val="20"/>
              </w:rPr>
              <w:t>LTV:CAC ≥ 3:1, sustained profitability, NPL &lt;10%, strong ecosystem engagement (merchant + transaction growth)</w:t>
            </w:r>
          </w:p>
        </w:tc>
      </w:tr>
    </w:tbl>
    <w:p w14:paraId="2369B77F">
      <w:pPr>
        <w:spacing w:line="120" w:lineRule="auto"/>
      </w:pPr>
    </w:p>
    <w:p w14:paraId="45EAACAD">
      <w:pPr>
        <w:pStyle w:val="2"/>
        <w:pageBreakBefore/>
        <w:spacing w:before="0"/>
      </w:pPr>
      <w:bookmarkStart w:id="44" w:name="_Toc224559771"/>
      <w:r>
        <w:rPr>
          <w:color w:val="2E6DA4"/>
        </w:rPr>
        <w:t xml:space="preserve">19 </w:t>
      </w:r>
      <w:r>
        <w:t>Strategic Recommendation</w:t>
      </w:r>
      <w:bookmarkEnd w:id="44"/>
    </w:p>
    <w:p w14:paraId="48C95135">
      <w:pPr>
        <w:pBdr>
          <w:bottom w:val="single" w:color="2E6DA4" w:sz="6" w:space="1"/>
        </w:pBdr>
        <w:spacing w:before="80" w:after="8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32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1568DC44">
            <w:pPr>
              <w:spacing w:before="60" w:after="80"/>
            </w:pPr>
            <w:r>
              <w:rPr>
                <w:b/>
                <w:bCs/>
                <w:color w:val="1B3A5C"/>
              </w:rPr>
              <w:t>Final Guidance</w:t>
            </w:r>
          </w:p>
          <w:p w14:paraId="06A676EB">
            <w:pPr>
              <w:spacing w:before="30" w:after="30"/>
            </w:pPr>
            <w:r>
              <w:rPr>
                <w:i/>
                <w:iCs/>
                <w:color w:val="555555"/>
                <w:sz w:val="20"/>
                <w:szCs w:val="20"/>
              </w:rPr>
              <w:t>The recommendation must be clear, direct, and evidence-based. Avoid 'it depends' conclusions. The strategy team is being paid for a point of view.</w:t>
            </w:r>
          </w:p>
          <w:p w14:paraId="4F048024">
            <w:pPr>
              <w:spacing w:before="30" w:after="30"/>
            </w:pPr>
            <w:r>
              <w:rPr>
                <w:i/>
                <w:iCs/>
                <w:color w:val="555555"/>
                <w:sz w:val="20"/>
                <w:szCs w:val="20"/>
              </w:rPr>
              <w:t>State the recommendation, the 3 primary reasons, the top 3 risks to that recommendation, and the conditions under which you would reverse it.</w:t>
            </w:r>
          </w:p>
        </w:tc>
      </w:tr>
    </w:tbl>
    <w:p w14:paraId="3F35ABE1">
      <w:pPr>
        <w:spacing w:line="120" w:lineRule="auto"/>
      </w:pPr>
    </w:p>
    <w:p w14:paraId="587CEAF0">
      <w:pPr>
        <w:pStyle w:val="3"/>
      </w:pPr>
      <w:bookmarkStart w:id="45" w:name="_Toc224559772"/>
      <w:r>
        <w:t>19.1 Recommendation</w:t>
      </w:r>
      <w:bookmarkEnd w:id="45"/>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BD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B3A5C" w:sz="12" w:space="0"/>
              <w:left w:val="single" w:color="1B3A5C" w:sz="12" w:space="0"/>
              <w:bottom w:val="single" w:color="1B3A5C" w:sz="12" w:space="0"/>
              <w:right w:val="single" w:color="1B3A5C" w:sz="12" w:space="0"/>
            </w:tcBorders>
            <w:shd w:val="clear" w:color="auto" w:fill="EBF3FB"/>
            <w:tcMar>
              <w:top w:w="120" w:type="dxa"/>
              <w:left w:w="160" w:type="dxa"/>
              <w:bottom w:w="120" w:type="dxa"/>
              <w:right w:w="160" w:type="dxa"/>
            </w:tcMar>
          </w:tcPr>
          <w:p w14:paraId="7E350D40">
            <w:pPr>
              <w:spacing w:after="80"/>
            </w:pPr>
            <w:r>
              <w:rPr>
                <w:b/>
                <w:bCs/>
                <w:color w:val="1B3A5C"/>
              </w:rPr>
              <w:t>RECOMMENDED DECISION:</w:t>
            </w:r>
            <w:r>
              <w:rPr>
                <w:color w:val="2E6DA4"/>
              </w:rPr>
              <w:t xml:space="preserve">  [ ] PROCEED    </w:t>
            </w:r>
          </w:p>
          <w:p w14:paraId="38CAE187">
            <w:pPr>
              <w:spacing w:before="80"/>
            </w:pPr>
            <w:r>
              <w:rPr>
                <w:rFonts w:hint="default"/>
                <w:i/>
                <w:iCs/>
                <w:color w:val="555555"/>
                <w:sz w:val="20"/>
                <w:szCs w:val="20"/>
              </w:rPr>
              <w:t>AFC should proceed with the phased rollout of the Hustler Account, beginning with a controlled urban pilot within the next 3–6 months, to capture Gen Z informal transaction flows and validate the model at scale.</w:t>
            </w:r>
          </w:p>
        </w:tc>
      </w:tr>
    </w:tbl>
    <w:p w14:paraId="79EECE2D">
      <w:pPr>
        <w:spacing w:line="120" w:lineRule="auto"/>
      </w:pPr>
    </w:p>
    <w:p w14:paraId="1468B584">
      <w:pPr>
        <w:pStyle w:val="3"/>
      </w:pPr>
      <w:bookmarkStart w:id="46" w:name="_Toc224559773"/>
      <w:r>
        <w:t>19.2 Three Primary Reasons</w:t>
      </w:r>
      <w:bookmarkEnd w:id="46"/>
    </w:p>
    <w:p w14:paraId="16C06D5B">
      <w:pPr>
        <w:pStyle w:val="18"/>
        <w:numPr>
          <w:ilvl w:val="0"/>
          <w:numId w:val="1"/>
        </w:numPr>
        <w:spacing w:before="40" w:after="40"/>
        <w:rPr>
          <w:rFonts w:hint="default"/>
          <w:i/>
          <w:iCs/>
          <w:color w:val="555555"/>
          <w:sz w:val="20"/>
          <w:szCs w:val="20"/>
        </w:rPr>
      </w:pPr>
      <w:r>
        <w:rPr>
          <w:color w:val="000000"/>
        </w:rPr>
        <w:t>Reason 1:</w:t>
      </w:r>
      <w:r>
        <w:rPr>
          <w:i/>
          <w:iCs/>
          <w:color w:val="555555"/>
          <w:sz w:val="20"/>
          <w:szCs w:val="20"/>
        </w:rPr>
        <w:t xml:space="preserve">  —</w:t>
      </w:r>
      <w:r>
        <w:rPr>
          <w:rFonts w:hint="default"/>
          <w:i/>
          <w:iCs/>
          <w:color w:val="555555"/>
          <w:sz w:val="20"/>
          <w:szCs w:val="20"/>
        </w:rPr>
        <w:t>Strong Market Opportunity (Financial Rationale):</w:t>
      </w:r>
    </w:p>
    <w:p w14:paraId="0B90967D">
      <w:pPr>
        <w:pStyle w:val="18"/>
        <w:numPr>
          <w:ilvl w:val="0"/>
          <w:numId w:val="1"/>
        </w:numPr>
        <w:spacing w:before="40" w:after="40"/>
      </w:pPr>
      <w:r>
        <w:rPr>
          <w:rFonts w:hint="default"/>
          <w:i/>
          <w:iCs/>
          <w:color w:val="555555"/>
          <w:sz w:val="20"/>
          <w:szCs w:val="20"/>
        </w:rPr>
        <w:t>The product targets a $1.5B+ annual transaction segment with ~1M underserved youth entrepreneurs, creating a high-volume revenue opportunity through transactions, merchant payments, and future lending.</w:t>
      </w:r>
    </w:p>
    <w:p w14:paraId="379132A7">
      <w:pPr>
        <w:pStyle w:val="18"/>
        <w:numPr>
          <w:ilvl w:val="0"/>
          <w:numId w:val="1"/>
        </w:numPr>
        <w:spacing w:before="40" w:after="40"/>
      </w:pPr>
      <w:r>
        <w:rPr>
          <w:color w:val="000000"/>
        </w:rPr>
        <w:t>Reason 2:</w:t>
      </w:r>
      <w:r>
        <w:rPr>
          <w:i/>
          <w:iCs/>
          <w:color w:val="555555"/>
          <w:sz w:val="20"/>
          <w:szCs w:val="20"/>
        </w:rPr>
        <w:t xml:space="preserve">  —</w:t>
      </w:r>
      <w:r>
        <w:rPr>
          <w:rFonts w:hint="default"/>
          <w:i/>
          <w:iCs/>
          <w:color w:val="555555"/>
          <w:sz w:val="20"/>
          <w:szCs w:val="20"/>
        </w:rPr>
        <w:t>Strategic Fit and Competitive Advantage:</w:t>
      </w:r>
      <w:r>
        <w:rPr>
          <w:rFonts w:hint="default"/>
          <w:i/>
          <w:iCs/>
          <w:color w:val="555555"/>
          <w:sz w:val="20"/>
          <w:szCs w:val="20"/>
          <w:lang w:val="en-ZA"/>
        </w:rPr>
        <w:t xml:space="preserve"> </w:t>
      </w:r>
      <w:r>
        <w:rPr>
          <w:rFonts w:hint="default"/>
          <w:i/>
          <w:iCs/>
          <w:color w:val="555555"/>
          <w:sz w:val="20"/>
          <w:szCs w:val="20"/>
        </w:rPr>
        <w:t>The Hustler Account directly supports AFC’s strategic priorities of financial inclusion, digital banking growth, and SME pipeline development, while differentiating through low-friction onboarding, youth-focused pricing, and business-oriented features.</w:t>
      </w:r>
    </w:p>
    <w:p w14:paraId="4C9C448F">
      <w:pPr>
        <w:pStyle w:val="18"/>
        <w:numPr>
          <w:ilvl w:val="0"/>
          <w:numId w:val="1"/>
        </w:numPr>
        <w:spacing w:before="40" w:after="40"/>
        <w:rPr>
          <w:i/>
          <w:iCs/>
          <w:color w:val="555555"/>
          <w:sz w:val="20"/>
          <w:szCs w:val="20"/>
        </w:rPr>
      </w:pPr>
      <w:r>
        <w:rPr>
          <w:color w:val="000000"/>
        </w:rPr>
        <w:t>Reason 3:</w:t>
      </w:r>
      <w:r>
        <w:rPr>
          <w:i/>
          <w:iCs/>
          <w:color w:val="555555"/>
          <w:sz w:val="20"/>
          <w:szCs w:val="20"/>
        </w:rPr>
        <w:t xml:space="preserve">  — </w:t>
      </w:r>
      <w:r>
        <w:rPr>
          <w:rFonts w:hint="default"/>
          <w:i/>
          <w:iCs/>
          <w:color w:val="555555"/>
          <w:sz w:val="20"/>
          <w:szCs w:val="20"/>
        </w:rPr>
        <w:t>Risk-Adjusted Viability:</w:t>
      </w:r>
      <w:r>
        <w:rPr>
          <w:rFonts w:hint="default"/>
          <w:i/>
          <w:iCs/>
          <w:color w:val="555555"/>
          <w:sz w:val="20"/>
          <w:szCs w:val="20"/>
          <w:lang w:val="en-ZA"/>
        </w:rPr>
        <w:t xml:space="preserve"> </w:t>
      </w:r>
      <w:r>
        <w:rPr>
          <w:rFonts w:hint="default"/>
          <w:i/>
          <w:iCs/>
          <w:color w:val="555555"/>
          <w:sz w:val="20"/>
          <w:szCs w:val="20"/>
        </w:rPr>
        <w:t>The model is low-cost, scalable, and transaction-driven, achieving break-even within ~18–20 months, with upside from credit and ecosystem monetization, while key risks (credit, regulatory, currency) are manageable through design controls.</w:t>
      </w:r>
    </w:p>
    <w:p w14:paraId="445462C2">
      <w:pPr>
        <w:spacing w:line="120" w:lineRule="auto"/>
      </w:pPr>
    </w:p>
    <w:p w14:paraId="710F87C8">
      <w:pPr>
        <w:pStyle w:val="3"/>
      </w:pPr>
      <w:bookmarkStart w:id="47" w:name="_Toc224559774"/>
      <w:r>
        <w:t>19.3 Top Risks to This Recommendation</w:t>
      </w:r>
      <w:bookmarkEnd w:id="47"/>
    </w:p>
    <w:p w14:paraId="67E64229">
      <w:pPr>
        <w:pStyle w:val="18"/>
        <w:numPr>
          <w:ilvl w:val="0"/>
          <w:numId w:val="1"/>
        </w:numPr>
        <w:spacing w:before="40" w:after="40"/>
      </w:pPr>
      <w:r>
        <w:rPr>
          <w:color w:val="000000"/>
        </w:rPr>
        <w:t>Risk 1:</w:t>
      </w:r>
      <w:r>
        <w:rPr>
          <w:i/>
          <w:iCs/>
          <w:color w:val="555555"/>
          <w:sz w:val="20"/>
          <w:szCs w:val="20"/>
        </w:rPr>
        <w:t xml:space="preserve">  —</w:t>
      </w:r>
      <w:r>
        <w:rPr>
          <w:rFonts w:hint="default"/>
          <w:i/>
          <w:iCs/>
          <w:color w:val="555555"/>
          <w:sz w:val="20"/>
          <w:szCs w:val="20"/>
        </w:rPr>
        <w:t>Low Customer Activation / Usage:</w:t>
      </w:r>
      <w:r>
        <w:rPr>
          <w:rFonts w:hint="default"/>
          <w:i/>
          <w:iCs/>
          <w:color w:val="555555"/>
          <w:sz w:val="20"/>
          <w:szCs w:val="20"/>
          <w:lang w:val="en-ZA"/>
        </w:rPr>
        <w:t xml:space="preserve"> </w:t>
      </w:r>
      <w:r>
        <w:rPr>
          <w:rFonts w:hint="default"/>
          <w:i/>
          <w:iCs/>
          <w:color w:val="555555"/>
          <w:sz w:val="20"/>
          <w:szCs w:val="20"/>
        </w:rPr>
        <w:t>If customers open accounts but do not actively transact (low engagement), the model fails due to its reliance on high transaction volumes.</w:t>
      </w:r>
    </w:p>
    <w:p w14:paraId="142D39FE">
      <w:pPr>
        <w:pStyle w:val="18"/>
        <w:numPr>
          <w:ilvl w:val="0"/>
          <w:numId w:val="1"/>
        </w:numPr>
        <w:spacing w:before="40" w:after="40"/>
      </w:pPr>
      <w:r>
        <w:rPr>
          <w:color w:val="000000"/>
        </w:rPr>
        <w:t>Risk 2:</w:t>
      </w:r>
      <w:r>
        <w:rPr>
          <w:i/>
          <w:iCs/>
          <w:color w:val="555555"/>
          <w:sz w:val="20"/>
          <w:szCs w:val="20"/>
        </w:rPr>
        <w:t xml:space="preserve">  — </w:t>
      </w:r>
      <w:r>
        <w:rPr>
          <w:rFonts w:hint="default"/>
          <w:i/>
          <w:iCs/>
          <w:color w:val="555555"/>
          <w:sz w:val="20"/>
          <w:szCs w:val="20"/>
        </w:rPr>
        <w:t>Credit Risk Mismanagement:</w:t>
      </w:r>
      <w:r>
        <w:rPr>
          <w:rFonts w:hint="default"/>
          <w:i/>
          <w:iCs/>
          <w:color w:val="555555"/>
          <w:sz w:val="20"/>
          <w:szCs w:val="20"/>
          <w:lang w:val="en-ZA"/>
        </w:rPr>
        <w:t xml:space="preserve"> </w:t>
      </w:r>
      <w:r>
        <w:rPr>
          <w:rFonts w:hint="default"/>
          <w:i/>
          <w:iCs/>
          <w:color w:val="555555"/>
          <w:sz w:val="20"/>
          <w:szCs w:val="20"/>
        </w:rPr>
        <w:t>Poor implementation of micro-lending could lead to high default rates, eroding profitability and damaging the bank’s balance sheet.</w:t>
      </w:r>
    </w:p>
    <w:p w14:paraId="21ABD6AA">
      <w:pPr>
        <w:pStyle w:val="18"/>
        <w:numPr>
          <w:ilvl w:val="0"/>
          <w:numId w:val="1"/>
        </w:numPr>
        <w:spacing w:before="40" w:after="40"/>
      </w:pPr>
      <w:r>
        <w:rPr>
          <w:color w:val="000000"/>
        </w:rPr>
        <w:t>Risk 3:</w:t>
      </w:r>
      <w:r>
        <w:rPr>
          <w:i/>
          <w:iCs/>
          <w:color w:val="555555"/>
          <w:sz w:val="20"/>
          <w:szCs w:val="20"/>
        </w:rPr>
        <w:t xml:space="preserve">  — </w:t>
      </w:r>
      <w:r>
        <w:rPr>
          <w:rFonts w:hint="default"/>
          <w:i/>
          <w:iCs/>
          <w:color w:val="555555"/>
          <w:sz w:val="20"/>
          <w:szCs w:val="20"/>
        </w:rPr>
        <w:t>Competitive Pressure from Mobile Money:</w:t>
      </w:r>
      <w:r>
        <w:rPr>
          <w:rFonts w:hint="default"/>
          <w:i/>
          <w:iCs/>
          <w:color w:val="555555"/>
          <w:sz w:val="20"/>
          <w:szCs w:val="20"/>
          <w:lang w:val="en-ZA"/>
        </w:rPr>
        <w:t xml:space="preserve"> </w:t>
      </w:r>
      <w:r>
        <w:rPr>
          <w:rFonts w:hint="default"/>
          <w:i/>
          <w:iCs/>
          <w:color w:val="555555"/>
          <w:sz w:val="20"/>
          <w:szCs w:val="20"/>
        </w:rPr>
        <w:t>If mobile money platforms improve their offerings (e.g., lower fees or introduce credit tools), they could retain dominance over Gen Z transaction flows.</w:t>
      </w:r>
    </w:p>
    <w:p w14:paraId="4584C8EC">
      <w:pPr>
        <w:spacing w:line="120" w:lineRule="auto"/>
      </w:pPr>
    </w:p>
    <w:p w14:paraId="4DA3DD2B">
      <w:pPr>
        <w:pageBreakBefore/>
        <w:spacing w:after="200"/>
      </w:pPr>
      <w:r>
        <w:rPr>
          <w:b/>
          <w:bCs/>
          <w:color w:val="1B3A5C"/>
          <w:sz w:val="32"/>
          <w:szCs w:val="32"/>
        </w:rPr>
        <w:t>Appendices</w:t>
      </w:r>
    </w:p>
    <w:p w14:paraId="306045AF">
      <w:pPr>
        <w:pBdr>
          <w:bottom w:val="single" w:color="2E6DA4" w:sz="6" w:space="1"/>
        </w:pBdr>
        <w:spacing w:before="80" w:after="80"/>
      </w:pPr>
    </w:p>
    <w:p w14:paraId="7A1E25D2">
      <w:pPr>
        <w:spacing w:line="120" w:lineRule="auto"/>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19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6DA4" w:sz="8" w:space="0"/>
              <w:left w:val="single" w:color="2E6DA4" w:sz="16" w:space="0"/>
              <w:bottom w:val="single" w:color="C7D8E8" w:sz="4" w:space="0"/>
              <w:right w:val="single" w:color="C7D8E8" w:sz="4" w:space="0"/>
            </w:tcBorders>
            <w:shd w:val="clear" w:color="auto" w:fill="EBF3FB"/>
            <w:tcMar>
              <w:top w:w="120" w:type="dxa"/>
              <w:left w:w="160" w:type="dxa"/>
              <w:bottom w:w="120" w:type="dxa"/>
              <w:right w:w="160" w:type="dxa"/>
            </w:tcMar>
          </w:tcPr>
          <w:p w14:paraId="0AFBB40C">
            <w:pPr>
              <w:spacing w:before="60" w:after="80"/>
            </w:pPr>
            <w:r>
              <w:rPr>
                <w:b/>
                <w:bCs/>
                <w:color w:val="1B3A5C"/>
              </w:rPr>
              <w:t>Appendix Structure</w:t>
            </w:r>
          </w:p>
          <w:p w14:paraId="3D29EB0B">
            <w:pPr>
              <w:spacing w:before="30" w:after="30"/>
            </w:pPr>
            <w:r>
              <w:rPr>
                <w:i/>
                <w:iCs/>
                <w:color w:val="555555"/>
                <w:sz w:val="20"/>
                <w:szCs w:val="20"/>
              </w:rPr>
              <w:t>Exhibit 1 —  Customer Personas (qualitative research)</w:t>
            </w:r>
          </w:p>
          <w:p w14:paraId="624DD1FA">
            <w:pPr>
              <w:spacing w:before="30" w:after="30"/>
            </w:pPr>
            <w:r>
              <w:rPr>
                <w:i/>
                <w:iCs/>
                <w:color w:val="555555"/>
                <w:sz w:val="20"/>
                <w:szCs w:val="20"/>
              </w:rPr>
              <w:t>Exhibit 2 —  Detailed Financial Model (3-year P&amp;L, cash flow, sensitivity analysis)</w:t>
            </w:r>
          </w:p>
          <w:p w14:paraId="631A4BA3">
            <w:pPr>
              <w:spacing w:before="30" w:after="30"/>
            </w:pPr>
            <w:r>
              <w:rPr>
                <w:i/>
                <w:iCs/>
                <w:color w:val="555555"/>
                <w:sz w:val="20"/>
                <w:szCs w:val="20"/>
              </w:rPr>
              <w:t>Exhibit 3 —  Market Sizing Methodology &amp; Data Sources</w:t>
            </w:r>
          </w:p>
          <w:p w14:paraId="697FE298">
            <w:pPr>
              <w:spacing w:before="30" w:after="30"/>
            </w:pPr>
            <w:r>
              <w:rPr>
                <w:i/>
                <w:iCs/>
                <w:color w:val="555555"/>
                <w:sz w:val="20"/>
                <w:szCs w:val="20"/>
              </w:rPr>
              <w:t>Exhibit 4 —  Competitive Analysis Detail (product feature comparison)</w:t>
            </w:r>
          </w:p>
          <w:p w14:paraId="533C6F84">
            <w:pPr>
              <w:spacing w:before="30" w:after="30"/>
            </w:pPr>
            <w:r>
              <w:rPr>
                <w:i/>
                <w:iCs/>
                <w:color w:val="555555"/>
                <w:sz w:val="20"/>
                <w:szCs w:val="20"/>
              </w:rPr>
              <w:t>Exhibit 5 —  Regulatory Correspondence &amp; Pre-Submission Notes</w:t>
            </w:r>
          </w:p>
          <w:p w14:paraId="237A7C5C">
            <w:pPr>
              <w:spacing w:before="30" w:after="30"/>
            </w:pPr>
            <w:r>
              <w:rPr>
                <w:i/>
                <w:iCs/>
                <w:color w:val="555555"/>
                <w:sz w:val="20"/>
                <w:szCs w:val="20"/>
              </w:rPr>
              <w:t>Exhibit 6 —  Technology Architecture Diagram</w:t>
            </w:r>
          </w:p>
          <w:p w14:paraId="1D385BAE">
            <w:pPr>
              <w:spacing w:before="30" w:after="30"/>
            </w:pPr>
            <w:r>
              <w:rPr>
                <w:i/>
                <w:iCs/>
                <w:color w:val="555555"/>
                <w:sz w:val="20"/>
                <w:szCs w:val="20"/>
              </w:rPr>
              <w:t>Exhibit 7 —  Partnership Term Sheets / MOUs</w:t>
            </w:r>
          </w:p>
          <w:p w14:paraId="2554644E">
            <w:pPr>
              <w:spacing w:before="30" w:after="30"/>
            </w:pPr>
            <w:r>
              <w:rPr>
                <w:i/>
                <w:iCs/>
                <w:color w:val="555555"/>
                <w:sz w:val="20"/>
                <w:szCs w:val="20"/>
              </w:rPr>
              <w:t>Exhibit 8 —  Pilot Design &amp; Research Methodology</w:t>
            </w:r>
          </w:p>
        </w:tc>
      </w:tr>
    </w:tbl>
    <w:p w14:paraId="77BE3719">
      <w:pPr>
        <w:spacing w:line="120" w:lineRule="auto"/>
      </w:pPr>
    </w:p>
    <w:p w14:paraId="4B814207">
      <w:pPr>
        <w:spacing w:before="60" w:after="60"/>
      </w:pPr>
      <w:r>
        <w:rPr>
          <w:i/>
          <w:iCs/>
          <w:color w:val="555555"/>
        </w:rPr>
        <w:t>Insert appendix materials here or reference separately numbered exhibit documents.</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0EB0F">
    <w:pPr>
      <w:pBdr>
        <w:top w:val="single" w:color="2E6DA4" w:sz="6" w:space="1"/>
      </w:pBdr>
      <w:tabs>
        <w:tab w:val="right" w:pos="9026"/>
      </w:tabs>
    </w:pPr>
    <w:r>
      <w:rPr>
        <w:color w:val="555555"/>
        <w:sz w:val="17"/>
        <w:szCs w:val="17"/>
      </w:rPr>
      <w:t>[Institution Name]  |  Strategy &amp; Innovation</w:t>
    </w:r>
    <w:r>
      <w:rPr>
        <w:color w:val="555555"/>
        <w:sz w:val="17"/>
        <w:szCs w:val="17"/>
      </w:rPr>
      <w:tab/>
    </w:r>
    <w:r>
      <w:rPr>
        <w:color w:val="555555"/>
        <w:sz w:val="17"/>
        <w:szCs w:val="17"/>
      </w:rPr>
      <w:t xml:space="preserve">Page </w:t>
    </w:r>
    <w:r>
      <w:rPr>
        <w:color w:val="2E6DA4"/>
        <w:sz w:val="17"/>
        <w:szCs w:val="17"/>
      </w:rPr>
      <w:fldChar w:fldCharType="begin"/>
    </w:r>
    <w:r>
      <w:rPr>
        <w:color w:val="2E6DA4"/>
        <w:sz w:val="17"/>
        <w:szCs w:val="17"/>
      </w:rPr>
      <w:instrText xml:space="preserve">PAGE</w:instrText>
    </w:r>
    <w:r>
      <w:rPr>
        <w:color w:val="2E6DA4"/>
        <w:sz w:val="17"/>
        <w:szCs w:val="17"/>
      </w:rPr>
      <w:fldChar w:fldCharType="separate"/>
    </w:r>
    <w:r>
      <w:rPr>
        <w:color w:val="2E6DA4"/>
        <w:sz w:val="17"/>
        <w:szCs w:val="17"/>
      </w:rPr>
      <w:t>21</w:t>
    </w:r>
    <w:r>
      <w:rPr>
        <w:color w:val="2E6DA4"/>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50E25">
    <w:pPr>
      <w:pBdr>
        <w:bottom w:val="single" w:color="2E6DA4" w:sz="6" w:space="1"/>
      </w:pBdr>
      <w:tabs>
        <w:tab w:val="right" w:pos="9026"/>
      </w:tabs>
    </w:pPr>
    <w:r>
      <w:rPr>
        <w:color w:val="2E6DA4"/>
        <w:sz w:val="17"/>
        <w:szCs w:val="17"/>
      </w:rPr>
      <w:t>Strategic Business Model Template  |  Zimbabwe Banking Innovation Framework</w:t>
    </w:r>
    <w:r>
      <w:rPr>
        <w:b/>
        <w:bCs/>
        <w:color w:val="1B3A5C"/>
        <w:sz w:val="17"/>
        <w:szCs w:val="17"/>
      </w:rPr>
      <w:tab/>
    </w:r>
    <w:r>
      <w:rPr>
        <w:b/>
        <w:bCs/>
        <w:color w:val="1B3A5C"/>
        <w:sz w:val="17"/>
        <w:szCs w:val="17"/>
      </w:rPr>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11C4B"/>
    <w:multiLevelType w:val="multilevel"/>
    <w:tmpl w:val="78011C4B"/>
    <w:lvl w:ilvl="0" w:tentative="0">
      <w:start w:val="1"/>
      <w:numFmt w:val="bullet"/>
      <w:lvlText w:val="▪"/>
      <w:lvlJc w:val="left"/>
      <w:pPr>
        <w:ind w:left="640" w:hanging="320"/>
      </w:pPr>
      <w:rPr>
        <w:rFonts w:ascii="Arial" w:hAnsi="Arial" w:eastAsia="Arial" w:cs="Arial"/>
        <w:color w:val="2E6DA4"/>
        <w:sz w:val="20"/>
        <w:szCs w:val="20"/>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44"/>
    <w:rsid w:val="001F48FA"/>
    <w:rsid w:val="002033EA"/>
    <w:rsid w:val="00232631"/>
    <w:rsid w:val="002F33EC"/>
    <w:rsid w:val="003A6C3B"/>
    <w:rsid w:val="00420AC1"/>
    <w:rsid w:val="00555D36"/>
    <w:rsid w:val="005C275E"/>
    <w:rsid w:val="00617C4D"/>
    <w:rsid w:val="006456BC"/>
    <w:rsid w:val="00746752"/>
    <w:rsid w:val="00782E38"/>
    <w:rsid w:val="00887748"/>
    <w:rsid w:val="008C585E"/>
    <w:rsid w:val="009419CD"/>
    <w:rsid w:val="00A24744"/>
    <w:rsid w:val="00A70F44"/>
    <w:rsid w:val="00B141BB"/>
    <w:rsid w:val="00BA7A95"/>
    <w:rsid w:val="00BB69BA"/>
    <w:rsid w:val="00DF714C"/>
    <w:rsid w:val="00E827D2"/>
    <w:rsid w:val="00F073A3"/>
    <w:rsid w:val="483A5A34"/>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ZW" w:eastAsia="en-ZW" w:bidi="ar-SA"/>
    </w:rPr>
  </w:style>
  <w:style w:type="paragraph" w:styleId="2">
    <w:name w:val="heading 1"/>
    <w:qFormat/>
    <w:uiPriority w:val="0"/>
    <w:pPr>
      <w:spacing w:before="280" w:after="200"/>
      <w:outlineLvl w:val="0"/>
    </w:pPr>
    <w:rPr>
      <w:rFonts w:ascii="Arial" w:hAnsi="Arial" w:eastAsia="Arial" w:cs="Arial"/>
      <w:b/>
      <w:bCs/>
      <w:color w:val="1B3A5C"/>
      <w:sz w:val="32"/>
      <w:szCs w:val="32"/>
      <w:lang w:val="en-ZW" w:eastAsia="en-ZW" w:bidi="ar-SA"/>
    </w:rPr>
  </w:style>
  <w:style w:type="paragraph" w:styleId="3">
    <w:name w:val="heading 2"/>
    <w:basedOn w:val="1"/>
    <w:next w:val="4"/>
    <w:qFormat/>
    <w:uiPriority w:val="0"/>
    <w:pPr>
      <w:spacing w:before="240" w:after="100"/>
      <w:outlineLvl w:val="1"/>
    </w:pPr>
    <w:rPr>
      <w:rFonts w:ascii="Arial" w:hAnsi="Arial" w:eastAsia="Arial" w:cs="Arial"/>
      <w:b/>
      <w:bCs/>
      <w:color w:val="2E6DA4"/>
      <w:sz w:val="26"/>
      <w:szCs w:val="26"/>
      <w:lang w:val="en-ZW" w:eastAsia="en-ZW" w:bidi="ar-SA"/>
    </w:rPr>
  </w:style>
  <w:style w:type="paragraph" w:styleId="5">
    <w:name w:val="heading 3"/>
    <w:qFormat/>
    <w:uiPriority w:val="0"/>
    <w:pPr>
      <w:spacing w:before="160" w:after="80"/>
      <w:outlineLvl w:val="2"/>
    </w:pPr>
    <w:rPr>
      <w:rFonts w:ascii="Arial" w:hAnsi="Arial" w:eastAsia="Arial" w:cs="Arial"/>
      <w:b/>
      <w:bCs/>
      <w:color w:val="1B3A5C"/>
      <w:sz w:val="22"/>
      <w:szCs w:val="22"/>
      <w:lang w:val="en-ZW" w:eastAsia="en-ZW" w:bidi="ar-SA"/>
    </w:rPr>
  </w:style>
  <w:style w:type="paragraph" w:styleId="6">
    <w:name w:val="heading 4"/>
    <w:qFormat/>
    <w:uiPriority w:val="0"/>
    <w:pPr>
      <w:outlineLvl w:val="3"/>
    </w:pPr>
    <w:rPr>
      <w:rFonts w:ascii="Arial" w:hAnsi="Arial" w:eastAsia="Arial" w:cs="Arial"/>
      <w:i/>
      <w:iCs/>
      <w:color w:val="2E74B5"/>
      <w:sz w:val="22"/>
      <w:szCs w:val="22"/>
      <w:lang w:val="en-ZW" w:eastAsia="en-ZW" w:bidi="ar-SA"/>
    </w:rPr>
  </w:style>
  <w:style w:type="paragraph" w:styleId="7">
    <w:name w:val="heading 5"/>
    <w:qFormat/>
    <w:uiPriority w:val="0"/>
    <w:pPr>
      <w:outlineLvl w:val="4"/>
    </w:pPr>
    <w:rPr>
      <w:rFonts w:ascii="Arial" w:hAnsi="Arial" w:eastAsia="Arial" w:cs="Arial"/>
      <w:color w:val="2E74B5"/>
      <w:sz w:val="22"/>
      <w:szCs w:val="22"/>
      <w:lang w:val="en-ZW" w:eastAsia="en-ZW" w:bidi="ar-SA"/>
    </w:rPr>
  </w:style>
  <w:style w:type="paragraph" w:styleId="8">
    <w:name w:val="heading 6"/>
    <w:qFormat/>
    <w:uiPriority w:val="0"/>
    <w:pPr>
      <w:outlineLvl w:val="5"/>
    </w:pPr>
    <w:rPr>
      <w:rFonts w:ascii="Arial" w:hAnsi="Arial" w:eastAsia="Arial" w:cs="Arial"/>
      <w:color w:val="1F4D78"/>
      <w:sz w:val="22"/>
      <w:szCs w:val="22"/>
      <w:lang w:val="en-ZW" w:eastAsia="en-ZW" w:bidi="ar-SA"/>
    </w:rPr>
  </w:style>
  <w:style w:type="character" w:default="1" w:styleId="9">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character" w:styleId="11">
    <w:name w:val="footnote reference"/>
    <w:semiHidden/>
    <w:unhideWhenUsed/>
    <w:uiPriority w:val="99"/>
    <w:rPr>
      <w:vertAlign w:val="superscript"/>
    </w:rPr>
  </w:style>
  <w:style w:type="paragraph" w:styleId="12">
    <w:name w:val="footnote text"/>
    <w:link w:val="19"/>
    <w:semiHidden/>
    <w:unhideWhenUsed/>
    <w:uiPriority w:val="99"/>
    <w:rPr>
      <w:rFonts w:ascii="Arial" w:hAnsi="Arial" w:eastAsia="Arial" w:cs="Arial"/>
      <w:sz w:val="20"/>
      <w:szCs w:val="20"/>
      <w:lang w:val="en-ZW" w:eastAsia="en-ZW" w:bidi="ar-SA"/>
    </w:rPr>
  </w:style>
  <w:style w:type="character" w:styleId="13">
    <w:name w:val="Hyperlink"/>
    <w:unhideWhenUsed/>
    <w:qFormat/>
    <w:uiPriority w:val="99"/>
    <w:rPr>
      <w:color w:val="0563C1"/>
      <w:u w:val="single"/>
    </w:rPr>
  </w:style>
  <w:style w:type="paragraph" w:styleId="14">
    <w:name w:val="Title"/>
    <w:qFormat/>
    <w:uiPriority w:val="0"/>
    <w:rPr>
      <w:rFonts w:ascii="Arial" w:hAnsi="Arial" w:eastAsia="Arial" w:cs="Arial"/>
      <w:sz w:val="56"/>
      <w:szCs w:val="56"/>
      <w:lang w:val="en-ZW" w:eastAsia="en-ZW" w:bidi="ar-SA"/>
    </w:rPr>
  </w:style>
  <w:style w:type="paragraph" w:styleId="15">
    <w:name w:val="toc 1"/>
    <w:basedOn w:val="1"/>
    <w:next w:val="1"/>
    <w:autoRedefine/>
    <w:unhideWhenUsed/>
    <w:uiPriority w:val="39"/>
    <w:pPr>
      <w:spacing w:after="100"/>
    </w:pPr>
  </w:style>
  <w:style w:type="paragraph" w:styleId="16">
    <w:name w:val="toc 2"/>
    <w:basedOn w:val="1"/>
    <w:next w:val="1"/>
    <w:autoRedefine/>
    <w:unhideWhenUsed/>
    <w:qFormat/>
    <w:uiPriority w:val="39"/>
    <w:pPr>
      <w:spacing w:after="100"/>
      <w:ind w:left="220"/>
    </w:pPr>
  </w:style>
  <w:style w:type="paragraph" w:customStyle="1" w:styleId="17">
    <w:name w:val="Strong1"/>
    <w:qFormat/>
    <w:uiPriority w:val="0"/>
    <w:rPr>
      <w:rFonts w:ascii="Arial" w:hAnsi="Arial" w:eastAsia="Arial" w:cs="Arial"/>
      <w:b/>
      <w:bCs/>
      <w:sz w:val="22"/>
      <w:szCs w:val="22"/>
      <w:lang w:val="en-ZW" w:eastAsia="en-ZW" w:bidi="ar-SA"/>
    </w:rPr>
  </w:style>
  <w:style w:type="paragraph" w:styleId="18">
    <w:name w:val="List Paragraph"/>
    <w:qFormat/>
    <w:uiPriority w:val="0"/>
    <w:rPr>
      <w:rFonts w:ascii="Arial" w:hAnsi="Arial" w:eastAsia="Arial" w:cs="Arial"/>
      <w:sz w:val="22"/>
      <w:szCs w:val="22"/>
      <w:lang w:val="en-ZW" w:eastAsia="en-ZW" w:bidi="ar-SA"/>
    </w:rPr>
  </w:style>
  <w:style w:type="character" w:customStyle="1" w:styleId="19">
    <w:name w:val="Foot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4260</Words>
  <Characters>24286</Characters>
  <Lines>202</Lines>
  <Paragraphs>56</Paragraphs>
  <TotalTime>197</TotalTime>
  <ScaleCrop>false</ScaleCrop>
  <LinksUpToDate>false</LinksUpToDate>
  <CharactersWithSpaces>28490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2026-03-16T11:08:00Z</dcterms:created>
  <dc:creator>Un-named</dc:creator>
  <cp:lastModifiedBy>King_Arthur</cp:lastModifiedBy>
  <dcterms:modified xsi:type="dcterms:W3CDTF">2026-03-17T09:43:48Z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814FEF42DCEB45C9879784AEF753F435_13</vt:lpwstr>
  </property>
</Properties>
</file>