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C6DD7">
      <w:pPr>
        <w:spacing w:before="2200" w:after="0"/>
      </w:pPr>
    </w:p>
    <w:p w14:paraId="1D755F80">
      <w:pPr>
        <w:spacing w:before="0" w:after="120"/>
        <w:jc w:val="center"/>
      </w:pPr>
      <w:r>
        <w:rPr>
          <w:rFonts w:ascii="Arial" w:hAnsi="Arial" w:eastAsia="Arial" w:cs="Arial"/>
          <w:b/>
          <w:bCs/>
          <w:color w:val="0D2137"/>
          <w:sz w:val="72"/>
          <w:szCs w:val="72"/>
        </w:rPr>
        <w:t>NeuroWorks</w:t>
      </w:r>
    </w:p>
    <w:p w14:paraId="4FCB1AA7">
      <w:pPr>
        <w:spacing w:before="0" w:after="80"/>
        <w:jc w:val="center"/>
      </w:pPr>
      <w:r>
        <w:rPr>
          <w:rFonts w:ascii="Arial" w:hAnsi="Arial" w:eastAsia="Arial" w:cs="Arial"/>
          <w:i/>
          <w:iCs/>
          <w:color w:val="1D6FA4"/>
          <w:sz w:val="30"/>
          <w:szCs w:val="30"/>
        </w:rPr>
        <w:t>The Intelligent Organisation Platform</w:t>
      </w:r>
    </w:p>
    <w:p w14:paraId="772CECE1">
      <w:pPr>
        <w:spacing w:before="0" w:after="280"/>
        <w:jc w:val="center"/>
      </w:pPr>
      <w:r>
        <w:rPr>
          <w:rFonts w:ascii="Arial" w:hAnsi="Arial" w:eastAsia="Arial" w:cs="Arial"/>
          <w:i/>
          <w:iCs/>
          <w:color w:val="1A3F5C"/>
          <w:sz w:val="22"/>
          <w:szCs w:val="22"/>
        </w:rPr>
        <w:t>Turn job descriptions into AI workers. Design the intelligent organisation. Reorganise intelligence itself.</w:t>
      </w:r>
    </w:p>
    <w:p w14:paraId="66509D36">
      <w:pPr>
        <w:spacing w:before="0" w:after="50"/>
        <w:jc w:val="center"/>
      </w:pPr>
      <w:r>
        <w:rPr>
          <w:rFonts w:ascii="Arial" w:hAnsi="Arial" w:eastAsia="Arial" w:cs="Arial"/>
          <w:b/>
          <w:bCs/>
          <w:color w:val="1A3F5C"/>
          <w:sz w:val="22"/>
          <w:szCs w:val="22"/>
        </w:rPr>
        <w:t xml:space="preserve">Project Title:  </w:t>
      </w:r>
      <w:r>
        <w:rPr>
          <w:rFonts w:ascii="Arial" w:hAnsi="Arial" w:eastAsia="Arial" w:cs="Arial"/>
          <w:color w:val="111111"/>
          <w:sz w:val="22"/>
          <w:szCs w:val="22"/>
        </w:rPr>
        <w:t>NeuroWorks AI Digital Workforce and Intelligent Organisation Platform</w:t>
      </w:r>
    </w:p>
    <w:p w14:paraId="74C9CC63">
      <w:pPr>
        <w:spacing w:before="0" w:after="50"/>
        <w:jc w:val="center"/>
      </w:pPr>
      <w:r>
        <w:rPr>
          <w:rFonts w:ascii="Arial" w:hAnsi="Arial" w:eastAsia="Arial" w:cs="Arial"/>
          <w:b/>
          <w:bCs/>
          <w:color w:val="1A3F5C"/>
          <w:sz w:val="22"/>
          <w:szCs w:val="22"/>
        </w:rPr>
        <w:t xml:space="preserve">Track Name:  </w:t>
      </w:r>
      <w:r>
        <w:rPr>
          <w:rFonts w:ascii="Arial" w:hAnsi="Arial" w:eastAsia="Arial" w:cs="Arial"/>
          <w:color w:val="111111"/>
          <w:sz w:val="22"/>
          <w:szCs w:val="22"/>
        </w:rPr>
        <w:t>Track 3 Development</w:t>
      </w:r>
    </w:p>
    <w:p w14:paraId="20FFAE45">
      <w:pPr>
        <w:spacing w:before="0" w:after="50"/>
        <w:jc w:val="center"/>
        <w:rPr>
          <w:rFonts w:hint="default" w:cs="Arial"/>
          <w:b w:val="0"/>
          <w:bCs w:val="0"/>
          <w:color w:val="000000" w:themeColor="text1"/>
          <w:sz w:val="22"/>
          <w:szCs w:val="22"/>
          <w:lang w:val="en-ZA"/>
          <w14:textFill>
            <w14:solidFill>
              <w14:schemeClr w14:val="tx1"/>
            </w14:solidFill>
          </w14:textFill>
        </w:rPr>
      </w:pPr>
      <w:r>
        <w:rPr>
          <w:rFonts w:ascii="Arial" w:hAnsi="Arial" w:eastAsia="Arial" w:cs="Arial"/>
          <w:b/>
          <w:bCs/>
          <w:color w:val="1A3F5C"/>
          <w:sz w:val="22"/>
          <w:szCs w:val="22"/>
        </w:rPr>
        <w:t xml:space="preserve">Team Name:  </w:t>
      </w:r>
      <w:r>
        <w:rPr>
          <w:rFonts w:hint="default" w:cs="Arial"/>
          <w:b w:val="0"/>
          <w:bCs w:val="0"/>
          <w:color w:val="000000" w:themeColor="text1"/>
          <w:sz w:val="22"/>
          <w:szCs w:val="22"/>
          <w:lang w:val="en-ZA"/>
          <w14:textFill>
            <w14:solidFill>
              <w14:schemeClr w14:val="tx1"/>
            </w14:solidFill>
          </w14:textFill>
        </w:rPr>
        <w:t xml:space="preserve">Neuroworks </w:t>
      </w:r>
    </w:p>
    <w:p w14:paraId="46F2DED3">
      <w:pPr>
        <w:spacing w:before="0" w:after="50"/>
        <w:jc w:val="center"/>
        <w:rPr>
          <w:rFonts w:hint="default" w:ascii="Arial" w:hAnsi="Arial" w:eastAsia="Arial" w:cs="Arial"/>
          <w:color w:val="111111"/>
          <w:sz w:val="22"/>
          <w:szCs w:val="22"/>
          <w:lang w:val="en-ZA"/>
        </w:rPr>
      </w:pPr>
      <w:r>
        <w:rPr>
          <w:rFonts w:ascii="Arial" w:hAnsi="Arial" w:eastAsia="Arial" w:cs="Arial"/>
          <w:b/>
          <w:bCs/>
          <w:color w:val="1A3F5C"/>
          <w:sz w:val="22"/>
          <w:szCs w:val="22"/>
        </w:rPr>
        <w:t xml:space="preserve">Lead Innovator:  </w:t>
      </w:r>
      <w:r>
        <w:rPr>
          <w:rFonts w:ascii="Arial" w:hAnsi="Arial" w:eastAsia="Arial" w:cs="Arial"/>
          <w:color w:val="111111"/>
          <w:sz w:val="22"/>
          <w:szCs w:val="22"/>
        </w:rPr>
        <w:t>Ai</w:t>
      </w:r>
      <w:r>
        <w:rPr>
          <w:rFonts w:hint="default" w:cs="Arial"/>
          <w:color w:val="111111"/>
          <w:sz w:val="22"/>
          <w:szCs w:val="22"/>
          <w:lang w:val="en-ZA"/>
        </w:rPr>
        <w:t>ia Rubiem</w:t>
      </w:r>
    </w:p>
    <w:p w14:paraId="20FC296E">
      <w:pPr>
        <w:spacing w:before="0" w:after="50"/>
        <w:jc w:val="center"/>
      </w:pPr>
      <w:r>
        <w:rPr>
          <w:rFonts w:ascii="Arial" w:hAnsi="Arial" w:eastAsia="Arial" w:cs="Arial"/>
          <w:b/>
          <w:bCs/>
          <w:color w:val="1A3F5C"/>
          <w:sz w:val="22"/>
          <w:szCs w:val="22"/>
        </w:rPr>
        <w:t xml:space="preserve">Date:  </w:t>
      </w:r>
      <w:r>
        <w:rPr>
          <w:rFonts w:ascii="Arial" w:hAnsi="Arial" w:eastAsia="Arial" w:cs="Arial"/>
          <w:color w:val="111111"/>
          <w:sz w:val="22"/>
          <w:szCs w:val="22"/>
        </w:rPr>
        <w:t>11 July 2026</w:t>
      </w:r>
    </w:p>
    <w:p w14:paraId="13A99FA0">
      <w:pPr>
        <w:spacing w:before="0" w:after="50"/>
        <w:jc w:val="center"/>
        <w:rPr>
          <w:rFonts w:ascii="Arial" w:hAnsi="Arial" w:eastAsia="Arial" w:cs="Arial"/>
          <w:b/>
          <w:bCs/>
          <w:color w:val="1A3F5C"/>
          <w:sz w:val="22"/>
          <w:szCs w:val="22"/>
        </w:rPr>
      </w:pPr>
    </w:p>
    <w:p w14:paraId="753E6FCA">
      <w:pPr>
        <w:spacing w:before="0" w:after="50"/>
        <w:jc w:val="center"/>
      </w:pPr>
      <w:r>
        <w:rPr>
          <w:rFonts w:ascii="Arial" w:hAnsi="Arial" w:eastAsia="Arial" w:cs="Arial"/>
          <w:b/>
          <w:bCs/>
          <w:color w:val="1A3F5C"/>
          <w:sz w:val="22"/>
          <w:szCs w:val="22"/>
        </w:rPr>
        <w:t xml:space="preserve">Repository:  </w:t>
      </w:r>
      <w:r>
        <w:rPr>
          <w:rFonts w:ascii="Arial" w:hAnsi="Arial" w:eastAsia="Arial" w:cs="Arial"/>
          <w:color w:val="111111"/>
          <w:sz w:val="22"/>
          <w:szCs w:val="22"/>
        </w:rPr>
        <w:t xml:space="preserve">github.com/RUBIEM-DEVELOPERS-REPO/neuroworks </w:t>
      </w:r>
    </w:p>
    <w:p w14:paraId="081EC102">
      <w:pPr>
        <w:spacing w:before="0" w:after="50"/>
        <w:jc w:val="center"/>
        <w:rPr>
          <w:rFonts w:hint="default"/>
          <w:lang w:val="en-ZA"/>
        </w:rPr>
      </w:pPr>
      <w:r>
        <w:rPr>
          <w:rFonts w:ascii="Arial" w:hAnsi="Arial" w:eastAsia="Arial" w:cs="Arial"/>
          <w:b/>
          <w:bCs/>
          <w:color w:val="1A3F5C"/>
          <w:sz w:val="22"/>
          <w:szCs w:val="22"/>
        </w:rPr>
        <w:t xml:space="preserve">Demo:  </w:t>
      </w:r>
      <w:r>
        <w:rPr>
          <w:rFonts w:ascii="Arial" w:hAnsi="Arial" w:eastAsia="Arial" w:cs="Arial"/>
          <w:color w:val="111111"/>
          <w:sz w:val="22"/>
          <w:szCs w:val="22"/>
        </w:rPr>
        <w:t>Live demonstration Day 5, Friday 31 July 2026</w:t>
      </w:r>
    </w:p>
    <w:p w14:paraId="1493C72B">
      <w:r>
        <w:rPr>
          <w:rFonts w:hint="default"/>
          <w:lang w:val="en-ZA"/>
        </w:rPr>
        <w:drawing>
          <wp:anchor distT="0" distB="0" distL="114300" distR="114300" simplePos="0" relativeHeight="251660288" behindDoc="1" locked="0" layoutInCell="1" allowOverlap="1">
            <wp:simplePos x="0" y="0"/>
            <wp:positionH relativeFrom="column">
              <wp:posOffset>1285240</wp:posOffset>
            </wp:positionH>
            <wp:positionV relativeFrom="paragraph">
              <wp:posOffset>2099945</wp:posOffset>
            </wp:positionV>
            <wp:extent cx="3594735" cy="1666875"/>
            <wp:effectExtent l="0" t="0" r="1905" b="9525"/>
            <wp:wrapNone/>
            <wp:docPr id="2" name="Picture 2" descr="rubi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ubiem logo"/>
                    <pic:cNvPicPr>
                      <a:picLocks noChangeAspect="1"/>
                    </pic:cNvPicPr>
                  </pic:nvPicPr>
                  <pic:blipFill>
                    <a:blip r:embed="rId5"/>
                    <a:stretch>
                      <a:fillRect/>
                    </a:stretch>
                  </pic:blipFill>
                  <pic:spPr>
                    <a:xfrm>
                      <a:off x="0" y="0"/>
                      <a:ext cx="3594735" cy="1666875"/>
                    </a:xfrm>
                    <a:prstGeom prst="rect">
                      <a:avLst/>
                    </a:prstGeom>
                  </pic:spPr>
                </pic:pic>
              </a:graphicData>
            </a:graphic>
          </wp:anchor>
        </w:drawing>
      </w:r>
      <w:r>
        <w:rPr>
          <w:rFonts w:hint="default"/>
          <w:lang w:val="en-ZA"/>
        </w:rPr>
        <w:drawing>
          <wp:anchor distT="0" distB="0" distL="114300" distR="114300" simplePos="0" relativeHeight="251659264" behindDoc="1" locked="0" layoutInCell="1" allowOverlap="1">
            <wp:simplePos x="0" y="0"/>
            <wp:positionH relativeFrom="column">
              <wp:posOffset>1452245</wp:posOffset>
            </wp:positionH>
            <wp:positionV relativeFrom="paragraph">
              <wp:posOffset>137795</wp:posOffset>
            </wp:positionV>
            <wp:extent cx="3287395" cy="1583690"/>
            <wp:effectExtent l="0" t="0" r="4445" b="1270"/>
            <wp:wrapNone/>
            <wp:docPr id="1" name="Picture 1" descr="aiia pla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ia plain 2"/>
                    <pic:cNvPicPr>
                      <a:picLocks noChangeAspect="1"/>
                    </pic:cNvPicPr>
                  </pic:nvPicPr>
                  <pic:blipFill>
                    <a:blip r:embed="rId6"/>
                    <a:srcRect l="9290" t="22482" r="10413" b="22633"/>
                    <a:stretch>
                      <a:fillRect/>
                    </a:stretch>
                  </pic:blipFill>
                  <pic:spPr>
                    <a:xfrm>
                      <a:off x="0" y="0"/>
                      <a:ext cx="3287395" cy="1583690"/>
                    </a:xfrm>
                    <a:prstGeom prst="rect">
                      <a:avLst/>
                    </a:prstGeom>
                  </pic:spPr>
                </pic:pic>
              </a:graphicData>
            </a:graphic>
          </wp:anchor>
        </w:drawing>
      </w:r>
      <w:r>
        <w:br w:type="page"/>
      </w:r>
    </w:p>
    <w:p w14:paraId="7D804BB4">
      <w:pPr>
        <w:rPr>
          <w:rFonts w:hint="default"/>
          <w:lang w:val="en-ZA"/>
        </w:rPr>
        <w:sectPr>
          <w:footerReference r:id="rId3" w:type="default"/>
          <w:pgSz w:w="12240" w:h="15840"/>
          <w:pgMar w:top="1440" w:right="1440" w:bottom="1440" w:left="1440" w:header="708" w:footer="708" w:gutter="0"/>
          <w:cols w:space="720" w:num="1"/>
          <w:docGrid w:linePitch="360" w:charSpace="0"/>
        </w:sectPr>
      </w:pPr>
    </w:p>
    <w:p w14:paraId="22C37365">
      <w:pPr>
        <w:pStyle w:val="2"/>
        <w:spacing w:before="280" w:after="120" w:line="276" w:lineRule="auto"/>
      </w:pPr>
      <w:r>
        <w:rPr>
          <w:rFonts w:ascii="Arial" w:hAnsi="Arial" w:eastAsia="Arial" w:cs="Arial"/>
          <w:b/>
          <w:bCs/>
          <w:color w:val="0D2137"/>
          <w:sz w:val="26"/>
          <w:szCs w:val="26"/>
        </w:rPr>
        <w:t>Section 1 Problem Definition and Strategic Alignment</w:t>
      </w:r>
    </w:p>
    <w:p w14:paraId="638DEB55">
      <w:pPr>
        <w:pStyle w:val="3"/>
        <w:spacing w:before="180" w:after="80" w:line="276" w:lineRule="auto"/>
      </w:pPr>
      <w:r>
        <w:rPr>
          <w:rFonts w:ascii="Arial" w:hAnsi="Arial" w:eastAsia="Arial" w:cs="Arial"/>
          <w:b/>
          <w:bCs/>
          <w:color w:val="1D6FA4"/>
          <w:sz w:val="22"/>
          <w:szCs w:val="22"/>
        </w:rPr>
        <w:t>1.1 Four Structural Failures Defining the Problem</w:t>
      </w:r>
    </w:p>
    <w:p w14:paraId="68152D37">
      <w:pPr>
        <w:spacing w:before="80" w:after="80" w:line="276" w:lineRule="auto"/>
      </w:pPr>
      <w:r>
        <w:rPr>
          <w:rFonts w:ascii="Arial" w:hAnsi="Arial" w:eastAsia="Arial" w:cs="Arial"/>
          <w:color w:val="111111"/>
          <w:sz w:val="22"/>
          <w:szCs w:val="22"/>
        </w:rPr>
        <w:t>The organisational capacity crisis in Zimbabwe is not a technology problem or a skills problem in isolation. It is a structural design problem. Automation has moved in waves: the first mechanised physical labour; the second digitised transactional work. The third wave agentic AI is different in kind. Agentic AI systems reason, plan, call tools, adapt to context, and act autonomously within defined boundaries. They can simulate knowledge-work roles, not just automate tasks. This changes what an organisation can be. But designing an optimal human-agent organisation is genuinely complex: humans and agents have different strengths, different failure modes, and different training and performance management requirements. Getting the blend right requires deliberate design. That is what NeuroWorks enables.</w:t>
      </w:r>
    </w:p>
    <w:p w14:paraId="538F551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3C6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7A5A8FAB">
            <w:pPr>
              <w:spacing w:before="0" w:after="60"/>
            </w:pPr>
            <w:r>
              <w:rPr>
                <w:rFonts w:ascii="Arial" w:hAnsi="Arial" w:eastAsia="Arial" w:cs="Arial"/>
                <w:b/>
                <w:bCs/>
                <w:color w:val="FFFFFF"/>
                <w:sz w:val="20"/>
                <w:szCs w:val="20"/>
              </w:rPr>
              <w:t>1. The intelligent organisation</w:t>
            </w:r>
          </w:p>
          <w:p w14:paraId="6C30409A">
            <w:pPr>
              <w:spacing w:before="0" w:after="0" w:line="276" w:lineRule="auto"/>
            </w:pPr>
            <w:r>
              <w:rPr>
                <w:rFonts w:ascii="Arial" w:hAnsi="Arial" w:eastAsia="Arial" w:cs="Arial"/>
                <w:color w:val="D6E9F8"/>
                <w:sz w:val="17"/>
                <w:szCs w:val="17"/>
              </w:rPr>
              <w:t>There is no established model for the AI-age adaptive intelligent organisation. Institutions bolt AI onto industrial-era structures. Designing the optimal human-agent mix requires simultaneous training, performance management, and skill balancing across both people and agents a challenge no traditional HR or operations framework was built to handle.</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45CF23C0">
            <w:pPr>
              <w:spacing w:before="0" w:after="60"/>
            </w:pPr>
            <w:r>
              <w:rPr>
                <w:rFonts w:ascii="Arial" w:hAnsi="Arial" w:eastAsia="Arial" w:cs="Arial"/>
                <w:b/>
                <w:bCs/>
                <w:color w:val="FFFFFF"/>
                <w:sz w:val="20"/>
                <w:szCs w:val="20"/>
              </w:rPr>
              <w:t>2. Labour cost and scaling</w:t>
            </w:r>
          </w:p>
          <w:p w14:paraId="6DA56248">
            <w:pPr>
              <w:spacing w:before="0" w:after="0" w:line="276" w:lineRule="auto"/>
            </w:pPr>
            <w:r>
              <w:rPr>
                <w:rFonts w:ascii="Arial" w:hAnsi="Arial" w:eastAsia="Arial" w:cs="Arial"/>
                <w:color w:val="D6E9F8"/>
                <w:sz w:val="17"/>
                <w:szCs w:val="17"/>
              </w:rPr>
              <w:t>Hiring and scaling human workers is expensive and slow. A rural clinic, an NGO, a government department none can grow their knowledge-work capacity at the speed their mandate requires. The cost of adding one qualified specialist can consume an entire department's discretionary budget.</w:t>
            </w:r>
          </w:p>
        </w:tc>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53145CE9">
            <w:pPr>
              <w:spacing w:before="0" w:after="60"/>
            </w:pPr>
            <w:r>
              <w:rPr>
                <w:rFonts w:ascii="Arial" w:hAnsi="Arial" w:eastAsia="Arial" w:cs="Arial"/>
                <w:b/>
                <w:bCs/>
                <w:color w:val="FFFFFF"/>
                <w:sz w:val="20"/>
                <w:szCs w:val="20"/>
              </w:rPr>
              <w:t>3. Workforce capacity</w:t>
            </w:r>
          </w:p>
          <w:p w14:paraId="282925C6">
            <w:pPr>
              <w:spacing w:before="0" w:after="0" w:line="276" w:lineRule="auto"/>
            </w:pPr>
            <w:r>
              <w:rPr>
                <w:rFonts w:ascii="Arial" w:hAnsi="Arial" w:eastAsia="Arial" w:cs="Arial"/>
                <w:color w:val="D6E9F8"/>
                <w:sz w:val="17"/>
                <w:szCs w:val="17"/>
              </w:rPr>
              <w:t>The volume of knowledge work researching, drafting, querying, coordinating, reporting, complying structurally exceeds what any affordable number of hires can cover. A single NGO programme officer performs the work of five specialists simultaneously. Quality suffers. Deadlines slip. Compliance fails.</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2999E12D">
            <w:pPr>
              <w:spacing w:before="0" w:after="60"/>
            </w:pPr>
            <w:r>
              <w:rPr>
                <w:rFonts w:ascii="Arial" w:hAnsi="Arial" w:eastAsia="Arial" w:cs="Arial"/>
                <w:b/>
                <w:bCs/>
                <w:color w:val="FFFFFF"/>
                <w:sz w:val="20"/>
                <w:szCs w:val="20"/>
              </w:rPr>
              <w:t>4. Jobs and org structures are industrial-era artefacts</w:t>
            </w:r>
          </w:p>
          <w:p w14:paraId="763BFE6E">
            <w:pPr>
              <w:spacing w:before="0" w:after="0" w:line="276" w:lineRule="auto"/>
            </w:pPr>
            <w:r>
              <w:rPr>
                <w:rFonts w:ascii="Arial" w:hAnsi="Arial" w:eastAsia="Arial" w:cs="Arial"/>
                <w:color w:val="D6E9F8"/>
                <w:sz w:val="17"/>
                <w:szCs w:val="17"/>
              </w:rPr>
              <w:t>Job descriptions, qualifications, and org charts were invented to manage industrial labour. The AI age demands a different unit of organisational design: skills, outcomes, and coordinated intelligence not headcount. The organisations that understand this first will operate at an entirely different level.</w:t>
            </w:r>
          </w:p>
        </w:tc>
      </w:tr>
    </w:tbl>
    <w:p w14:paraId="272B058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A7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D6FA4" w:sz="4" w:space="0"/>
              <w:left w:val="single" w:color="1D6FA4" w:sz="18" w:space="0"/>
              <w:bottom w:val="single" w:color="1D6FA4" w:sz="4" w:space="0"/>
              <w:right w:val="nil"/>
            </w:tcBorders>
            <w:shd w:val="clear" w:color="auto" w:fill="D6E9F8"/>
            <w:tcMar>
              <w:top w:w="100" w:type="dxa"/>
              <w:left w:w="180" w:type="dxa"/>
              <w:bottom w:w="100" w:type="dxa"/>
              <w:right w:w="180" w:type="dxa"/>
            </w:tcMar>
          </w:tcPr>
          <w:p w14:paraId="15DA60A7">
            <w:pPr>
              <w:spacing w:before="0" w:after="0" w:line="276" w:lineRule="auto"/>
            </w:pPr>
            <w:r>
              <w:rPr>
                <w:rFonts w:ascii="Arial" w:hAnsi="Arial" w:eastAsia="Arial" w:cs="Arial"/>
                <w:b/>
                <w:bCs/>
                <w:color w:val="111111"/>
                <w:sz w:val="20"/>
                <w:szCs w:val="20"/>
              </w:rPr>
              <w:t>NeuroWorks' answer: design your own man-machine organisation. Define the roles, the policies, the outcomes. NeuroWorks turns job descriptions into AI workers that perform those roles at scale briefed like people, governed by the organisation's own policies, supervised by humans, and learning continuously from the organisation's own data through IntelliNexus.</w:t>
            </w:r>
          </w:p>
        </w:tc>
      </w:tr>
    </w:tbl>
    <w:p w14:paraId="7693038D">
      <w:pPr>
        <w:spacing w:before="40" w:after="40"/>
      </w:pPr>
    </w:p>
    <w:p w14:paraId="7D154D9D">
      <w:pPr>
        <w:pStyle w:val="3"/>
        <w:spacing w:before="180" w:after="80" w:line="276" w:lineRule="auto"/>
      </w:pPr>
      <w:r>
        <w:rPr>
          <w:rFonts w:ascii="Arial" w:hAnsi="Arial" w:eastAsia="Arial" w:cs="Arial"/>
          <w:b/>
          <w:bCs/>
          <w:color w:val="1D6FA4"/>
          <w:sz w:val="22"/>
          <w:szCs w:val="22"/>
        </w:rPr>
        <w:t>1.2 The Intelligent Organisation What It Looks Like</w:t>
      </w:r>
    </w:p>
    <w:p w14:paraId="7C1875F3">
      <w:pPr>
        <w:spacing w:before="80" w:after="80" w:line="276" w:lineRule="auto"/>
      </w:pPr>
      <w:r>
        <w:rPr>
          <w:rFonts w:ascii="Arial" w:hAnsi="Arial" w:eastAsia="Arial" w:cs="Arial"/>
          <w:color w:val="111111"/>
          <w:sz w:val="22"/>
          <w:szCs w:val="22"/>
        </w:rPr>
        <w:t>The intelligent organisation does not replace humans with AI. It reorganises how intelligence is deployed so that human capacity is directed at judgment, relationships, and decisions that genuinely require it while AI workers handle the information-based, tool-mediated portion of knowledge work that currently consumes most of an organisation's time. It is not a hybrid of the old model and a new tool. It is a different design entirely.</w:t>
      </w:r>
    </w:p>
    <w:p w14:paraId="6995C5A8">
      <w:pPr>
        <w:spacing w:before="40" w:after="40"/>
      </w:pPr>
    </w:p>
    <w:p w14:paraId="32F912DB">
      <w:pPr>
        <w:spacing w:before="80" w:after="80" w:line="276" w:lineRule="auto"/>
      </w:pPr>
      <w:r>
        <w:rPr>
          <w:rFonts w:ascii="Arial" w:hAnsi="Arial" w:eastAsia="Arial" w:cs="Arial"/>
          <w:color w:val="111111"/>
          <w:sz w:val="22"/>
          <w:szCs w:val="22"/>
        </w:rPr>
        <w:t>NeuroWorks digital workers are not tools. A tool waits to be used. A NeuroWorks digital worker receives a goal, forms a plan, calls the tools it needs, checks every action against the organisation's uploaded policy constraints, and pauses for human approval before anything consequential executes. The human stays in control of judgment. The worker handles execution. Brief it the way you brief a person.</w:t>
      </w:r>
    </w:p>
    <w:p w14:paraId="15962681">
      <w:pPr>
        <w:spacing w:before="40" w:after="40"/>
      </w:pPr>
    </w:p>
    <w:p w14:paraId="1BDDD97D">
      <w:pPr>
        <w:pStyle w:val="3"/>
        <w:spacing w:before="180" w:after="80" w:line="276" w:lineRule="auto"/>
      </w:pPr>
      <w:r>
        <w:rPr>
          <w:rFonts w:ascii="Arial" w:hAnsi="Arial" w:eastAsia="Arial" w:cs="Arial"/>
          <w:b/>
          <w:bCs/>
          <w:color w:val="1D6FA4"/>
          <w:sz w:val="22"/>
          <w:szCs w:val="22"/>
        </w:rPr>
        <w:t>1.3 Target Users and Beneficiaries</w:t>
      </w:r>
    </w:p>
    <w:p w14:paraId="513043B6">
      <w:pPr>
        <w:spacing w:before="80" w:after="80" w:line="276" w:lineRule="auto"/>
      </w:pPr>
      <w:r>
        <w:rPr>
          <w:rFonts w:ascii="Arial" w:hAnsi="Arial" w:eastAsia="Arial" w:cs="Arial"/>
          <w:color w:val="111111"/>
          <w:sz w:val="22"/>
          <w:szCs w:val="22"/>
        </w:rPr>
        <w:t>NeuroWorks is an operational platform, not a consumer product. Its 12 built-in sector context packs name the intended Zimbabwe-market users with real institutional detail:</w:t>
      </w:r>
    </w:p>
    <w:p w14:paraId="5602762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296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E1BB2C9">
            <w:pPr>
              <w:spacing w:before="0" w:after="0"/>
            </w:pPr>
            <w:r>
              <w:rPr>
                <w:rFonts w:ascii="Arial" w:hAnsi="Arial" w:eastAsia="Arial" w:cs="Arial"/>
                <w:b/>
                <w:bCs/>
                <w:color w:val="FFFFFF"/>
                <w:sz w:val="18"/>
                <w:szCs w:val="18"/>
              </w:rPr>
              <w:t>Sector</w:t>
            </w:r>
          </w:p>
        </w:tc>
        <w:tc>
          <w:tcPr>
            <w:tcW w:w="69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A313B60">
            <w:pPr>
              <w:spacing w:before="0" w:after="0"/>
            </w:pPr>
            <w:r>
              <w:rPr>
                <w:rFonts w:ascii="Arial" w:hAnsi="Arial" w:eastAsia="Arial" w:cs="Arial"/>
                <w:b/>
                <w:bCs/>
                <w:color w:val="FFFFFF"/>
                <w:sz w:val="18"/>
                <w:szCs w:val="18"/>
              </w:rPr>
              <w:t>Named target users and institutions</w:t>
            </w:r>
          </w:p>
        </w:tc>
      </w:tr>
      <w:tr w14:paraId="36E4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7CDE7C9">
            <w:pPr>
              <w:spacing w:before="0" w:after="0"/>
            </w:pPr>
            <w:r>
              <w:rPr>
                <w:rFonts w:ascii="Arial" w:hAnsi="Arial" w:eastAsia="Arial" w:cs="Arial"/>
                <w:b w:val="0"/>
                <w:bCs w:val="0"/>
                <w:color w:val="111111"/>
                <w:sz w:val="17"/>
                <w:szCs w:val="17"/>
              </w:rPr>
              <w:t>Finance and fintech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E96413">
            <w:pPr>
              <w:spacing w:before="0" w:after="0"/>
            </w:pPr>
            <w:r>
              <w:rPr>
                <w:rFonts w:ascii="Arial" w:hAnsi="Arial" w:eastAsia="Arial" w:cs="Arial"/>
                <w:b w:val="0"/>
                <w:bCs w:val="0"/>
                <w:color w:val="111111"/>
                <w:sz w:val="17"/>
                <w:szCs w:val="17"/>
              </w:rPr>
              <w:t>Reconciliation desks, agent-network managers RBZ framework, EcoCash, OneMoney mobile money infrastructure</w:t>
            </w:r>
          </w:p>
        </w:tc>
      </w:tr>
      <w:tr w14:paraId="3E7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05F46BB">
            <w:pPr>
              <w:spacing w:before="0" w:after="0"/>
            </w:pPr>
            <w:r>
              <w:rPr>
                <w:rFonts w:ascii="Arial" w:hAnsi="Arial" w:eastAsia="Arial" w:cs="Arial"/>
                <w:b w:val="0"/>
                <w:bCs w:val="0"/>
                <w:color w:val="111111"/>
                <w:sz w:val="17"/>
                <w:szCs w:val="17"/>
              </w:rPr>
              <w:t>Agriculture</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209F03E">
            <w:pPr>
              <w:spacing w:before="0" w:after="0"/>
            </w:pPr>
            <w:r>
              <w:rPr>
                <w:rFonts w:ascii="Arial" w:hAnsi="Arial" w:eastAsia="Arial" w:cs="Arial"/>
                <w:b w:val="0"/>
                <w:bCs w:val="0"/>
                <w:color w:val="111111"/>
                <w:sz w:val="17"/>
                <w:szCs w:val="17"/>
              </w:rPr>
              <w:t>Field-reporting teams, input-financing coordinators Pfumvudza/Intwasa government smallholder programme, GMB</w:t>
            </w:r>
          </w:p>
        </w:tc>
      </w:tr>
      <w:tr w14:paraId="6FCF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24D0E8F">
            <w:pPr>
              <w:spacing w:before="0" w:after="0"/>
            </w:pPr>
            <w:r>
              <w:rPr>
                <w:rFonts w:ascii="Arial" w:hAnsi="Arial" w:eastAsia="Arial" w:cs="Arial"/>
                <w:b w:val="0"/>
                <w:bCs w:val="0"/>
                <w:color w:val="111111"/>
                <w:sz w:val="17"/>
                <w:szCs w:val="17"/>
              </w:rPr>
              <w:t>Health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E1D4DD">
            <w:pPr>
              <w:spacing w:before="0" w:after="0"/>
            </w:pPr>
            <w:r>
              <w:rPr>
                <w:rFonts w:ascii="Arial" w:hAnsi="Arial" w:eastAsia="Arial" w:cs="Arial"/>
                <w:b w:val="0"/>
                <w:bCs w:val="0"/>
                <w:color w:val="111111"/>
                <w:sz w:val="17"/>
                <w:szCs w:val="17"/>
              </w:rPr>
              <w:t>Community health worker coordinators, stock-out analysts MOHCC, DHIS2-integrated facilities</w:t>
            </w:r>
          </w:p>
        </w:tc>
      </w:tr>
      <w:tr w14:paraId="41DA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F1432A8">
            <w:pPr>
              <w:spacing w:before="0" w:after="0"/>
            </w:pPr>
            <w:r>
              <w:rPr>
                <w:rFonts w:ascii="Arial" w:hAnsi="Arial" w:eastAsia="Arial" w:cs="Arial"/>
                <w:b w:val="0"/>
                <w:bCs w:val="0"/>
                <w:color w:val="111111"/>
                <w:sz w:val="17"/>
                <w:szCs w:val="17"/>
              </w:rPr>
              <w:t>Education</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7C3570B">
            <w:pPr>
              <w:spacing w:before="0" w:after="0"/>
            </w:pPr>
            <w:r>
              <w:rPr>
                <w:rFonts w:ascii="Arial" w:hAnsi="Arial" w:eastAsia="Arial" w:cs="Arial"/>
                <w:b w:val="0"/>
                <w:bCs w:val="0"/>
                <w:color w:val="111111"/>
                <w:sz w:val="17"/>
                <w:szCs w:val="17"/>
              </w:rPr>
              <w:t>Admin offices, reporting staff ZIMSEC exam board, 2-7-4-2-4 curriculum institutions</w:t>
            </w:r>
          </w:p>
        </w:tc>
      </w:tr>
      <w:tr w14:paraId="3407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D6CC6A">
            <w:pPr>
              <w:spacing w:before="0" w:after="0"/>
            </w:pPr>
            <w:r>
              <w:rPr>
                <w:rFonts w:ascii="Arial" w:hAnsi="Arial" w:eastAsia="Arial" w:cs="Arial"/>
                <w:b w:val="0"/>
                <w:bCs w:val="0"/>
                <w:color w:val="111111"/>
                <w:sz w:val="17"/>
                <w:szCs w:val="17"/>
              </w:rPr>
              <w:t>Tourism</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A4C1AB">
            <w:pPr>
              <w:spacing w:before="0" w:after="0"/>
            </w:pPr>
            <w:r>
              <w:rPr>
                <w:rFonts w:ascii="Arial" w:hAnsi="Arial" w:eastAsia="Arial" w:cs="Arial"/>
                <w:b w:val="0"/>
                <w:bCs w:val="0"/>
                <w:color w:val="111111"/>
                <w:sz w:val="17"/>
                <w:szCs w:val="17"/>
              </w:rPr>
              <w:t>Booking desks, intelligence teams ZTA (Zimbabwe Tourism Authority), UNIVISA/KAZA cross-border scheme</w:t>
            </w:r>
          </w:p>
        </w:tc>
      </w:tr>
      <w:tr w14:paraId="2217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1FAFAC3">
            <w:pPr>
              <w:spacing w:before="0" w:after="0"/>
            </w:pPr>
            <w:r>
              <w:rPr>
                <w:rFonts w:ascii="Arial" w:hAnsi="Arial" w:eastAsia="Arial" w:cs="Arial"/>
                <w:b w:val="0"/>
                <w:bCs w:val="0"/>
                <w:color w:val="111111"/>
                <w:sz w:val="17"/>
                <w:szCs w:val="17"/>
              </w:rPr>
              <w:t>Public services</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CA9E910">
            <w:pPr>
              <w:spacing w:before="0" w:after="0"/>
            </w:pPr>
            <w:r>
              <w:rPr>
                <w:rFonts w:ascii="Arial" w:hAnsi="Arial" w:eastAsia="Arial" w:cs="Arial"/>
                <w:b w:val="0"/>
                <w:bCs w:val="0"/>
                <w:color w:val="111111"/>
                <w:sz w:val="17"/>
                <w:szCs w:val="17"/>
              </w:rPr>
              <w:t>Procurement compliance, records management PRAZ, devolution-agenda departments, ZIMRA</w:t>
            </w:r>
          </w:p>
        </w:tc>
      </w:tr>
      <w:tr w14:paraId="45A0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E34E4A">
            <w:pPr>
              <w:spacing w:before="0" w:after="0"/>
            </w:pPr>
            <w:r>
              <w:rPr>
                <w:rFonts w:ascii="Arial" w:hAnsi="Arial" w:eastAsia="Arial" w:cs="Arial"/>
                <w:b w:val="0"/>
                <w:bCs w:val="0"/>
                <w:color w:val="111111"/>
                <w:sz w:val="17"/>
                <w:szCs w:val="17"/>
              </w:rPr>
              <w:t>Informal economy / retail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098D9BB">
            <w:pPr>
              <w:spacing w:before="0" w:after="0"/>
            </w:pPr>
            <w:r>
              <w:rPr>
                <w:rFonts w:ascii="Arial" w:hAnsi="Arial" w:eastAsia="Arial" w:cs="Arial"/>
                <w:b w:val="0"/>
                <w:bCs w:val="0"/>
                <w:color w:val="111111"/>
                <w:sz w:val="17"/>
                <w:szCs w:val="17"/>
              </w:rPr>
              <w:t>Market operators — Mbare Musika, kopje trading, USD/ZWL dual pricing, high-density delivery logistics</w:t>
            </w:r>
          </w:p>
        </w:tc>
      </w:tr>
      <w:tr w14:paraId="6B48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E240DF0">
            <w:pPr>
              <w:spacing w:before="0" w:after="0"/>
            </w:pPr>
            <w:r>
              <w:rPr>
                <w:rFonts w:ascii="Arial" w:hAnsi="Arial" w:eastAsia="Arial" w:cs="Arial"/>
                <w:b w:val="0"/>
                <w:bCs w:val="0"/>
                <w:color w:val="111111"/>
                <w:sz w:val="17"/>
                <w:szCs w:val="17"/>
              </w:rPr>
              <w:t>Development / NGO</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3A4B6FA">
            <w:pPr>
              <w:spacing w:before="0" w:after="0"/>
            </w:pPr>
            <w:r>
              <w:rPr>
                <w:rFonts w:ascii="Arial" w:hAnsi="Arial" w:eastAsia="Arial" w:cs="Arial"/>
                <w:b w:val="0"/>
                <w:bCs w:val="0"/>
                <w:color w:val="111111"/>
                <w:sz w:val="17"/>
                <w:szCs w:val="17"/>
              </w:rPr>
              <w:t>Grant reporting, donor coordination — WFP, WHO, UNICEF, UNDP reporting cadences</w:t>
            </w:r>
          </w:p>
        </w:tc>
      </w:tr>
    </w:tbl>
    <w:p w14:paraId="458B93E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3B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45309" w:sz="4" w:space="0"/>
              <w:left w:val="single" w:color="B45309" w:sz="18" w:space="0"/>
              <w:bottom w:val="single" w:color="B45309" w:sz="4" w:space="0"/>
              <w:right w:val="nil"/>
            </w:tcBorders>
            <w:shd w:val="clear" w:color="auto" w:fill="FFF2CC"/>
            <w:tcMar>
              <w:top w:w="100" w:type="dxa"/>
              <w:left w:w="180" w:type="dxa"/>
              <w:bottom w:w="100" w:type="dxa"/>
              <w:right w:w="180" w:type="dxa"/>
            </w:tcMar>
          </w:tcPr>
          <w:p w14:paraId="644C66AA">
            <w:pPr>
              <w:spacing w:before="0" w:after="50"/>
            </w:pPr>
            <w:r>
              <w:rPr>
                <w:rFonts w:ascii="Arial" w:hAnsi="Arial" w:eastAsia="Arial" w:cs="Arial"/>
                <w:b/>
                <w:bCs/>
                <w:color w:val="B45309"/>
                <w:sz w:val="20"/>
                <w:szCs w:val="20"/>
              </w:rPr>
              <w:t>Scope boundary</w:t>
            </w:r>
          </w:p>
          <w:p w14:paraId="63147479">
            <w:pPr>
              <w:spacing w:before="0" w:after="0" w:line="276" w:lineRule="auto"/>
            </w:pPr>
            <w:r>
              <w:rPr>
                <w:rFonts w:ascii="Arial" w:hAnsi="Arial" w:eastAsia="Arial" w:cs="Arial"/>
                <w:b w:val="0"/>
                <w:bCs w:val="0"/>
                <w:color w:val="111111"/>
                <w:sz w:val="20"/>
                <w:szCs w:val="20"/>
              </w:rPr>
              <w:t>Fisheries, future skills, and energy do not have dedicated sector packs today. Stated plainly rather than stretched to fit.</w:t>
            </w:r>
          </w:p>
        </w:tc>
      </w:tr>
    </w:tbl>
    <w:p w14:paraId="62F73D3E">
      <w:pPr>
        <w:spacing w:before="40" w:after="40"/>
      </w:pPr>
    </w:p>
    <w:p w14:paraId="22631E8D">
      <w:pPr>
        <w:pStyle w:val="3"/>
        <w:spacing w:before="180" w:after="80" w:line="276" w:lineRule="auto"/>
      </w:pPr>
      <w:r>
        <w:rPr>
          <w:rFonts w:ascii="Arial" w:hAnsi="Arial" w:eastAsia="Arial" w:cs="Arial"/>
          <w:b/>
          <w:bCs/>
          <w:color w:val="1D6FA4"/>
          <w:sz w:val="22"/>
          <w:szCs w:val="22"/>
        </w:rPr>
        <w:t>1.4 Strategic Alignment</w:t>
      </w:r>
    </w:p>
    <w:p w14:paraId="5F5995DE">
      <w:pPr>
        <w:pStyle w:val="4"/>
        <w:spacing w:before="140" w:after="60" w:line="276" w:lineRule="auto"/>
      </w:pPr>
      <w:r>
        <w:rPr>
          <w:rFonts w:ascii="Arial" w:hAnsi="Arial" w:eastAsia="Arial" w:cs="Arial"/>
          <w:b/>
          <w:bCs/>
          <w:color w:val="1A3F5C"/>
          <w:sz w:val="22"/>
          <w:szCs w:val="22"/>
        </w:rPr>
        <w:t>National AI Strategy Specific Pillar Alignment</w:t>
      </w:r>
    </w:p>
    <w:p w14:paraId="2B61F870">
      <w:pPr>
        <w:spacing w:before="80" w:after="80" w:line="276" w:lineRule="auto"/>
      </w:pPr>
      <w:r>
        <w:rPr>
          <w:rFonts w:ascii="Arial" w:hAnsi="Arial" w:eastAsia="Arial" w:cs="Arial"/>
          <w:color w:val="111111"/>
          <w:sz w:val="22"/>
          <w:szCs w:val="22"/>
        </w:rPr>
        <w:t>Pillar 1 (AI Talent and Capacity Development): direct fit. NeuroWorks turns job descriptions into AI workers that perform roles at scale precisely the capacity-development lever the Strategy identifies. IntelliNexus ensures that as agents perform work, the governed, hash-verified datasets they generate are available for both machine retrieval and human learning, creating a continuous institutional capacity-building loop. Every deployment builds AI-adjacent skills in the humans who supervise, approve, brief, and learn alongside digital workers. Pillar 3 (AI Adoption and Service Transformation): direct fit. NeuroWorks operationalises AI adoption inside real Zimbabwean institutions not a pilot chatbot but a deployed AI workforce under the institution’s own policies. The governance engine enforces compliance before any action executes; the HITL gate keeps human oversight mandatory; the audit trail satisfies accountability requirements. Sector packs with named institutions (PRAZ, MOHCC, ZIMSEC) demonstrate adoption targeted at real service-delivery contexts. Further alignment: local-first Ollama (62.7% of calls served locally, no mandatory foreign cloud); Paynow Zimbabwe integration; IntelliNexus as a partial national data-assets capability at current single-operator scale.</w:t>
      </w:r>
    </w:p>
    <w:p w14:paraId="625EA275">
      <w:pPr>
        <w:spacing w:before="40" w:after="40"/>
      </w:pPr>
    </w:p>
    <w:p w14:paraId="3365F868">
      <w:pPr>
        <w:pStyle w:val="4"/>
        <w:spacing w:before="140" w:after="60" w:line="276" w:lineRule="auto"/>
      </w:pPr>
      <w:r>
        <w:rPr>
          <w:rFonts w:ascii="Arial" w:hAnsi="Arial" w:eastAsia="Arial" w:cs="Arial"/>
          <w:b/>
          <w:bCs/>
          <w:color w:val="1A3F5C"/>
          <w:sz w:val="22"/>
          <w:szCs w:val="22"/>
        </w:rPr>
        <w:t>NDS2 Pillars and Further Alignment</w:t>
      </w:r>
    </w:p>
    <w:p w14:paraId="15CF4CE9">
      <w:pPr>
        <w:spacing w:before="80" w:after="80" w:line="276" w:lineRule="auto"/>
      </w:pPr>
      <w:r>
        <w:rPr>
          <w:rFonts w:ascii="Arial" w:hAnsi="Arial" w:eastAsia="Arial" w:cs="Arial"/>
          <w:color w:val="111111"/>
          <w:sz w:val="22"/>
          <w:szCs w:val="22"/>
        </w:rPr>
        <w:t>Pillar 3 (Governance and Institutions): strongest claim pre-execution policy enforcement, named PRAZ and devolution focus, full audit trail on every agent action. Pillar 1 (Economic Growth and Stability): real productivity in fintech, agriculture, tourism, and public services. Pillar 2 (Social Development): partial fit through health-pack community-health-worker coordination and education-pack admin efficiency. Pillars 4 and 5 are not claimed.</w:t>
      </w:r>
    </w:p>
    <w:p w14:paraId="6F32828B">
      <w:pPr>
        <w:spacing w:before="40" w:after="40"/>
      </w:pPr>
    </w:p>
    <w:p w14:paraId="3E7807AC">
      <w:pPr>
        <w:pStyle w:val="2"/>
        <w:spacing w:before="280" w:after="120" w:line="276" w:lineRule="auto"/>
      </w:pPr>
      <w:r>
        <w:rPr>
          <w:rFonts w:ascii="Arial" w:hAnsi="Arial" w:eastAsia="Arial" w:cs="Arial"/>
          <w:b/>
          <w:bCs/>
          <w:color w:val="0D2137"/>
          <w:sz w:val="26"/>
          <w:szCs w:val="26"/>
        </w:rPr>
        <w:t>Section 2 Technical Design and Product Logic</w:t>
      </w:r>
    </w:p>
    <w:p w14:paraId="1797D579">
      <w:pPr>
        <w:pStyle w:val="3"/>
        <w:spacing w:before="180" w:after="80" w:line="276" w:lineRule="auto"/>
      </w:pPr>
      <w:r>
        <w:rPr>
          <w:rFonts w:ascii="Arial" w:hAnsi="Arial" w:eastAsia="Arial" w:cs="Arial"/>
          <w:b/>
          <w:bCs/>
          <w:color w:val="1D6FA4"/>
          <w:sz w:val="22"/>
          <w:szCs w:val="22"/>
        </w:rPr>
        <w:t>2.1 System Architecture</w:t>
      </w:r>
    </w:p>
    <w:p w14:paraId="2DE4D39B">
      <w:pPr>
        <w:spacing w:before="80" w:after="80" w:line="276" w:lineRule="auto"/>
      </w:pPr>
      <w:r>
        <w:rPr>
          <w:rFonts w:ascii="Arial" w:hAnsi="Arial" w:eastAsia="Arial" w:cs="Arial"/>
          <w:color w:val="111111"/>
          <w:sz w:val="22"/>
          <w:szCs w:val="22"/>
        </w:rPr>
        <w:t>NeuroWorks operates as three layers. At the bottom: tools databases, email, GitHub, payment systems, file stores. In the middle: HERMES, the MCP tool-governance layer an allowlisted set of approximately 90 primitives defining exactly what agents can and cannot do. At the top: digital workers LLM-powered agents that receive goals, form plans, and call tools through HERMES under mandatory human oversight at every consequential step.</w:t>
      </w:r>
    </w:p>
    <w:p w14:paraId="7D7AD68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6A6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7EEC0423">
            <w:pPr>
              <w:spacing w:before="0" w:after="0"/>
            </w:pPr>
            <w:r>
              <w:rPr>
                <w:rFonts w:ascii="Arial" w:hAnsi="Arial" w:eastAsia="Arial" w:cs="Arial"/>
                <w:b/>
                <w:bCs/>
                <w:color w:val="1A3F5C"/>
                <w:sz w:val="18"/>
                <w:szCs w:val="18"/>
              </w:rPr>
              <w:t>Backend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F1FD0F5">
            <w:pPr>
              <w:spacing w:before="0" w:after="0"/>
            </w:pPr>
            <w:r>
              <w:rPr>
                <w:rFonts w:ascii="Arial" w:hAnsi="Arial" w:eastAsia="Arial" w:cs="Arial"/>
                <w:b w:val="0"/>
                <w:bCs w:val="0"/>
                <w:color w:val="111111"/>
                <w:sz w:val="18"/>
                <w:szCs w:val="18"/>
              </w:rPr>
              <w:t>Node.js / TypeScript, Express 28 live routers, lib/ (85 business-logic files), routes/ (46 handlers). Every route has a real handler; no scaffolding stubs.</w:t>
            </w:r>
          </w:p>
        </w:tc>
      </w:tr>
      <w:tr w14:paraId="237A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15F5491">
            <w:pPr>
              <w:spacing w:before="0" w:after="0"/>
            </w:pPr>
            <w:r>
              <w:rPr>
                <w:rFonts w:ascii="Arial" w:hAnsi="Arial" w:eastAsia="Arial" w:cs="Arial"/>
                <w:b/>
                <w:bCs/>
                <w:color w:val="1A3F5C"/>
                <w:sz w:val="18"/>
                <w:szCs w:val="18"/>
              </w:rPr>
              <w:t>Frontend</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72F8032">
            <w:pPr>
              <w:spacing w:before="0" w:after="0"/>
            </w:pPr>
            <w:r>
              <w:rPr>
                <w:rFonts w:ascii="Arial" w:hAnsi="Arial" w:eastAsia="Arial" w:cs="Arial"/>
                <w:b w:val="0"/>
                <w:bCs w:val="0"/>
                <w:color w:val="111111"/>
                <w:sz w:val="18"/>
                <w:szCs w:val="18"/>
              </w:rPr>
              <w:t>Next.js 14, React, TypeScript 37 pages: operator console, Mission Control, Knowledge Packs browser, cost dashboard, governance policy manager.</w:t>
            </w:r>
          </w:p>
        </w:tc>
      </w:tr>
      <w:tr w14:paraId="0003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0C71216B">
            <w:pPr>
              <w:spacing w:before="0" w:after="0"/>
            </w:pPr>
            <w:r>
              <w:rPr>
                <w:rFonts w:ascii="Arial" w:hAnsi="Arial" w:eastAsia="Arial" w:cs="Arial"/>
                <w:b/>
                <w:bCs/>
                <w:color w:val="1A3F5C"/>
                <w:sz w:val="18"/>
                <w:szCs w:val="18"/>
              </w:rPr>
              <w:t>Agent orchestration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CBC357F">
            <w:pPr>
              <w:spacing w:before="0" w:after="0"/>
            </w:pPr>
            <w:r>
              <w:rPr>
                <w:rFonts w:ascii="Arial" w:hAnsi="Arial" w:eastAsia="Arial" w:cs="Arial"/>
                <w:b w:val="0"/>
                <w:bCs w:val="0"/>
                <w:color w:val="111111"/>
                <w:sz w:val="18"/>
                <w:szCs w:val="18"/>
              </w:rPr>
              <w:t>LangGraph multi-agent via EXECUTOR inter-agent communication, HITL gate management, structured audit logging on every action.</w:t>
            </w:r>
          </w:p>
        </w:tc>
      </w:tr>
      <w:tr w14:paraId="740F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02768C18">
            <w:pPr>
              <w:spacing w:before="0" w:after="0"/>
            </w:pPr>
            <w:r>
              <w:rPr>
                <w:rFonts w:ascii="Arial" w:hAnsi="Arial" w:eastAsia="Arial" w:cs="Arial"/>
                <w:b/>
                <w:bCs/>
                <w:color w:val="1A3F5C"/>
                <w:sz w:val="18"/>
                <w:szCs w:val="18"/>
              </w:rPr>
              <w:t>Local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8AB19E2">
            <w:pPr>
              <w:spacing w:before="0" w:after="0"/>
            </w:pPr>
            <w:r>
              <w:rPr>
                <w:rFonts w:ascii="Arial" w:hAnsi="Arial" w:eastAsia="Arial" w:cs="Arial"/>
                <w:b w:val="0"/>
                <w:bCs w:val="0"/>
                <w:color w:val="111111"/>
                <w:sz w:val="18"/>
                <w:szCs w:val="18"/>
              </w:rPr>
              <w:t>Ollama always-on, zero API key. Default path. No data leaves the machine. Planning, synthesis, extraction all local.</w:t>
            </w:r>
          </w:p>
        </w:tc>
      </w:tr>
      <w:tr w14:paraId="484D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B5358C5">
            <w:pPr>
              <w:spacing w:before="0" w:after="0"/>
            </w:pPr>
            <w:r>
              <w:rPr>
                <w:rFonts w:ascii="Arial" w:hAnsi="Arial" w:eastAsia="Arial" w:cs="Arial"/>
                <w:b/>
                <w:bCs/>
                <w:color w:val="1A3F5C"/>
                <w:sz w:val="18"/>
                <w:szCs w:val="18"/>
              </w:rPr>
              <w:t>Cloud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C01504">
            <w:pPr>
              <w:spacing w:before="0" w:after="0"/>
            </w:pPr>
            <w:r>
              <w:rPr>
                <w:rFonts w:ascii="Arial" w:hAnsi="Arial" w:eastAsia="Arial" w:cs="Arial"/>
                <w:b w:val="0"/>
                <w:bCs w:val="0"/>
                <w:color w:val="111111"/>
                <w:sz w:val="18"/>
                <w:szCs w:val="18"/>
              </w:rPr>
              <w:t>OpenRouter + circuit breaker + billing-exhaustion fallback to Ollama. Claude / Anthropic cost-tiered. Opt-in only.</w:t>
            </w:r>
          </w:p>
        </w:tc>
      </w:tr>
      <w:tr w14:paraId="026B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2AE774CA">
            <w:pPr>
              <w:spacing w:before="0" w:after="0"/>
            </w:pPr>
            <w:r>
              <w:rPr>
                <w:rFonts w:ascii="Arial" w:hAnsi="Arial" w:eastAsia="Arial" w:cs="Arial"/>
                <w:b/>
                <w:bCs/>
                <w:color w:val="1A3F5C"/>
                <w:sz w:val="18"/>
                <w:szCs w:val="18"/>
              </w:rPr>
              <w:t>Vector store (RAG)</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4137641">
            <w:pPr>
              <w:spacing w:before="0" w:after="0"/>
            </w:pPr>
            <w:r>
              <w:rPr>
                <w:rFonts w:ascii="Arial" w:hAnsi="Arial" w:eastAsia="Arial" w:cs="Arial"/>
                <w:b w:val="0"/>
                <w:bCs w:val="0"/>
                <w:color w:val="111111"/>
                <w:sz w:val="18"/>
                <w:szCs w:val="18"/>
              </w:rPr>
              <w:t>Qdrant organisation-isolated collections, HNSW indexing, snapshot export for portability.</w:t>
            </w:r>
          </w:p>
        </w:tc>
      </w:tr>
      <w:tr w14:paraId="302C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5FE25BA">
            <w:pPr>
              <w:spacing w:before="0" w:after="0"/>
            </w:pPr>
            <w:r>
              <w:rPr>
                <w:rFonts w:ascii="Arial" w:hAnsi="Arial" w:eastAsia="Arial" w:cs="Arial"/>
                <w:b/>
                <w:bCs/>
                <w:color w:val="1A3F5C"/>
                <w:sz w:val="18"/>
                <w:szCs w:val="18"/>
              </w:rPr>
              <w:t>Relational database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47D149B">
            <w:pPr>
              <w:spacing w:before="0" w:after="0"/>
            </w:pPr>
            <w:r>
              <w:rPr>
                <w:rFonts w:ascii="Arial" w:hAnsi="Arial" w:eastAsia="Arial" w:cs="Arial"/>
                <w:b w:val="0"/>
                <w:bCs w:val="0"/>
                <w:color w:val="111111"/>
                <w:sz w:val="18"/>
                <w:szCs w:val="18"/>
              </w:rPr>
              <w:t>PostgreSQL users, orgs, job definitions, audit logs, billing, connector configs.</w:t>
            </w:r>
          </w:p>
        </w:tc>
      </w:tr>
      <w:tr w14:paraId="2A89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3BB2840">
            <w:pPr>
              <w:spacing w:before="0" w:after="0"/>
            </w:pPr>
            <w:r>
              <w:rPr>
                <w:rFonts w:ascii="Arial" w:hAnsi="Arial" w:eastAsia="Arial" w:cs="Arial"/>
                <w:b/>
                <w:bCs/>
                <w:color w:val="1A3F5C"/>
                <w:sz w:val="18"/>
                <w:szCs w:val="18"/>
              </w:rPr>
              <w:t>Cache / agent state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51288BA">
            <w:pPr>
              <w:spacing w:before="0" w:after="0"/>
            </w:pPr>
            <w:r>
              <w:rPr>
                <w:rFonts w:ascii="Arial" w:hAnsi="Arial" w:eastAsia="Arial" w:cs="Arial"/>
                <w:b w:val="0"/>
                <w:bCs w:val="0"/>
                <w:color w:val="111111"/>
                <w:sz w:val="18"/>
                <w:szCs w:val="18"/>
              </w:rPr>
              <w:t>Redis working memory and job queues during execution; persisted to PostgreSQL on mission completion.</w:t>
            </w:r>
          </w:p>
        </w:tc>
      </w:tr>
      <w:tr w14:paraId="1F10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8297F49">
            <w:pPr>
              <w:spacing w:before="0" w:after="0"/>
            </w:pPr>
            <w:r>
              <w:rPr>
                <w:rFonts w:ascii="Arial" w:hAnsi="Arial" w:eastAsia="Arial" w:cs="Arial"/>
                <w:b/>
                <w:bCs/>
                <w:color w:val="1A3F5C"/>
                <w:sz w:val="18"/>
                <w:szCs w:val="18"/>
              </w:rPr>
              <w:t>Secrets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FDB2E45">
            <w:pPr>
              <w:spacing w:before="0" w:after="0"/>
            </w:pPr>
            <w:r>
              <w:rPr>
                <w:rFonts w:ascii="Arial" w:hAnsi="Arial" w:eastAsia="Arial" w:cs="Arial"/>
                <w:b w:val="0"/>
                <w:bCs w:val="0"/>
                <w:color w:val="111111"/>
                <w:sz w:val="18"/>
                <w:szCs w:val="18"/>
              </w:rPr>
              <w:t>AES-256-GCM encrypted .neuroworks store (secret-box.ts). Credentials never logged or passed by value into agent context.</w:t>
            </w:r>
          </w:p>
        </w:tc>
      </w:tr>
      <w:tr w14:paraId="7739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1C91871F">
            <w:pPr>
              <w:spacing w:before="0" w:after="0"/>
            </w:pPr>
            <w:r>
              <w:rPr>
                <w:rFonts w:ascii="Arial" w:hAnsi="Arial" w:eastAsia="Arial" w:cs="Arial"/>
                <w:b/>
                <w:bCs/>
                <w:color w:val="1A3F5C"/>
                <w:sz w:val="18"/>
                <w:szCs w:val="18"/>
              </w:rPr>
              <w:t xml:space="preserve">IntelliNexus </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5C82567">
            <w:pPr>
              <w:spacing w:before="0" w:after="0"/>
            </w:pPr>
            <w:r>
              <w:rPr>
                <w:rFonts w:ascii="Arial" w:hAnsi="Arial" w:eastAsia="Arial" w:cs="Arial"/>
                <w:b w:val="0"/>
                <w:bCs w:val="0"/>
                <w:color w:val="111111"/>
                <w:sz w:val="18"/>
                <w:szCs w:val="18"/>
              </w:rPr>
              <w:t>7-stage data pipeline: normalise → SHA-256 hash (Merkle root per batch) → confidence score → HITL review queue → entity resolution → publish (4 artifact formats) → vault-index for agent RAG retrieval. Synchronised human and machine learning from the same institutional data.</w:t>
            </w:r>
          </w:p>
        </w:tc>
      </w:tr>
      <w:tr w14:paraId="47F5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249C0F57">
            <w:pPr>
              <w:spacing w:before="0" w:after="0"/>
            </w:pPr>
            <w:r>
              <w:rPr>
                <w:rFonts w:ascii="Arial" w:hAnsi="Arial" w:eastAsia="Arial" w:cs="Arial"/>
                <w:b/>
                <w:bCs/>
                <w:color w:val="1A3F5C"/>
                <w:sz w:val="18"/>
                <w:szCs w:val="18"/>
              </w:rPr>
              <w:t>Payment rails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8DE3602">
            <w:pPr>
              <w:spacing w:before="0" w:after="0"/>
            </w:pPr>
            <w:r>
              <w:rPr>
                <w:rFonts w:ascii="Arial" w:hAnsi="Arial" w:eastAsia="Arial" w:cs="Arial"/>
                <w:b w:val="0"/>
                <w:bCs w:val="0"/>
                <w:color w:val="111111"/>
                <w:sz w:val="18"/>
                <w:szCs w:val="18"/>
              </w:rPr>
              <w:t>Stripe (global) and Paynow Zimbabwe (local) both live-tested. Only platform with a Zimbabwe-market local payment rail already wired.</w:t>
            </w:r>
          </w:p>
        </w:tc>
      </w:tr>
    </w:tbl>
    <w:p w14:paraId="7B970386">
      <w:pPr>
        <w:spacing w:before="40" w:after="40"/>
      </w:pPr>
    </w:p>
    <w:p w14:paraId="54C539A9">
      <w:pPr>
        <w:pStyle w:val="3"/>
        <w:spacing w:before="180" w:after="80" w:line="276" w:lineRule="auto"/>
      </w:pPr>
      <w:r>
        <w:rPr>
          <w:rFonts w:ascii="Arial" w:hAnsi="Arial" w:eastAsia="Arial" w:cs="Arial"/>
          <w:b/>
          <w:bCs/>
          <w:color w:val="1D6FA4"/>
          <w:sz w:val="22"/>
          <w:szCs w:val="22"/>
        </w:rPr>
        <w:t>2.2 AI Models and Justification</w:t>
      </w:r>
    </w:p>
    <w:p w14:paraId="09454B76">
      <w:pPr>
        <w:spacing w:before="80" w:after="80" w:line="276" w:lineRule="auto"/>
      </w:pPr>
      <w:r>
        <w:rPr>
          <w:rFonts w:ascii="Arial" w:hAnsi="Arial" w:eastAsia="Arial" w:cs="Arial"/>
          <w:color w:val="111111"/>
          <w:sz w:val="22"/>
          <w:szCs w:val="22"/>
        </w:rPr>
        <w:t>The tasks NeuroWorks performs are genuinely irreducible to simpler logic: synthesising a reconciliation report from 24 database tables cross-checked against a natural-language policy document; interpreting donor reporting requirements from an uploaded PDF and drafting a compliant narrative; responding to a customer query in Shona within the organisation's service-policy boundaries. None of these are achievable with SQL or rule-based logic. They require language understanding, multi-step planning, and context retention.</w:t>
      </w:r>
    </w:p>
    <w:p w14:paraId="3C62CCD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5FA4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E5534A1">
            <w:pPr>
              <w:spacing w:before="0" w:after="0"/>
            </w:pPr>
            <w:r>
              <w:rPr>
                <w:rFonts w:ascii="Arial" w:hAnsi="Arial" w:eastAsia="Arial" w:cs="Arial"/>
                <w:b/>
                <w:bCs/>
                <w:color w:val="FFFFFF"/>
                <w:sz w:val="18"/>
                <w:szCs w:val="18"/>
              </w:rPr>
              <w:t>Model / method</w:t>
            </w:r>
          </w:p>
        </w:tc>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073CCC7">
            <w:pPr>
              <w:spacing w:before="0" w:after="0"/>
            </w:pPr>
            <w:r>
              <w:rPr>
                <w:rFonts w:ascii="Arial" w:hAnsi="Arial" w:eastAsia="Arial" w:cs="Arial"/>
                <w:b/>
                <w:bCs/>
                <w:color w:val="FFFFFF"/>
                <w:sz w:val="18"/>
                <w:szCs w:val="18"/>
              </w:rPr>
              <w:t>Role</w:t>
            </w:r>
          </w:p>
        </w:tc>
        <w:tc>
          <w:tcPr>
            <w:tcW w:w="37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AA348FD">
            <w:pPr>
              <w:spacing w:before="0" w:after="0"/>
            </w:pPr>
            <w:r>
              <w:rPr>
                <w:rFonts w:ascii="Arial" w:hAnsi="Arial" w:eastAsia="Arial" w:cs="Arial"/>
                <w:b/>
                <w:bCs/>
                <w:color w:val="FFFFFF"/>
                <w:sz w:val="18"/>
                <w:szCs w:val="18"/>
              </w:rPr>
              <w:t>Why</w:t>
            </w:r>
          </w:p>
        </w:tc>
      </w:tr>
      <w:tr w14:paraId="1729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A254DBB">
            <w:pPr>
              <w:spacing w:before="0" w:after="0"/>
            </w:pPr>
            <w:r>
              <w:rPr>
                <w:rFonts w:ascii="Arial" w:hAnsi="Arial" w:eastAsia="Arial" w:cs="Arial"/>
                <w:b w:val="0"/>
                <w:bCs w:val="0"/>
                <w:color w:val="111111"/>
                <w:sz w:val="17"/>
                <w:szCs w:val="17"/>
              </w:rPr>
              <w:t>Ollama — Llama 3.2 3B / Qwen 2.5 7B (local)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52D8404">
            <w:pPr>
              <w:spacing w:before="0" w:after="0"/>
            </w:pPr>
            <w:r>
              <w:rPr>
                <w:rFonts w:ascii="Arial" w:hAnsi="Arial" w:eastAsia="Arial" w:cs="Arial"/>
                <w:b w:val="0"/>
                <w:bCs w:val="0"/>
                <w:color w:val="111111"/>
                <w:sz w:val="17"/>
                <w:szCs w:val="17"/>
              </w:rPr>
              <w:t>Default: planning, synthesis, extraction, drafting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A930029">
            <w:pPr>
              <w:spacing w:before="0" w:after="0"/>
            </w:pPr>
            <w:r>
              <w:rPr>
                <w:rFonts w:ascii="Arial" w:hAnsi="Arial" w:eastAsia="Arial" w:cs="Arial"/>
                <w:b w:val="0"/>
                <w:bCs w:val="0"/>
                <w:color w:val="111111"/>
                <w:sz w:val="17"/>
                <w:szCs w:val="17"/>
              </w:rPr>
              <w:t>Zero cost, zero network transmission, runs on consumer GPU. Covers 62.7% of all calls.</w:t>
            </w:r>
          </w:p>
        </w:tc>
      </w:tr>
      <w:tr w14:paraId="7A4C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D209502">
            <w:pPr>
              <w:spacing w:before="0" w:after="0"/>
            </w:pPr>
            <w:r>
              <w:rPr>
                <w:rFonts w:ascii="Arial" w:hAnsi="Arial" w:eastAsia="Arial" w:cs="Arial"/>
                <w:b w:val="0"/>
                <w:bCs w:val="0"/>
                <w:color w:val="111111"/>
                <w:sz w:val="17"/>
                <w:szCs w:val="17"/>
              </w:rPr>
              <w:t>Ollama — Llama 3.3 70B quantised (local, optional)</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F3BF208">
            <w:pPr>
              <w:spacing w:before="0" w:after="0"/>
            </w:pPr>
            <w:r>
              <w:rPr>
                <w:rFonts w:ascii="Arial" w:hAnsi="Arial" w:eastAsia="Arial" w:cs="Arial"/>
                <w:b w:val="0"/>
                <w:bCs w:val="0"/>
                <w:color w:val="111111"/>
                <w:sz w:val="17"/>
                <w:szCs w:val="17"/>
              </w:rPr>
              <w:t>High-complexity local reasoning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C749FEA">
            <w:pPr>
              <w:spacing w:before="0" w:after="0"/>
            </w:pPr>
            <w:r>
              <w:rPr>
                <w:rFonts w:ascii="Arial" w:hAnsi="Arial" w:eastAsia="Arial" w:cs="Arial"/>
                <w:b w:val="0"/>
                <w:bCs w:val="0"/>
                <w:color w:val="111111"/>
                <w:sz w:val="17"/>
                <w:szCs w:val="17"/>
              </w:rPr>
              <w:t>Full-capability local model for 48GB+ VRAM. No foreign transmission.</w:t>
            </w:r>
          </w:p>
        </w:tc>
      </w:tr>
      <w:tr w14:paraId="1D7F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D0AFBF6">
            <w:pPr>
              <w:spacing w:before="0" w:after="0"/>
            </w:pPr>
            <w:r>
              <w:rPr>
                <w:rFonts w:ascii="Arial" w:hAnsi="Arial" w:eastAsia="Arial" w:cs="Arial"/>
                <w:b w:val="0"/>
                <w:bCs w:val="0"/>
                <w:color w:val="111111"/>
                <w:sz w:val="17"/>
                <w:szCs w:val="17"/>
              </w:rPr>
              <w:t>Claude Sonnet 5 / Haiku 4.5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D433013">
            <w:pPr>
              <w:spacing w:before="0" w:after="0"/>
            </w:pPr>
            <w:r>
              <w:rPr>
                <w:rFonts w:ascii="Arial" w:hAnsi="Arial" w:eastAsia="Arial" w:cs="Arial"/>
                <w:b w:val="0"/>
                <w:bCs w:val="0"/>
                <w:color w:val="111111"/>
                <w:sz w:val="17"/>
                <w:szCs w:val="17"/>
              </w:rPr>
              <w:t>Complex multi-step planning, policy interpretation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CF614D5">
            <w:pPr>
              <w:spacing w:before="0" w:after="0"/>
            </w:pPr>
            <w:r>
              <w:rPr>
                <w:rFonts w:ascii="Arial" w:hAnsi="Arial" w:eastAsia="Arial" w:cs="Arial"/>
                <w:b w:val="0"/>
                <w:bCs w:val="0"/>
                <w:color w:val="111111"/>
                <w:sz w:val="17"/>
                <w:szCs w:val="17"/>
              </w:rPr>
              <w:t>Strongest reasoning for tasks that genuinely need it. Operator opt-in; logged in audit trail.</w:t>
            </w:r>
          </w:p>
        </w:tc>
      </w:tr>
      <w:tr w14:paraId="0B07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128D4E5">
            <w:pPr>
              <w:spacing w:before="0" w:after="0"/>
            </w:pPr>
            <w:r>
              <w:rPr>
                <w:rFonts w:ascii="Arial" w:hAnsi="Arial" w:eastAsia="Arial" w:cs="Arial"/>
                <w:b w:val="0"/>
                <w:bCs w:val="0"/>
                <w:color w:val="111111"/>
                <w:sz w:val="17"/>
                <w:szCs w:val="17"/>
              </w:rPr>
              <w:t>OpenRouter fallback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19053EB">
            <w:pPr>
              <w:spacing w:before="0" w:after="0"/>
            </w:pPr>
            <w:r>
              <w:rPr>
                <w:rFonts w:ascii="Arial" w:hAnsi="Arial" w:eastAsia="Arial" w:cs="Arial"/>
                <w:b w:val="0"/>
                <w:bCs w:val="0"/>
                <w:color w:val="111111"/>
                <w:sz w:val="17"/>
                <w:szCs w:val="17"/>
              </w:rPr>
              <w:t>LLM Router failover when primary cloud unavailable</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2C823A9">
            <w:pPr>
              <w:spacing w:before="0" w:after="0"/>
            </w:pPr>
            <w:r>
              <w:rPr>
                <w:rFonts w:ascii="Arial" w:hAnsi="Arial" w:eastAsia="Arial" w:cs="Arial"/>
                <w:b w:val="0"/>
                <w:bCs w:val="0"/>
                <w:color w:val="111111"/>
                <w:sz w:val="17"/>
                <w:szCs w:val="17"/>
              </w:rPr>
              <w:t>Prevents service interruption. Operator notified of routing decision.</w:t>
            </w:r>
          </w:p>
        </w:tc>
      </w:tr>
      <w:tr w14:paraId="33E6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392A2CB">
            <w:pPr>
              <w:spacing w:before="0" w:after="0"/>
            </w:pPr>
            <w:r>
              <w:rPr>
                <w:rFonts w:ascii="Arial" w:hAnsi="Arial" w:eastAsia="Arial" w:cs="Arial"/>
                <w:b w:val="0"/>
                <w:bCs w:val="0"/>
                <w:color w:val="111111"/>
                <w:sz w:val="17"/>
                <w:szCs w:val="17"/>
              </w:rPr>
              <w:t>CLIP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28C3EA9">
            <w:pPr>
              <w:spacing w:before="0" w:after="0"/>
            </w:pPr>
            <w:r>
              <w:rPr>
                <w:rFonts w:ascii="Arial" w:hAnsi="Arial" w:eastAsia="Arial" w:cs="Arial"/>
                <w:b w:val="0"/>
                <w:bCs w:val="0"/>
                <w:color w:val="111111"/>
                <w:sz w:val="17"/>
                <w:szCs w:val="17"/>
              </w:rPr>
              <w:t>Image understanding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2C5C711">
            <w:pPr>
              <w:spacing w:before="0" w:after="0"/>
            </w:pPr>
            <w:r>
              <w:rPr>
                <w:rFonts w:ascii="Arial" w:hAnsi="Arial" w:eastAsia="Arial" w:cs="Arial"/>
                <w:b w:val="0"/>
                <w:bCs w:val="0"/>
                <w:color w:val="111111"/>
                <w:sz w:val="17"/>
                <w:szCs w:val="17"/>
              </w:rPr>
              <w:t>Open-weight, runs locally alongside Ollama. No API cost.</w:t>
            </w:r>
          </w:p>
        </w:tc>
      </w:tr>
      <w:tr w14:paraId="60B2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DDD76B7">
            <w:pPr>
              <w:spacing w:before="0" w:after="0"/>
            </w:pPr>
            <w:r>
              <w:rPr>
                <w:rFonts w:ascii="Arial" w:hAnsi="Arial" w:eastAsia="Arial" w:cs="Arial"/>
                <w:b w:val="0"/>
                <w:bCs w:val="0"/>
                <w:color w:val="111111"/>
                <w:sz w:val="17"/>
                <w:szCs w:val="17"/>
              </w:rPr>
              <w:t>Whisper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C969A44">
            <w:pPr>
              <w:spacing w:before="0" w:after="0"/>
            </w:pPr>
            <w:r>
              <w:rPr>
                <w:rFonts w:ascii="Arial" w:hAnsi="Arial" w:eastAsia="Arial" w:cs="Arial"/>
                <w:b w:val="0"/>
                <w:bCs w:val="0"/>
                <w:color w:val="111111"/>
                <w:sz w:val="17"/>
                <w:szCs w:val="17"/>
              </w:rPr>
              <w:t>Audio/video transcription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8020119">
            <w:pPr>
              <w:spacing w:before="0" w:after="0"/>
            </w:pPr>
            <w:r>
              <w:rPr>
                <w:rFonts w:ascii="Arial" w:hAnsi="Arial" w:eastAsia="Arial" w:cs="Arial"/>
                <w:b w:val="0"/>
                <w:bCs w:val="0"/>
                <w:color w:val="111111"/>
                <w:sz w:val="17"/>
                <w:szCs w:val="17"/>
              </w:rPr>
              <w:t>Open-weight, local. Enables agents to query spoken content.</w:t>
            </w:r>
          </w:p>
        </w:tc>
      </w:tr>
      <w:tr w14:paraId="2DFB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7FB0151">
            <w:pPr>
              <w:spacing w:before="0" w:after="0"/>
            </w:pPr>
            <w:r>
              <w:rPr>
                <w:rFonts w:ascii="Arial" w:hAnsi="Arial" w:eastAsia="Arial" w:cs="Arial"/>
                <w:b w:val="0"/>
                <w:bCs w:val="0"/>
                <w:color w:val="111111"/>
                <w:sz w:val="17"/>
                <w:szCs w:val="17"/>
              </w:rPr>
              <w:t>IntelliNexus (ADRS) — graphify CLI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D16520B">
            <w:pPr>
              <w:spacing w:before="0" w:after="0"/>
            </w:pPr>
            <w:r>
              <w:rPr>
                <w:rFonts w:ascii="Arial" w:hAnsi="Arial" w:eastAsia="Arial" w:cs="Arial"/>
                <w:b w:val="0"/>
                <w:bCs w:val="0"/>
                <w:color w:val="111111"/>
                <w:sz w:val="17"/>
                <w:szCs w:val="17"/>
              </w:rPr>
              <w:t>Knowledge graph construction, entity extraction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C790028">
            <w:pPr>
              <w:spacing w:before="0" w:after="0"/>
            </w:pPr>
            <w:r>
              <w:rPr>
                <w:rFonts w:ascii="Arial" w:hAnsi="Arial" w:eastAsia="Arial" w:cs="Arial"/>
                <w:b w:val="0"/>
                <w:bCs w:val="0"/>
                <w:color w:val="111111"/>
                <w:sz w:val="17"/>
                <w:szCs w:val="17"/>
              </w:rPr>
              <w:t>Local CLI; no external service. Enables knowledge.graph_query primitive.</w:t>
            </w:r>
          </w:p>
        </w:tc>
      </w:tr>
    </w:tbl>
    <w:p w14:paraId="716D2294">
      <w:pPr>
        <w:spacing w:before="40" w:after="40"/>
      </w:pPr>
    </w:p>
    <w:p w14:paraId="376387D8">
      <w:pPr>
        <w:pStyle w:val="3"/>
        <w:spacing w:before="180" w:after="80" w:line="276" w:lineRule="auto"/>
      </w:pPr>
      <w:r>
        <w:rPr>
          <w:rFonts w:ascii="Arial" w:hAnsi="Arial" w:eastAsia="Arial" w:cs="Arial"/>
          <w:b/>
          <w:bCs/>
          <w:color w:val="1D6FA4"/>
          <w:sz w:val="22"/>
          <w:szCs w:val="22"/>
        </w:rPr>
        <w:t>2.3 API Layer, Integrations, and IntelliNexus</w:t>
      </w:r>
    </w:p>
    <w:p w14:paraId="12214AAD">
      <w:pPr>
        <w:spacing w:before="80" w:after="80" w:line="276" w:lineRule="auto"/>
      </w:pPr>
      <w:r>
        <w:rPr>
          <w:rFonts w:ascii="Arial" w:hAnsi="Arial" w:eastAsia="Arial" w:cs="Arial"/>
          <w:color w:val="111111"/>
          <w:sz w:val="22"/>
          <w:szCs w:val="22"/>
        </w:rPr>
        <w:t>All external integrations are exposed as named primitives in the HERMES MCP allowlist. No agent can call outside this allowlist. Write operations and all communications require explicit HITL approval. IntelliNexus (ADRS) feeds the knowledge layer every dataset published through the pipeline is indexed automatically for agent RAG retrieval, enabling the synchronised human-and-machine learning model that is core to the intelligent organisation concept.</w:t>
      </w:r>
    </w:p>
    <w:p w14:paraId="33CE1F0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600"/>
        <w:gridCol w:w="3360"/>
      </w:tblGrid>
      <w:tr w14:paraId="1C73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CD7D446">
            <w:pPr>
              <w:spacing w:before="0" w:after="0"/>
            </w:pPr>
            <w:r>
              <w:rPr>
                <w:rFonts w:ascii="Arial" w:hAnsi="Arial" w:eastAsia="Arial" w:cs="Arial"/>
                <w:b/>
                <w:bCs/>
                <w:color w:val="FFFFFF"/>
                <w:sz w:val="18"/>
                <w:szCs w:val="18"/>
              </w:rPr>
              <w:t>Namespace</w:t>
            </w:r>
          </w:p>
        </w:tc>
        <w:tc>
          <w:tcPr>
            <w:tcW w:w="4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91A6AF8">
            <w:pPr>
              <w:spacing w:before="0" w:after="0"/>
            </w:pPr>
            <w:r>
              <w:rPr>
                <w:rFonts w:ascii="Arial" w:hAnsi="Arial" w:eastAsia="Arial" w:cs="Arial"/>
                <w:b/>
                <w:bCs/>
                <w:color w:val="FFFFFF"/>
                <w:sz w:val="18"/>
                <w:szCs w:val="18"/>
              </w:rPr>
              <w:t>Key primitives</w:t>
            </w:r>
          </w:p>
        </w:tc>
        <w:tc>
          <w:tcPr>
            <w:tcW w:w="3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E40B848">
            <w:pPr>
              <w:spacing w:before="0" w:after="0"/>
            </w:pPr>
            <w:r>
              <w:rPr>
                <w:rFonts w:ascii="Arial" w:hAnsi="Arial" w:eastAsia="Arial" w:cs="Arial"/>
                <w:b/>
                <w:bCs/>
                <w:color w:val="FFFFFF"/>
                <w:sz w:val="18"/>
                <w:szCs w:val="18"/>
              </w:rPr>
              <w:t>Status</w:t>
            </w:r>
          </w:p>
        </w:tc>
      </w:tr>
      <w:tr w14:paraId="589C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3B0976D">
            <w:pPr>
              <w:spacing w:before="0" w:after="0"/>
            </w:pPr>
            <w:r>
              <w:rPr>
                <w:rFonts w:ascii="Arial" w:hAnsi="Arial" w:eastAsia="Arial" w:cs="Arial"/>
                <w:b w:val="0"/>
                <w:bCs w:val="0"/>
                <w:color w:val="111111"/>
                <w:sz w:val="17"/>
                <w:szCs w:val="17"/>
              </w:rPr>
              <w:t>vault.*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212F146">
            <w:pPr>
              <w:spacing w:before="0" w:after="0"/>
            </w:pPr>
            <w:r>
              <w:rPr>
                <w:rFonts w:ascii="Arial" w:hAnsi="Arial" w:eastAsia="Arial" w:cs="Arial"/>
                <w:b w:val="0"/>
                <w:bCs w:val="0"/>
                <w:color w:val="111111"/>
                <w:sz w:val="17"/>
                <w:szCs w:val="17"/>
              </w:rPr>
              <w:t>search, read, list, write, edit, append, create_zettel, find_by_tag, scan_docs, write_pdf</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75DE61A">
            <w:pPr>
              <w:spacing w:before="0" w:after="0"/>
            </w:pPr>
            <w:r>
              <w:rPr>
                <w:rFonts w:ascii="Arial" w:hAnsi="Arial" w:eastAsia="Arial" w:cs="Arial"/>
                <w:b w:val="0"/>
                <w:bCs w:val="0"/>
                <w:color w:val="111111"/>
                <w:sz w:val="17"/>
                <w:szCs w:val="17"/>
              </w:rPr>
              <w:t>Live</w:t>
            </w:r>
          </w:p>
        </w:tc>
      </w:tr>
      <w:tr w14:paraId="19C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FD059FA">
            <w:pPr>
              <w:spacing w:before="0" w:after="0"/>
            </w:pPr>
            <w:r>
              <w:rPr>
                <w:rFonts w:ascii="Arial" w:hAnsi="Arial" w:eastAsia="Arial" w:cs="Arial"/>
                <w:b w:val="0"/>
                <w:bCs w:val="0"/>
                <w:color w:val="111111"/>
                <w:sz w:val="17"/>
                <w:szCs w:val="17"/>
              </w:rPr>
              <w:t>db.*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3BC4372">
            <w:pPr>
              <w:spacing w:before="0" w:after="0"/>
            </w:pPr>
            <w:r>
              <w:rPr>
                <w:rFonts w:ascii="Arial" w:hAnsi="Arial" w:eastAsia="Arial" w:cs="Arial"/>
                <w:b w:val="0"/>
                <w:bCs w:val="0"/>
                <w:color w:val="111111"/>
                <w:sz w:val="17"/>
                <w:szCs w:val="17"/>
              </w:rPr>
              <w:t>list_sources, list_tables, describe_table, query, write (HITL-gated), schema — 1 production DB connected</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EA1CE29">
            <w:pPr>
              <w:spacing w:before="0" w:after="0"/>
            </w:pPr>
            <w:r>
              <w:rPr>
                <w:rFonts w:ascii="Arial" w:hAnsi="Arial" w:eastAsia="Arial" w:cs="Arial"/>
                <w:b w:val="0"/>
                <w:bCs w:val="0"/>
                <w:color w:val="111111"/>
                <w:sz w:val="17"/>
                <w:szCs w:val="17"/>
              </w:rPr>
              <w:t>Live</w:t>
            </w:r>
          </w:p>
        </w:tc>
      </w:tr>
      <w:tr w14:paraId="0497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11FD86">
            <w:pPr>
              <w:spacing w:before="0" w:after="0"/>
            </w:pPr>
            <w:r>
              <w:rPr>
                <w:rFonts w:ascii="Arial" w:hAnsi="Arial" w:eastAsia="Arial" w:cs="Arial"/>
                <w:b w:val="0"/>
                <w:bCs w:val="0"/>
                <w:color w:val="111111"/>
                <w:sz w:val="17"/>
                <w:szCs w:val="17"/>
              </w:rPr>
              <w:t>web.*</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954DFF">
            <w:pPr>
              <w:spacing w:before="0" w:after="0"/>
            </w:pPr>
            <w:r>
              <w:rPr>
                <w:rFonts w:ascii="Arial" w:hAnsi="Arial" w:eastAsia="Arial" w:cs="Arial"/>
                <w:b w:val="0"/>
                <w:bCs w:val="0"/>
                <w:color w:val="111111"/>
                <w:sz w:val="17"/>
                <w:szCs w:val="17"/>
              </w:rPr>
              <w:t>fetch, scrape, interact, search — 3-tier: direct fetch → Playwright → Firecrawl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4AF38A7">
            <w:pPr>
              <w:spacing w:before="0" w:after="0"/>
            </w:pPr>
            <w:r>
              <w:rPr>
                <w:rFonts w:ascii="Arial" w:hAnsi="Arial" w:eastAsia="Arial" w:cs="Arial"/>
                <w:b w:val="0"/>
                <w:bCs w:val="0"/>
                <w:color w:val="111111"/>
                <w:sz w:val="17"/>
                <w:szCs w:val="17"/>
              </w:rPr>
              <w:t>Live</w:t>
            </w:r>
          </w:p>
        </w:tc>
      </w:tr>
      <w:tr w14:paraId="04F2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6EE0FEC">
            <w:pPr>
              <w:spacing w:before="0" w:after="0"/>
            </w:pPr>
            <w:r>
              <w:rPr>
                <w:rFonts w:ascii="Arial" w:hAnsi="Arial" w:eastAsia="Arial" w:cs="Arial"/>
                <w:b w:val="0"/>
                <w:bCs w:val="0"/>
                <w:color w:val="111111"/>
                <w:sz w:val="17"/>
                <w:szCs w:val="17"/>
              </w:rPr>
              <w:t>github.*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30B2E34">
            <w:pPr>
              <w:spacing w:before="0" w:after="0"/>
            </w:pPr>
            <w:r>
              <w:rPr>
                <w:rFonts w:ascii="Arial" w:hAnsi="Arial" w:eastAsia="Arial" w:cs="Arial"/>
                <w:b w:val="0"/>
                <w:bCs w:val="0"/>
                <w:color w:val="111111"/>
                <w:sz w:val="17"/>
                <w:szCs w:val="17"/>
              </w:rPr>
              <w:t>list_repos, read_repo, get_file, create_issue, comment, update, request_review, list_issues (Octokit)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5CA3C96">
            <w:pPr>
              <w:spacing w:before="0" w:after="0"/>
            </w:pPr>
            <w:r>
              <w:rPr>
                <w:rFonts w:ascii="Arial" w:hAnsi="Arial" w:eastAsia="Arial" w:cs="Arial"/>
                <w:b w:val="0"/>
                <w:bCs w:val="0"/>
                <w:color w:val="111111"/>
                <w:sz w:val="17"/>
                <w:szCs w:val="17"/>
              </w:rPr>
              <w:t>Live</w:t>
            </w:r>
          </w:p>
        </w:tc>
      </w:tr>
      <w:tr w14:paraId="3937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936B1EA">
            <w:pPr>
              <w:spacing w:before="0" w:after="0"/>
            </w:pPr>
            <w:r>
              <w:rPr>
                <w:rFonts w:ascii="Arial" w:hAnsi="Arial" w:eastAsia="Arial" w:cs="Arial"/>
                <w:b w:val="0"/>
                <w:bCs w:val="0"/>
                <w:color w:val="111111"/>
                <w:sz w:val="17"/>
                <w:szCs w:val="17"/>
              </w:rPr>
              <w:t>comms.*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3304FD3">
            <w:pPr>
              <w:spacing w:before="0" w:after="0"/>
            </w:pPr>
            <w:r>
              <w:rPr>
                <w:rFonts w:ascii="Arial" w:hAnsi="Arial" w:eastAsia="Arial" w:cs="Arial"/>
                <w:b w:val="0"/>
                <w:bCs w:val="0"/>
                <w:color w:val="111111"/>
                <w:sz w:val="17"/>
                <w:szCs w:val="17"/>
              </w:rPr>
              <w:t>email.send (Mailjet, multi-recipient, attachments), slack.post, telegram.post, msteams.post, webhook.post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217418">
            <w:pPr>
              <w:spacing w:before="0" w:after="0"/>
            </w:pPr>
            <w:r>
              <w:rPr>
                <w:rFonts w:ascii="Arial" w:hAnsi="Arial" w:eastAsia="Arial" w:cs="Arial"/>
                <w:b w:val="0"/>
                <w:bCs w:val="0"/>
                <w:color w:val="111111"/>
                <w:sz w:val="17"/>
                <w:szCs w:val="17"/>
              </w:rPr>
              <w:t>Mailjet live; others env-gated</w:t>
            </w:r>
          </w:p>
        </w:tc>
      </w:tr>
      <w:tr w14:paraId="5903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4208CC3">
            <w:pPr>
              <w:spacing w:before="0" w:after="0"/>
            </w:pPr>
            <w:r>
              <w:rPr>
                <w:rFonts w:ascii="Arial" w:hAnsi="Arial" w:eastAsia="Arial" w:cs="Arial"/>
                <w:b w:val="0"/>
                <w:bCs w:val="0"/>
                <w:color w:val="111111"/>
                <w:sz w:val="17"/>
                <w:szCs w:val="17"/>
              </w:rPr>
              <w:t>payments.*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E892428">
            <w:pPr>
              <w:spacing w:before="0" w:after="0"/>
            </w:pPr>
            <w:r>
              <w:rPr>
                <w:rFonts w:ascii="Arial" w:hAnsi="Arial" w:eastAsia="Arial" w:cs="Arial"/>
                <w:b w:val="0"/>
                <w:bCs w:val="0"/>
                <w:color w:val="111111"/>
                <w:sz w:val="17"/>
                <w:szCs w:val="17"/>
              </w:rPr>
              <w:t>payment.link (Stripe), payment.paynow_link, paynow_poll, status, list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55CCC58">
            <w:pPr>
              <w:spacing w:before="0" w:after="0"/>
            </w:pPr>
            <w:r>
              <w:rPr>
                <w:rFonts w:ascii="Arial" w:hAnsi="Arial" w:eastAsia="Arial" w:cs="Arial"/>
                <w:b w:val="0"/>
                <w:bCs w:val="0"/>
                <w:color w:val="111111"/>
                <w:sz w:val="17"/>
                <w:szCs w:val="17"/>
              </w:rPr>
              <w:t>Stripe and Paynow ZW — both live</w:t>
            </w:r>
          </w:p>
        </w:tc>
      </w:tr>
      <w:tr w14:paraId="2738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04FEE45">
            <w:pPr>
              <w:spacing w:before="0" w:after="0"/>
            </w:pPr>
            <w:r>
              <w:rPr>
                <w:rFonts w:ascii="Arial" w:hAnsi="Arial" w:eastAsia="Arial" w:cs="Arial"/>
                <w:b w:val="0"/>
                <w:bCs w:val="0"/>
                <w:color w:val="111111"/>
                <w:sz w:val="17"/>
                <w:szCs w:val="17"/>
              </w:rPr>
              <w:t>research.*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7ABA3D7">
            <w:pPr>
              <w:spacing w:before="0" w:after="0"/>
            </w:pPr>
            <w:r>
              <w:rPr>
                <w:rFonts w:ascii="Arial" w:hAnsi="Arial" w:eastAsia="Arial" w:cs="Arial"/>
                <w:b w:val="0"/>
                <w:bCs w:val="0"/>
                <w:color w:val="111111"/>
                <w:sz w:val="17"/>
                <w:szCs w:val="17"/>
              </w:rPr>
              <w:t>research.deep, research.multiperspective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69F92BA">
            <w:pPr>
              <w:spacing w:before="0" w:after="0"/>
            </w:pPr>
            <w:r>
              <w:rPr>
                <w:rFonts w:ascii="Arial" w:hAnsi="Arial" w:eastAsia="Arial" w:cs="Arial"/>
                <w:b w:val="0"/>
                <w:bCs w:val="0"/>
                <w:color w:val="111111"/>
                <w:sz w:val="17"/>
                <w:szCs w:val="17"/>
              </w:rPr>
              <w:t>Live</w:t>
            </w:r>
          </w:p>
        </w:tc>
      </w:tr>
      <w:tr w14:paraId="13B2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2F4C990">
            <w:pPr>
              <w:spacing w:before="0" w:after="0"/>
            </w:pPr>
            <w:r>
              <w:rPr>
                <w:rFonts w:ascii="Arial" w:hAnsi="Arial" w:eastAsia="Arial" w:cs="Arial"/>
                <w:b w:val="0"/>
                <w:bCs w:val="0"/>
                <w:color w:val="111111"/>
                <w:sz w:val="17"/>
                <w:szCs w:val="17"/>
              </w:rPr>
              <w:t>quality.*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6DCC247">
            <w:pPr>
              <w:spacing w:before="0" w:after="0"/>
            </w:pPr>
            <w:r>
              <w:rPr>
                <w:rFonts w:ascii="Arial" w:hAnsi="Arial" w:eastAsia="Arial" w:cs="Arial"/>
                <w:b w:val="0"/>
                <w:bCs w:val="0"/>
                <w:color w:val="111111"/>
                <w:sz w:val="17"/>
                <w:szCs w:val="17"/>
              </w:rPr>
              <w:t>quality.check, security.scan, peer.review, peer.delegate, hermes.delegate</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9AEC83B">
            <w:pPr>
              <w:spacing w:before="0" w:after="0"/>
            </w:pPr>
            <w:r>
              <w:rPr>
                <w:rFonts w:ascii="Arial" w:hAnsi="Arial" w:eastAsia="Arial" w:cs="Arial"/>
                <w:b w:val="0"/>
                <w:bCs w:val="0"/>
                <w:color w:val="111111"/>
                <w:sz w:val="17"/>
                <w:szCs w:val="17"/>
              </w:rPr>
              <w:t>Live</w:t>
            </w:r>
          </w:p>
        </w:tc>
      </w:tr>
      <w:tr w14:paraId="0B48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55E603B">
            <w:pPr>
              <w:spacing w:before="0" w:after="0"/>
            </w:pPr>
            <w:r>
              <w:rPr>
                <w:rFonts w:ascii="Arial" w:hAnsi="Arial" w:eastAsia="Arial" w:cs="Arial"/>
                <w:b w:val="0"/>
                <w:bCs w:val="0"/>
                <w:color w:val="111111"/>
                <w:sz w:val="17"/>
                <w:szCs w:val="17"/>
              </w:rPr>
              <w:t>knowledge.*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D4C938">
            <w:pPr>
              <w:spacing w:before="0" w:after="0"/>
            </w:pPr>
            <w:r>
              <w:rPr>
                <w:rFonts w:ascii="Arial" w:hAnsi="Arial" w:eastAsia="Arial" w:cs="Arial"/>
                <w:b w:val="0"/>
                <w:bCs w:val="0"/>
                <w:color w:val="111111"/>
                <w:sz w:val="17"/>
                <w:szCs w:val="17"/>
              </w:rPr>
              <w:t>knowledge.graph_query (graphify / IntelliNexus), data.publish, data.list_datasets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3520E3D">
            <w:pPr>
              <w:spacing w:before="0" w:after="0"/>
            </w:pPr>
            <w:r>
              <w:rPr>
                <w:rFonts w:ascii="Arial" w:hAnsi="Arial" w:eastAsia="Arial" w:cs="Arial"/>
                <w:b w:val="0"/>
                <w:bCs w:val="0"/>
                <w:color w:val="111111"/>
                <w:sz w:val="17"/>
                <w:szCs w:val="17"/>
              </w:rPr>
              <w:t>Live</w:t>
            </w:r>
          </w:p>
        </w:tc>
      </w:tr>
      <w:tr w14:paraId="4F76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D01A119">
            <w:pPr>
              <w:spacing w:before="0" w:after="0"/>
            </w:pPr>
            <w:r>
              <w:rPr>
                <w:rFonts w:ascii="Arial" w:hAnsi="Arial" w:eastAsia="Arial" w:cs="Arial"/>
                <w:b w:val="0"/>
                <w:bCs w:val="0"/>
                <w:color w:val="111111"/>
                <w:sz w:val="17"/>
                <w:szCs w:val="17"/>
              </w:rPr>
              <w:t>memory.*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4D4AF28">
            <w:pPr>
              <w:spacing w:before="0" w:after="0"/>
            </w:pPr>
            <w:r>
              <w:rPr>
                <w:rFonts w:ascii="Arial" w:hAnsi="Arial" w:eastAsia="Arial" w:cs="Arial"/>
                <w:b w:val="0"/>
                <w:bCs w:val="0"/>
                <w:color w:val="111111"/>
                <w:sz w:val="17"/>
                <w:szCs w:val="17"/>
              </w:rPr>
              <w:t>memory.note, memory.recall, memory.search, calendar.activity, calendar.plan_day</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4160708">
            <w:pPr>
              <w:spacing w:before="0" w:after="0"/>
            </w:pPr>
            <w:r>
              <w:rPr>
                <w:rFonts w:ascii="Arial" w:hAnsi="Arial" w:eastAsia="Arial" w:cs="Arial"/>
                <w:b w:val="0"/>
                <w:bCs w:val="0"/>
                <w:color w:val="111111"/>
                <w:sz w:val="17"/>
                <w:szCs w:val="17"/>
              </w:rPr>
              <w:t>Live</w:t>
            </w:r>
          </w:p>
        </w:tc>
      </w:tr>
      <w:tr w14:paraId="1C9F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F58E1CD">
            <w:pPr>
              <w:spacing w:before="0" w:after="0"/>
            </w:pPr>
            <w:r>
              <w:rPr>
                <w:rFonts w:ascii="Arial" w:hAnsi="Arial" w:eastAsia="Arial" w:cs="Arial"/>
                <w:b w:val="0"/>
                <w:bCs w:val="0"/>
                <w:color w:val="111111"/>
                <w:sz w:val="17"/>
                <w:szCs w:val="17"/>
              </w:rPr>
              <w:t>org.*</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94CB48B">
            <w:pPr>
              <w:spacing w:before="0" w:after="0"/>
            </w:pPr>
            <w:r>
              <w:rPr>
                <w:rFonts w:ascii="Arial" w:hAnsi="Arial" w:eastAsia="Arial" w:cs="Arial"/>
                <w:b w:val="0"/>
                <w:bCs w:val="0"/>
                <w:color w:val="111111"/>
                <w:sz w:val="17"/>
                <w:szCs w:val="17"/>
              </w:rPr>
              <w:t>org.lookup, org.escalation_path, human.request (HITL pause/resume)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1F0C8C9">
            <w:pPr>
              <w:spacing w:before="0" w:after="0"/>
            </w:pPr>
            <w:r>
              <w:rPr>
                <w:rFonts w:ascii="Arial" w:hAnsi="Arial" w:eastAsia="Arial" w:cs="Arial"/>
                <w:b w:val="0"/>
                <w:bCs w:val="0"/>
                <w:color w:val="111111"/>
                <w:sz w:val="17"/>
                <w:szCs w:val="17"/>
              </w:rPr>
              <w:t>Live</w:t>
            </w:r>
          </w:p>
        </w:tc>
      </w:tr>
      <w:tr w14:paraId="5683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EE77783">
            <w:pPr>
              <w:spacing w:before="0" w:after="0"/>
            </w:pPr>
            <w:r>
              <w:rPr>
                <w:rFonts w:ascii="Arial" w:hAnsi="Arial" w:eastAsia="Arial" w:cs="Arial"/>
                <w:b w:val="0"/>
                <w:bCs w:val="0"/>
                <w:color w:val="111111"/>
                <w:sz w:val="17"/>
                <w:szCs w:val="17"/>
              </w:rPr>
              <w:t>skills.*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005D0FA">
            <w:pPr>
              <w:spacing w:before="0" w:after="0"/>
            </w:pPr>
            <w:r>
              <w:rPr>
                <w:rFonts w:ascii="Arial" w:hAnsi="Arial" w:eastAsia="Arial" w:cs="Arial"/>
                <w:b w:val="0"/>
                <w:bCs w:val="0"/>
                <w:color w:val="111111"/>
                <w:sz w:val="17"/>
                <w:szCs w:val="17"/>
              </w:rPr>
              <w:t>skill.list, skill.load, skill.suggest, skill.draft, skill.fetch_remote — 141 playbooks</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87C3A3A">
            <w:pPr>
              <w:spacing w:before="0" w:after="0"/>
            </w:pPr>
            <w:r>
              <w:rPr>
                <w:rFonts w:ascii="Arial" w:hAnsi="Arial" w:eastAsia="Arial" w:cs="Arial"/>
                <w:b w:val="0"/>
                <w:bCs w:val="0"/>
                <w:color w:val="111111"/>
                <w:sz w:val="17"/>
                <w:szCs w:val="17"/>
              </w:rPr>
              <w:t>Live</w:t>
            </w:r>
          </w:p>
        </w:tc>
      </w:tr>
    </w:tbl>
    <w:p w14:paraId="46B045B7">
      <w:pPr>
        <w:spacing w:before="40" w:after="40"/>
      </w:pPr>
    </w:p>
    <w:p w14:paraId="623A11F8">
      <w:pPr>
        <w:pStyle w:val="3"/>
        <w:spacing w:before="180" w:after="80" w:line="276" w:lineRule="auto"/>
      </w:pPr>
      <w:r>
        <w:rPr>
          <w:rFonts w:ascii="Arial" w:hAnsi="Arial" w:eastAsia="Arial" w:cs="Arial"/>
          <w:b/>
          <w:bCs/>
          <w:color w:val="1D6FA4"/>
          <w:sz w:val="22"/>
          <w:szCs w:val="22"/>
        </w:rPr>
        <w:t>2.4 Governance Engine and Policy Enforcement</w:t>
      </w:r>
    </w:p>
    <w:p w14:paraId="3F201FD7">
      <w:pPr>
        <w:spacing w:before="80" w:after="80" w:line="276" w:lineRule="auto"/>
      </w:pPr>
      <w:r>
        <w:rPr>
          <w:rFonts w:ascii="Arial" w:hAnsi="Arial" w:eastAsia="Arial" w:cs="Arial"/>
          <w:color w:val="111111"/>
          <w:sz w:val="22"/>
          <w:szCs w:val="22"/>
        </w:rPr>
        <w:t>Operators upload policy documents (PDF, Word, or plain text). A local LLM processes each into a structured constraint set: what agents may do, may not do, must do in defined situations, and what data they may include in external outputs. Constraints are displayed for operator review marked hard (must never violate) or soft (should prefer). Confirmed constraints are injected into agent system prompts and enforced at the HITL gate before any action executes. The current implementation pre-execution enforces 20 categories of consequential tool calls against accepted policies. This is the mechanism that makes the intelligent organisation governable.</w:t>
      </w:r>
    </w:p>
    <w:p w14:paraId="62545BCF">
      <w:pPr>
        <w:spacing w:before="40" w:after="40"/>
      </w:pPr>
    </w:p>
    <w:p w14:paraId="2FABAC1B">
      <w:pPr>
        <w:pStyle w:val="2"/>
        <w:spacing w:before="280" w:after="120" w:line="276" w:lineRule="auto"/>
      </w:pPr>
      <w:r>
        <w:rPr>
          <w:rFonts w:ascii="Arial" w:hAnsi="Arial" w:eastAsia="Arial" w:cs="Arial"/>
          <w:b/>
          <w:bCs/>
          <w:color w:val="0D2137"/>
          <w:sz w:val="26"/>
          <w:szCs w:val="26"/>
        </w:rPr>
        <w:t>Section 3 Deliverables and CCE Implementation Roadmap</w:t>
      </w:r>
    </w:p>
    <w:p w14:paraId="04C6FC44">
      <w:pPr>
        <w:pStyle w:val="3"/>
        <w:spacing w:before="180" w:after="80" w:line="276" w:lineRule="auto"/>
      </w:pPr>
      <w:r>
        <w:rPr>
          <w:rFonts w:ascii="Arial" w:hAnsi="Arial" w:eastAsia="Arial" w:cs="Arial"/>
          <w:b/>
          <w:bCs/>
          <w:color w:val="1D6FA4"/>
          <w:sz w:val="22"/>
          <w:szCs w:val="22"/>
        </w:rPr>
        <w:t>3.1 Current Build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80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D32" w:sz="4" w:space="0"/>
              <w:left w:val="single" w:color="2E7D32" w:sz="18" w:space="0"/>
              <w:bottom w:val="single" w:color="2E7D32" w:sz="4" w:space="0"/>
              <w:right w:val="nil"/>
            </w:tcBorders>
            <w:shd w:val="clear" w:color="auto" w:fill="E2EFDA"/>
            <w:tcMar>
              <w:top w:w="100" w:type="dxa"/>
              <w:left w:w="180" w:type="dxa"/>
              <w:bottom w:w="100" w:type="dxa"/>
              <w:right w:w="180" w:type="dxa"/>
            </w:tcMar>
          </w:tcPr>
          <w:p w14:paraId="61432EC6">
            <w:pPr>
              <w:spacing w:before="0" w:after="50"/>
            </w:pPr>
            <w:r>
              <w:rPr>
                <w:rFonts w:ascii="Arial" w:hAnsi="Arial" w:eastAsia="Arial" w:cs="Arial"/>
                <w:b/>
                <w:bCs/>
                <w:color w:val="2E7D32"/>
                <w:sz w:val="20"/>
                <w:szCs w:val="20"/>
              </w:rPr>
              <w:t>What is built and demonstrable today</w:t>
            </w:r>
          </w:p>
          <w:p w14:paraId="29642828">
            <w:pPr>
              <w:spacing w:before="0" w:after="0" w:line="276" w:lineRule="auto"/>
            </w:pPr>
            <w:r>
              <w:rPr>
                <w:rFonts w:ascii="Arial" w:hAnsi="Arial" w:eastAsia="Arial" w:cs="Arial"/>
                <w:b w:val="0"/>
                <w:bCs w:val="0"/>
                <w:color w:val="111111"/>
                <w:sz w:val="20"/>
                <w:szCs w:val="20"/>
              </w:rPr>
              <w:t>28 live API routers, all with real handlers and no scaffolding stubs. ~90 agent primitives across 12 namespaces. 141 skill playbooks, no orphans. Two IntelliNexus-published datasets with verifiable root hashes. One production PostgreSQL connected live and read-only. Paynow Zimbabwe and Mailjet both live-tested. Governance engine enforcing 20 categories pre-execution. Secret-pattern vault scanner. Real-token cost tracker. 118 unit tests passing.</w:t>
            </w:r>
          </w:p>
        </w:tc>
      </w:tr>
    </w:tbl>
    <w:p w14:paraId="19EE42D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300"/>
        <w:gridCol w:w="3860"/>
      </w:tblGrid>
      <w:tr w14:paraId="4B5B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DDB5C7E">
            <w:pPr>
              <w:spacing w:before="0" w:after="0"/>
            </w:pPr>
            <w:r>
              <w:rPr>
                <w:rFonts w:ascii="Arial" w:hAnsi="Arial" w:eastAsia="Arial" w:cs="Arial"/>
                <w:b/>
                <w:bCs/>
                <w:color w:val="FFFFFF"/>
                <w:sz w:val="18"/>
                <w:szCs w:val="18"/>
              </w:rPr>
              <w:t>Capability</w:t>
            </w:r>
          </w:p>
        </w:tc>
        <w:tc>
          <w:tcPr>
            <w:tcW w:w="13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44F5830">
            <w:pPr>
              <w:spacing w:before="0" w:after="0"/>
            </w:pPr>
            <w:r>
              <w:rPr>
                <w:rFonts w:ascii="Arial" w:hAnsi="Arial" w:eastAsia="Arial" w:cs="Arial"/>
                <w:b/>
                <w:bCs/>
                <w:color w:val="FFFFFF"/>
                <w:sz w:val="18"/>
                <w:szCs w:val="18"/>
              </w:rPr>
              <w:t>Status</w:t>
            </w:r>
          </w:p>
        </w:tc>
        <w:tc>
          <w:tcPr>
            <w:tcW w:w="3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1C0A7E1">
            <w:pPr>
              <w:spacing w:before="0" w:after="0"/>
            </w:pPr>
            <w:r>
              <w:rPr>
                <w:rFonts w:ascii="Arial" w:hAnsi="Arial" w:eastAsia="Arial" w:cs="Arial"/>
                <w:b/>
                <w:bCs/>
                <w:color w:val="FFFFFF"/>
                <w:sz w:val="18"/>
                <w:szCs w:val="18"/>
              </w:rPr>
              <w:t>Verify at</w:t>
            </w:r>
          </w:p>
        </w:tc>
      </w:tr>
      <w:tr w14:paraId="097F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BE0D633">
            <w:pPr>
              <w:spacing w:before="0" w:after="0"/>
            </w:pPr>
            <w:r>
              <w:rPr>
                <w:rFonts w:ascii="Arial" w:hAnsi="Arial" w:eastAsia="Arial" w:cs="Arial"/>
                <w:b w:val="0"/>
                <w:bCs w:val="0"/>
                <w:color w:val="111111"/>
                <w:sz w:val="17"/>
                <w:szCs w:val="17"/>
              </w:rPr>
              <w:t>28 live API routers, all with real handlers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1FB77CF">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C5F45DE">
            <w:pPr>
              <w:spacing w:before="0" w:after="0"/>
            </w:pPr>
            <w:r>
              <w:rPr>
                <w:rFonts w:ascii="Arial" w:hAnsi="Arial" w:eastAsia="Arial" w:cs="Arial"/>
                <w:b w:val="0"/>
                <w:bCs w:val="0"/>
                <w:color w:val="111111"/>
                <w:sz w:val="17"/>
                <w:szCs w:val="17"/>
              </w:rPr>
              <w:t>GET /api/status  browse routes/ directory</w:t>
            </w:r>
          </w:p>
        </w:tc>
      </w:tr>
      <w:tr w14:paraId="767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D66AF70">
            <w:pPr>
              <w:spacing w:before="0" w:after="0"/>
            </w:pPr>
            <w:r>
              <w:rPr>
                <w:rFonts w:ascii="Arial" w:hAnsi="Arial" w:eastAsia="Arial" w:cs="Arial"/>
                <w:b w:val="0"/>
                <w:bCs w:val="0"/>
                <w:color w:val="111111"/>
                <w:sz w:val="17"/>
                <w:szCs w:val="17"/>
              </w:rPr>
              <w:t>~90 primitives, 12 namespaces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767D6710">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B3ED6F7">
            <w:pPr>
              <w:spacing w:before="0" w:after="0"/>
            </w:pPr>
            <w:r>
              <w:rPr>
                <w:rFonts w:ascii="Arial" w:hAnsi="Arial" w:eastAsia="Arial" w:cs="Arial"/>
                <w:b w:val="0"/>
                <w:bCs w:val="0"/>
                <w:color w:val="111111"/>
                <w:sz w:val="17"/>
                <w:szCs w:val="17"/>
              </w:rPr>
              <w:t>server/src/lib/primitives.ts</w:t>
            </w:r>
          </w:p>
        </w:tc>
      </w:tr>
      <w:tr w14:paraId="6582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3FB849E">
            <w:pPr>
              <w:spacing w:before="0" w:after="0"/>
            </w:pPr>
            <w:r>
              <w:rPr>
                <w:rFonts w:ascii="Arial" w:hAnsi="Arial" w:eastAsia="Arial" w:cs="Arial"/>
                <w:b w:val="0"/>
                <w:bCs w:val="0"/>
                <w:color w:val="111111"/>
                <w:sz w:val="17"/>
                <w:szCs w:val="17"/>
              </w:rPr>
              <w:t>141 skill playbooks, no orphans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4DEE13C">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489DC5">
            <w:pPr>
              <w:spacing w:before="0" w:after="0"/>
            </w:pPr>
            <w:r>
              <w:rPr>
                <w:rFonts w:ascii="Arial" w:hAnsi="Arial" w:eastAsia="Arial" w:cs="Arial"/>
                <w:b w:val="0"/>
                <w:bCs w:val="0"/>
                <w:color w:val="111111"/>
                <w:sz w:val="17"/>
                <w:szCs w:val="17"/>
              </w:rPr>
              <w:t>GET /api/skills  skill.list primitive</w:t>
            </w:r>
          </w:p>
        </w:tc>
      </w:tr>
      <w:tr w14:paraId="28AF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A02F0D9">
            <w:pPr>
              <w:spacing w:before="0" w:after="0"/>
            </w:pPr>
            <w:r>
              <w:rPr>
                <w:rFonts w:ascii="Arial" w:hAnsi="Arial" w:eastAsia="Arial" w:cs="Arial"/>
                <w:b w:val="0"/>
                <w:bCs w:val="0"/>
                <w:color w:val="111111"/>
                <w:sz w:val="17"/>
                <w:szCs w:val="17"/>
              </w:rPr>
              <w:t>Production PostgreSQL connected live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221A0D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0F8DBB0">
            <w:pPr>
              <w:spacing w:before="0" w:after="0"/>
            </w:pPr>
            <w:r>
              <w:rPr>
                <w:rFonts w:ascii="Arial" w:hAnsi="Arial" w:eastAsia="Arial" w:cs="Arial"/>
                <w:b w:val="0"/>
                <w:bCs w:val="0"/>
                <w:color w:val="111111"/>
                <w:sz w:val="17"/>
                <w:szCs w:val="17"/>
              </w:rPr>
              <w:t>GET /api/data-sources connected 11 Jul 2026</w:t>
            </w:r>
          </w:p>
        </w:tc>
      </w:tr>
      <w:tr w14:paraId="6B21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92858BF">
            <w:pPr>
              <w:spacing w:before="0" w:after="0"/>
            </w:pPr>
            <w:r>
              <w:rPr>
                <w:rFonts w:ascii="Arial" w:hAnsi="Arial" w:eastAsia="Arial" w:cs="Arial"/>
                <w:b w:val="0"/>
                <w:bCs w:val="0"/>
                <w:color w:val="111111"/>
                <w:sz w:val="17"/>
                <w:szCs w:val="17"/>
              </w:rPr>
              <w:t>IntelliNexus pipeline 682-record dataset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833C43C">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772046B">
            <w:pPr>
              <w:spacing w:before="0" w:after="0"/>
            </w:pPr>
            <w:r>
              <w:rPr>
                <w:rFonts w:ascii="Arial" w:hAnsi="Arial" w:eastAsia="Arial" w:cs="Arial"/>
                <w:b w:val="0"/>
                <w:bCs w:val="0"/>
                <w:color w:val="111111"/>
                <w:sz w:val="17"/>
                <w:szCs w:val="17"/>
              </w:rPr>
              <w:t>GET /api/datasets  root hash eb1b0fe4a363a372…</w:t>
            </w:r>
          </w:p>
        </w:tc>
      </w:tr>
      <w:tr w14:paraId="6DA2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1F5BB73">
            <w:pPr>
              <w:spacing w:before="0" w:after="0"/>
            </w:pPr>
            <w:r>
              <w:rPr>
                <w:rFonts w:ascii="Arial" w:hAnsi="Arial" w:eastAsia="Arial" w:cs="Arial"/>
                <w:b w:val="0"/>
                <w:bCs w:val="0"/>
                <w:color w:val="111111"/>
                <w:sz w:val="17"/>
                <w:szCs w:val="17"/>
              </w:rPr>
              <w:t>Governance engine, pre-execution gate (20 categories)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6CC28075">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1DE80FB">
            <w:pPr>
              <w:spacing w:before="0" w:after="0"/>
            </w:pPr>
            <w:r>
              <w:rPr>
                <w:rFonts w:ascii="Arial" w:hAnsi="Arial" w:eastAsia="Arial" w:cs="Arial"/>
                <w:b w:val="0"/>
                <w:bCs w:val="0"/>
                <w:color w:val="111111"/>
                <w:sz w:val="17"/>
                <w:szCs w:val="17"/>
              </w:rPr>
              <w:t>/api/governance</w:t>
            </w:r>
          </w:p>
        </w:tc>
      </w:tr>
      <w:tr w14:paraId="6F3C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0283BA">
            <w:pPr>
              <w:spacing w:before="0" w:after="0"/>
            </w:pPr>
            <w:r>
              <w:rPr>
                <w:rFonts w:ascii="Arial" w:hAnsi="Arial" w:eastAsia="Arial" w:cs="Arial"/>
                <w:b w:val="0"/>
                <w:bCs w:val="0"/>
                <w:color w:val="111111"/>
                <w:sz w:val="17"/>
                <w:szCs w:val="17"/>
              </w:rPr>
              <w:t>Mailjet email, Paynow Zimbabwe, Stripe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60A4D218">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6ECB469">
            <w:pPr>
              <w:spacing w:before="0" w:after="0"/>
            </w:pPr>
            <w:r>
              <w:rPr>
                <w:rFonts w:ascii="Arial" w:hAnsi="Arial" w:eastAsia="Arial" w:cs="Arial"/>
                <w:b w:val="0"/>
                <w:bCs w:val="0"/>
                <w:color w:val="111111"/>
                <w:sz w:val="17"/>
                <w:szCs w:val="17"/>
              </w:rPr>
              <w:t>email.send, payment.paynow_link, payment.link  all tested</w:t>
            </w:r>
          </w:p>
        </w:tc>
      </w:tr>
      <w:tr w14:paraId="28CF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0579368">
            <w:pPr>
              <w:spacing w:before="0" w:after="0"/>
            </w:pPr>
            <w:r>
              <w:rPr>
                <w:rFonts w:ascii="Arial" w:hAnsi="Arial" w:eastAsia="Arial" w:cs="Arial"/>
                <w:b w:val="0"/>
                <w:bCs w:val="0"/>
                <w:color w:val="111111"/>
                <w:sz w:val="17"/>
                <w:szCs w:val="17"/>
              </w:rPr>
              <w:t>GitHub Octokit read and write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286FBF1">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2AC9C9C">
            <w:pPr>
              <w:spacing w:before="0" w:after="0"/>
            </w:pPr>
            <w:r>
              <w:rPr>
                <w:rFonts w:ascii="Arial" w:hAnsi="Arial" w:eastAsia="Arial" w:cs="Arial"/>
                <w:b w:val="0"/>
                <w:bCs w:val="0"/>
                <w:color w:val="111111"/>
                <w:sz w:val="17"/>
                <w:szCs w:val="17"/>
              </w:rPr>
              <w:t>create_issue, comment, request_review</w:t>
            </w:r>
          </w:p>
        </w:tc>
      </w:tr>
      <w:tr w14:paraId="1BC7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246563">
            <w:pPr>
              <w:spacing w:before="0" w:after="0"/>
            </w:pPr>
            <w:r>
              <w:rPr>
                <w:rFonts w:ascii="Arial" w:hAnsi="Arial" w:eastAsia="Arial" w:cs="Arial"/>
                <w:b w:val="0"/>
                <w:bCs w:val="0"/>
                <w:color w:val="111111"/>
                <w:sz w:val="17"/>
                <w:szCs w:val="17"/>
              </w:rPr>
              <w:t>Quality, security and peer-review gates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EECC205">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3F90DE">
            <w:pPr>
              <w:spacing w:before="0" w:after="0"/>
            </w:pPr>
            <w:r>
              <w:rPr>
                <w:rFonts w:ascii="Arial" w:hAnsi="Arial" w:eastAsia="Arial" w:cs="Arial"/>
                <w:b w:val="0"/>
                <w:bCs w:val="0"/>
                <w:color w:val="111111"/>
                <w:sz w:val="17"/>
                <w:szCs w:val="17"/>
              </w:rPr>
              <w:t>quality.check, security.scan, peer.review</w:t>
            </w:r>
          </w:p>
        </w:tc>
      </w:tr>
      <w:tr w14:paraId="57A3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AA6DDFC">
            <w:pPr>
              <w:spacing w:before="0" w:after="0"/>
            </w:pPr>
            <w:r>
              <w:rPr>
                <w:rFonts w:ascii="Arial" w:hAnsi="Arial" w:eastAsia="Arial" w:cs="Arial"/>
                <w:b w:val="0"/>
                <w:bCs w:val="0"/>
                <w:color w:val="111111"/>
                <w:sz w:val="17"/>
                <w:szCs w:val="17"/>
              </w:rPr>
              <w:t>Cost tracker on real billed tokens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4D57733">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6153B73">
            <w:pPr>
              <w:spacing w:before="0" w:after="0"/>
            </w:pPr>
            <w:r>
              <w:rPr>
                <w:rFonts w:ascii="Arial" w:hAnsi="Arial" w:eastAsia="Arial" w:cs="Arial"/>
                <w:b w:val="0"/>
                <w:bCs w:val="0"/>
                <w:color w:val="111111"/>
                <w:sz w:val="17"/>
                <w:szCs w:val="17"/>
              </w:rPr>
              <w:t>/api/cost  reads provider usage response</w:t>
            </w:r>
          </w:p>
        </w:tc>
      </w:tr>
      <w:tr w14:paraId="2E78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229244D">
            <w:pPr>
              <w:spacing w:before="0" w:after="0"/>
            </w:pPr>
            <w:r>
              <w:rPr>
                <w:rFonts w:ascii="Arial" w:hAnsi="Arial" w:eastAsia="Arial" w:cs="Arial"/>
                <w:b w:val="0"/>
                <w:bCs w:val="0"/>
                <w:color w:val="111111"/>
                <w:sz w:val="17"/>
                <w:szCs w:val="17"/>
              </w:rPr>
              <w:t>Shona and Ndebele chat support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CD7AD6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9D36DD4">
            <w:pPr>
              <w:spacing w:before="0" w:after="0"/>
            </w:pPr>
            <w:r>
              <w:rPr>
                <w:rFonts w:ascii="Arial" w:hAnsi="Arial" w:eastAsia="Arial" w:cs="Arial"/>
                <w:b w:val="0"/>
                <w:bCs w:val="0"/>
                <w:color w:val="111111"/>
                <w:sz w:val="17"/>
                <w:szCs w:val="17"/>
              </w:rPr>
              <w:t>Chat interface  glossary-based, no external API</w:t>
            </w:r>
          </w:p>
        </w:tc>
      </w:tr>
      <w:tr w14:paraId="6D46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A10AC36">
            <w:pPr>
              <w:spacing w:before="0" w:after="0"/>
            </w:pPr>
            <w:r>
              <w:rPr>
                <w:rFonts w:ascii="Arial" w:hAnsi="Arial" w:eastAsia="Arial" w:cs="Arial"/>
                <w:b w:val="0"/>
                <w:bCs w:val="0"/>
                <w:color w:val="111111"/>
                <w:sz w:val="17"/>
                <w:szCs w:val="17"/>
              </w:rPr>
              <w:t>118 unit tests passing</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31305AE2">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3273CBD">
            <w:pPr>
              <w:spacing w:before="0" w:after="0"/>
            </w:pPr>
            <w:r>
              <w:rPr>
                <w:rFonts w:ascii="Arial" w:hAnsi="Arial" w:eastAsia="Arial" w:cs="Arial"/>
                <w:b w:val="0"/>
                <w:bCs w:val="0"/>
                <w:color w:val="111111"/>
                <w:sz w:val="17"/>
                <w:szCs w:val="17"/>
              </w:rPr>
              <w:t>npm test from repo root</w:t>
            </w:r>
          </w:p>
        </w:tc>
      </w:tr>
    </w:tbl>
    <w:p w14:paraId="3B6E712F">
      <w:pPr>
        <w:spacing w:before="40" w:after="40"/>
      </w:pPr>
    </w:p>
    <w:p w14:paraId="4667E317">
      <w:pPr>
        <w:pStyle w:val="3"/>
        <w:spacing w:before="180" w:after="80" w:line="276" w:lineRule="auto"/>
      </w:pPr>
      <w:r>
        <w:rPr>
          <w:rFonts w:ascii="Arial" w:hAnsi="Arial" w:eastAsia="Arial" w:cs="Arial"/>
          <w:b/>
          <w:bCs/>
          <w:color w:val="1D6FA4"/>
          <w:sz w:val="22"/>
          <w:szCs w:val="22"/>
        </w:rPr>
        <w:t>3.2 Delivery Streams and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900"/>
        <w:gridCol w:w="3900"/>
        <w:gridCol w:w="2860"/>
      </w:tblGrid>
      <w:tr w14:paraId="1B19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D4F1DFA">
            <w:pPr>
              <w:spacing w:before="0" w:after="0"/>
            </w:pPr>
            <w:r>
              <w:rPr>
                <w:rFonts w:ascii="Arial" w:hAnsi="Arial" w:eastAsia="Arial" w:cs="Arial"/>
                <w:b/>
                <w:bCs/>
                <w:color w:val="FFFFFF"/>
                <w:sz w:val="18"/>
                <w:szCs w:val="18"/>
              </w:rPr>
              <w:t>Stream</w:t>
            </w:r>
          </w:p>
        </w:tc>
        <w:tc>
          <w:tcPr>
            <w:tcW w:w="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8095896">
            <w:pPr>
              <w:spacing w:before="0" w:after="0"/>
            </w:pPr>
            <w:r>
              <w:rPr>
                <w:rFonts w:ascii="Arial" w:hAnsi="Arial" w:eastAsia="Arial" w:cs="Arial"/>
                <w:b/>
                <w:bCs/>
                <w:color w:val="FFFFFF"/>
                <w:sz w:val="18"/>
                <w:szCs w:val="18"/>
              </w:rPr>
              <w:t>Weeks</w:t>
            </w:r>
          </w:p>
        </w:tc>
        <w:tc>
          <w:tcPr>
            <w:tcW w:w="3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58C9EED">
            <w:pPr>
              <w:spacing w:before="0" w:after="0"/>
            </w:pPr>
            <w:r>
              <w:rPr>
                <w:rFonts w:ascii="Arial" w:hAnsi="Arial" w:eastAsia="Arial" w:cs="Arial"/>
                <w:b/>
                <w:bCs/>
                <w:color w:val="FFFFFF"/>
                <w:sz w:val="18"/>
                <w:szCs w:val="18"/>
              </w:rPr>
              <w:t>Deliverable</w:t>
            </w:r>
          </w:p>
        </w:tc>
        <w:tc>
          <w:tcPr>
            <w:tcW w:w="2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C5CA570">
            <w:pPr>
              <w:spacing w:before="0" w:after="0"/>
            </w:pPr>
            <w:r>
              <w:rPr>
                <w:rFonts w:ascii="Arial" w:hAnsi="Arial" w:eastAsia="Arial" w:cs="Arial"/>
                <w:b/>
                <w:bCs/>
                <w:color w:val="FFFFFF"/>
                <w:sz w:val="18"/>
                <w:szCs w:val="18"/>
              </w:rPr>
              <w:t>Builds on (live)</w:t>
            </w:r>
          </w:p>
        </w:tc>
      </w:tr>
      <w:tr w14:paraId="3B1C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6FE1CE2">
            <w:pPr>
              <w:spacing w:before="0" w:after="0"/>
            </w:pPr>
            <w:r>
              <w:rPr>
                <w:rFonts w:ascii="Arial" w:hAnsi="Arial" w:eastAsia="Arial" w:cs="Arial"/>
                <w:b w:val="0"/>
                <w:bCs w:val="0"/>
                <w:color w:val="111111"/>
                <w:sz w:val="17"/>
                <w:szCs w:val="17"/>
              </w:rPr>
              <w:t>B — Onboarding UX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A5E8075">
            <w:pPr>
              <w:spacing w:before="0" w:after="0"/>
            </w:pPr>
            <w:r>
              <w:rPr>
                <w:rFonts w:ascii="Arial" w:hAnsi="Arial" w:eastAsia="Arial" w:cs="Arial"/>
                <w:b w:val="0"/>
                <w:bCs w:val="0"/>
                <w:color w:val="111111"/>
                <w:sz w:val="17"/>
                <w:szCs w:val="17"/>
              </w:rPr>
              <w:t>1–3</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F87C4C">
            <w:pPr>
              <w:spacing w:before="0" w:after="0"/>
            </w:pPr>
            <w:r>
              <w:rPr>
                <w:rFonts w:ascii="Arial" w:hAnsi="Arial" w:eastAsia="Arial" w:cs="Arial"/>
                <w:b w:val="0"/>
                <w:bCs w:val="0"/>
                <w:color w:val="111111"/>
                <w:sz w:val="17"/>
                <w:szCs w:val="17"/>
              </w:rPr>
              <w:t>Sector/language selection, personalised dashboard, Zimbabwe Context panel, Shona/Ndebele i18n strings. Onboarding flow that makes the intelligent organisation concept legible to a first-time operator.</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0B23BE3">
            <w:pPr>
              <w:spacing w:before="0" w:after="0"/>
            </w:pPr>
            <w:r>
              <w:rPr>
                <w:rFonts w:ascii="Arial" w:hAnsi="Arial" w:eastAsia="Arial" w:cs="Arial"/>
                <w:b w:val="0"/>
                <w:bCs w:val="0"/>
                <w:color w:val="111111"/>
                <w:sz w:val="17"/>
                <w:szCs w:val="17"/>
              </w:rPr>
              <w:t>/api/onboarding, Shona/Ndebele glossary</w:t>
            </w:r>
          </w:p>
        </w:tc>
      </w:tr>
      <w:tr w14:paraId="4403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0BE96B">
            <w:pPr>
              <w:spacing w:before="0" w:after="0"/>
            </w:pPr>
            <w:r>
              <w:rPr>
                <w:rFonts w:ascii="Arial" w:hAnsi="Arial" w:eastAsia="Arial" w:cs="Arial"/>
                <w:b w:val="0"/>
                <w:bCs w:val="0"/>
                <w:color w:val="111111"/>
                <w:sz w:val="17"/>
                <w:szCs w:val="17"/>
              </w:rPr>
              <w:t>C — Governance UI</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98C67A7">
            <w:pPr>
              <w:spacing w:before="0" w:after="0"/>
            </w:pPr>
            <w:r>
              <w:rPr>
                <w:rFonts w:ascii="Arial" w:hAnsi="Arial" w:eastAsia="Arial" w:cs="Arial"/>
                <w:b w:val="0"/>
                <w:bCs w:val="0"/>
                <w:color w:val="111111"/>
                <w:sz w:val="17"/>
                <w:szCs w:val="17"/>
              </w:rPr>
              <w:t>3–4</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208099F">
            <w:pPr>
              <w:spacing w:before="0" w:after="0"/>
            </w:pPr>
            <w:r>
              <w:rPr>
                <w:rFonts w:ascii="Arial" w:hAnsi="Arial" w:eastAsia="Arial" w:cs="Arial"/>
                <w:b w:val="0"/>
                <w:bCs w:val="0"/>
                <w:color w:val="111111"/>
                <w:sz w:val="17"/>
                <w:szCs w:val="17"/>
              </w:rPr>
              <w:t>Policy document upload interface. Constraint review and confirmation screen. Hard/soft marking. HITL gate violation flagging in approval interface. Policy Management page.</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ECFB38A">
            <w:pPr>
              <w:spacing w:before="0" w:after="0"/>
            </w:pPr>
            <w:r>
              <w:rPr>
                <w:rFonts w:ascii="Arial" w:hAnsi="Arial" w:eastAsia="Arial" w:cs="Arial"/>
                <w:b w:val="0"/>
                <w:bCs w:val="0"/>
                <w:color w:val="111111"/>
                <w:sz w:val="17"/>
                <w:szCs w:val="17"/>
              </w:rPr>
              <w:t>/api/governance, governance engine</w:t>
            </w:r>
          </w:p>
        </w:tc>
      </w:tr>
      <w:tr w14:paraId="40CF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37BE033">
            <w:pPr>
              <w:spacing w:before="0" w:after="0"/>
            </w:pPr>
            <w:r>
              <w:rPr>
                <w:rFonts w:ascii="Arial" w:hAnsi="Arial" w:eastAsia="Arial" w:cs="Arial"/>
                <w:b w:val="0"/>
                <w:bCs w:val="0"/>
                <w:color w:val="111111"/>
                <w:sz w:val="17"/>
                <w:szCs w:val="17"/>
              </w:rPr>
              <w:t>D — Localisation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8C02372">
            <w:pPr>
              <w:spacing w:before="0" w:after="0"/>
            </w:pPr>
            <w:r>
              <w:rPr>
                <w:rFonts w:ascii="Arial" w:hAnsi="Arial" w:eastAsia="Arial" w:cs="Arial"/>
                <w:b w:val="0"/>
                <w:bCs w:val="0"/>
                <w:color w:val="111111"/>
                <w:sz w:val="17"/>
                <w:szCs w:val="17"/>
              </w:rPr>
              <w:t>5–6</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3F9AEEF">
            <w:pPr>
              <w:spacing w:before="0" w:after="0"/>
            </w:pPr>
            <w:r>
              <w:rPr>
                <w:rFonts w:ascii="Arial" w:hAnsi="Arial" w:eastAsia="Arial" w:cs="Arial"/>
                <w:b w:val="0"/>
                <w:bCs w:val="0"/>
                <w:color w:val="111111"/>
                <w:sz w:val="17"/>
                <w:szCs w:val="17"/>
              </w:rPr>
              <w:t>Shona/Ndebele LLM agent prompt templates. Five Zimbabwe sector knowledge packs: Tourism, Agriculture, NGO/Civil Society, Health, Government — ingested via IntelliNexus.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CC763D6">
            <w:pPr>
              <w:spacing w:before="0" w:after="0"/>
            </w:pPr>
            <w:r>
              <w:rPr>
                <w:rFonts w:ascii="Arial" w:hAnsi="Arial" w:eastAsia="Arial" w:cs="Arial"/>
                <w:b w:val="0"/>
                <w:bCs w:val="0"/>
                <w:color w:val="111111"/>
                <w:sz w:val="17"/>
                <w:szCs w:val="17"/>
              </w:rPr>
              <w:t>/api/knowledge-packs, ADRS/IntelliNexus, Qdrant</w:t>
            </w:r>
          </w:p>
        </w:tc>
      </w:tr>
      <w:tr w14:paraId="5F3A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BE1CCF">
            <w:pPr>
              <w:spacing w:before="0" w:after="0"/>
            </w:pPr>
            <w:r>
              <w:rPr>
                <w:rFonts w:ascii="Arial" w:hAnsi="Arial" w:eastAsia="Arial" w:cs="Arial"/>
                <w:b w:val="0"/>
                <w:bCs w:val="0"/>
                <w:color w:val="111111"/>
                <w:sz w:val="17"/>
                <w:szCs w:val="17"/>
              </w:rPr>
              <w:t>E — Platform integrity</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41C652">
            <w:pPr>
              <w:spacing w:before="0" w:after="0"/>
            </w:pPr>
            <w:r>
              <w:rPr>
                <w:rFonts w:ascii="Arial" w:hAnsi="Arial" w:eastAsia="Arial" w:cs="Arial"/>
                <w:b w:val="0"/>
                <w:bCs w:val="0"/>
                <w:color w:val="111111"/>
                <w:sz w:val="17"/>
                <w:szCs w:val="17"/>
              </w:rPr>
              <w:t>7–8</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0A3215A">
            <w:pPr>
              <w:spacing w:before="0" w:after="0"/>
            </w:pPr>
            <w:r>
              <w:rPr>
                <w:rFonts w:ascii="Arial" w:hAnsi="Arial" w:eastAsia="Arial" w:cs="Arial"/>
                <w:b w:val="0"/>
                <w:bCs w:val="0"/>
                <w:color w:val="111111"/>
                <w:sz w:val="17"/>
                <w:szCs w:val="17"/>
              </w:rPr>
              <w:t>Cost monitoring dashboard. Full mission audit log with replay. SkillForge operator code-review step.</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0518A28">
            <w:pPr>
              <w:spacing w:before="0" w:after="0"/>
            </w:pPr>
            <w:r>
              <w:rPr>
                <w:rFonts w:ascii="Arial" w:hAnsi="Arial" w:eastAsia="Arial" w:cs="Arial"/>
                <w:b w:val="0"/>
                <w:bCs w:val="0"/>
                <w:color w:val="111111"/>
                <w:sz w:val="17"/>
                <w:szCs w:val="17"/>
              </w:rPr>
              <w:t>cost-tracker.ts, /api/audit, /api/skill-forge</w:t>
            </w:r>
          </w:p>
        </w:tc>
      </w:tr>
      <w:tr w14:paraId="32AB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F61D3E9">
            <w:pPr>
              <w:spacing w:before="0" w:after="0"/>
            </w:pPr>
            <w:r>
              <w:rPr>
                <w:rFonts w:ascii="Arial" w:hAnsi="Arial" w:eastAsia="Arial" w:cs="Arial"/>
                <w:b w:val="0"/>
                <w:bCs w:val="0"/>
                <w:color w:val="111111"/>
                <w:sz w:val="17"/>
                <w:szCs w:val="17"/>
              </w:rPr>
              <w:t>F — Polish and docs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C83A3E7">
            <w:pPr>
              <w:spacing w:before="0" w:after="0"/>
            </w:pPr>
            <w:r>
              <w:rPr>
                <w:rFonts w:ascii="Arial" w:hAnsi="Arial" w:eastAsia="Arial" w:cs="Arial"/>
                <w:b w:val="0"/>
                <w:bCs w:val="0"/>
                <w:color w:val="111111"/>
                <w:sz w:val="17"/>
                <w:szCs w:val="17"/>
              </w:rPr>
              <w:t>9–12</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7E47275">
            <w:pPr>
              <w:spacing w:before="0" w:after="0"/>
            </w:pPr>
            <w:r>
              <w:rPr>
                <w:rFonts w:ascii="Arial" w:hAnsi="Arial" w:eastAsia="Arial" w:cs="Arial"/>
                <w:b w:val="0"/>
                <w:bCs w:val="0"/>
                <w:color w:val="111111"/>
                <w:sz w:val="17"/>
                <w:szCs w:val="17"/>
              </w:rPr>
              <w:t>Mobile-responsive console. Ethics and governance framework document. Pilot plan. Compliance documentation.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04C0AB6">
            <w:pPr>
              <w:spacing w:before="0" w:after="0"/>
            </w:pPr>
            <w:r>
              <w:rPr>
                <w:rFonts w:ascii="Arial" w:hAnsi="Arial" w:eastAsia="Arial" w:cs="Arial"/>
                <w:b w:val="0"/>
                <w:bCs w:val="0"/>
                <w:color w:val="111111"/>
                <w:sz w:val="17"/>
                <w:szCs w:val="17"/>
              </w:rPr>
              <w:t>Next.js console (37 pages live)</w:t>
            </w:r>
          </w:p>
        </w:tc>
      </w:tr>
    </w:tbl>
    <w:p w14:paraId="1DF1DEDF">
      <w:pPr>
        <w:spacing w:before="40" w:after="40"/>
      </w:pPr>
    </w:p>
    <w:p w14:paraId="1656F97C">
      <w:pPr>
        <w:pStyle w:val="3"/>
        <w:spacing w:before="180" w:after="80" w:line="276" w:lineRule="auto"/>
      </w:pPr>
      <w:r>
        <w:rPr>
          <w:rFonts w:ascii="Arial" w:hAnsi="Arial" w:eastAsia="Arial" w:cs="Arial"/>
          <w:b/>
          <w:bCs/>
          <w:color w:val="1D6FA4"/>
          <w:sz w:val="22"/>
          <w:szCs w:val="22"/>
        </w:rPr>
        <w:t>3.3 Milestone Plan and Compute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2600"/>
        <w:gridCol w:w="1360"/>
      </w:tblGrid>
      <w:tr w14:paraId="2DD5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4E33D7C">
            <w:pPr>
              <w:spacing w:before="0" w:after="0"/>
            </w:pPr>
            <w:r>
              <w:rPr>
                <w:rFonts w:ascii="Arial" w:hAnsi="Arial" w:eastAsia="Arial" w:cs="Arial"/>
                <w:b/>
                <w:bCs/>
                <w:color w:val="FFFFFF"/>
                <w:sz w:val="18"/>
                <w:szCs w:val="18"/>
              </w:rPr>
              <w:t>Milestone</w:t>
            </w:r>
          </w:p>
        </w:tc>
        <w:tc>
          <w:tcPr>
            <w:tcW w:w="3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FED46E3">
            <w:pPr>
              <w:spacing w:before="0" w:after="0"/>
            </w:pPr>
            <w:r>
              <w:rPr>
                <w:rFonts w:ascii="Arial" w:hAnsi="Arial" w:eastAsia="Arial" w:cs="Arial"/>
                <w:b/>
                <w:bCs/>
                <w:color w:val="FFFFFF"/>
                <w:sz w:val="18"/>
                <w:szCs w:val="18"/>
              </w:rPr>
              <w:t>Deliverable</w:t>
            </w:r>
          </w:p>
        </w:tc>
        <w:tc>
          <w:tcPr>
            <w:tcW w:w="2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3FC3F43">
            <w:pPr>
              <w:spacing w:before="0" w:after="0"/>
            </w:pPr>
            <w:r>
              <w:rPr>
                <w:rFonts w:ascii="Arial" w:hAnsi="Arial" w:eastAsia="Arial" w:cs="Arial"/>
                <w:b/>
                <w:bCs/>
                <w:color w:val="FFFFFF"/>
                <w:sz w:val="18"/>
                <w:szCs w:val="18"/>
              </w:rPr>
              <w:t>Compute / dependencies</w:t>
            </w:r>
          </w:p>
        </w:tc>
        <w:tc>
          <w:tcPr>
            <w:tcW w:w="1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02BFFD3">
            <w:pPr>
              <w:spacing w:before="0" w:after="0"/>
            </w:pPr>
            <w:r>
              <w:rPr>
                <w:rFonts w:ascii="Arial" w:hAnsi="Arial" w:eastAsia="Arial" w:cs="Arial"/>
                <w:b/>
                <w:bCs/>
                <w:color w:val="FFFFFF"/>
                <w:sz w:val="18"/>
                <w:szCs w:val="18"/>
              </w:rPr>
              <w:t>When</w:t>
            </w:r>
          </w:p>
        </w:tc>
      </w:tr>
      <w:tr w14:paraId="093D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527F68">
            <w:pPr>
              <w:spacing w:before="0" w:after="0"/>
            </w:pPr>
            <w:r>
              <w:rPr>
                <w:rFonts w:ascii="Arial" w:hAnsi="Arial" w:eastAsia="Arial" w:cs="Arial"/>
                <w:b w:val="0"/>
                <w:bCs w:val="0"/>
                <w:color w:val="111111"/>
                <w:sz w:val="17"/>
                <w:szCs w:val="17"/>
              </w:rPr>
              <w:t>M0 — Grand Challenge pitch</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DB4FB78">
            <w:pPr>
              <w:spacing w:before="0" w:after="0"/>
            </w:pPr>
            <w:r>
              <w:rPr>
                <w:rFonts w:ascii="Arial" w:hAnsi="Arial" w:eastAsia="Arial" w:cs="Arial"/>
                <w:b w:val="0"/>
                <w:bCs w:val="0"/>
                <w:color w:val="111111"/>
                <w:sz w:val="17"/>
                <w:szCs w:val="17"/>
              </w:rPr>
              <w:t>Live demo: db.* query on production PostgreSQL, Mailjet send, Paynow flow, Ollama local inference, governance gate firing on a policy violation. 118 tests green.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02AD4E0">
            <w:pPr>
              <w:spacing w:before="0" w:after="0"/>
            </w:pPr>
            <w:r>
              <w:rPr>
                <w:rFonts w:ascii="Arial" w:hAnsi="Arial" w:eastAsia="Arial" w:cs="Arial"/>
                <w:b w:val="0"/>
                <w:bCs w:val="0"/>
                <w:color w:val="111111"/>
                <w:sz w:val="17"/>
                <w:szCs w:val="17"/>
              </w:rPr>
              <w:t>Team hardware: RTX 3060 (12GB VRAM) for Ollama 7B. No ZCHPC CCE required.</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32433A5">
            <w:pPr>
              <w:spacing w:before="0" w:after="0"/>
            </w:pPr>
            <w:r>
              <w:rPr>
                <w:rFonts w:ascii="Arial" w:hAnsi="Arial" w:eastAsia="Arial" w:cs="Arial"/>
                <w:b w:val="0"/>
                <w:bCs w:val="0"/>
                <w:color w:val="111111"/>
                <w:sz w:val="17"/>
                <w:szCs w:val="17"/>
              </w:rPr>
              <w:t>31 July 2026</w:t>
            </w:r>
          </w:p>
        </w:tc>
      </w:tr>
      <w:tr w14:paraId="27D1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2D0E3F2">
            <w:pPr>
              <w:spacing w:before="0" w:after="0"/>
            </w:pPr>
            <w:r>
              <w:rPr>
                <w:rFonts w:ascii="Arial" w:hAnsi="Arial" w:eastAsia="Arial" w:cs="Arial"/>
                <w:b w:val="0"/>
                <w:bCs w:val="0"/>
                <w:color w:val="111111"/>
                <w:sz w:val="17"/>
                <w:szCs w:val="17"/>
              </w:rPr>
              <w:t>M1 — Contract signing</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98F553A">
            <w:pPr>
              <w:spacing w:before="0" w:after="0"/>
            </w:pPr>
            <w:r>
              <w:rPr>
                <w:rFonts w:ascii="Arial" w:hAnsi="Arial" w:eastAsia="Arial" w:cs="Arial"/>
                <w:b w:val="0"/>
                <w:bCs w:val="0"/>
                <w:color w:val="111111"/>
                <w:sz w:val="17"/>
                <w:szCs w:val="17"/>
              </w:rPr>
              <w:t>Stream B complete: onboarding UX live in staging. package-lock.json dependency manifest locked.</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44CB7DA">
            <w:pPr>
              <w:spacing w:before="0" w:after="0"/>
            </w:pPr>
            <w:r>
              <w:rPr>
                <w:rFonts w:ascii="Arial" w:hAnsi="Arial" w:eastAsia="Arial" w:cs="Arial"/>
                <w:b w:val="0"/>
                <w:bCs w:val="0"/>
                <w:color w:val="111111"/>
                <w:sz w:val="17"/>
                <w:szCs w:val="17"/>
              </w:rPr>
              <w:t>Same hardware. Qdrant, PostgreSQL, Redis on local or Render free tier.</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A22B367">
            <w:pPr>
              <w:spacing w:before="0" w:after="0"/>
            </w:pPr>
            <w:r>
              <w:rPr>
                <w:rFonts w:ascii="Arial" w:hAnsi="Arial" w:eastAsia="Arial" w:cs="Arial"/>
                <w:b w:val="0"/>
                <w:bCs w:val="0"/>
                <w:color w:val="111111"/>
                <w:sz w:val="17"/>
                <w:szCs w:val="17"/>
              </w:rPr>
              <w:t>Week 1 post-award</w:t>
            </w:r>
          </w:p>
        </w:tc>
      </w:tr>
      <w:tr w14:paraId="1C85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D997C7C">
            <w:pPr>
              <w:spacing w:before="0" w:after="0"/>
            </w:pPr>
            <w:r>
              <w:rPr>
                <w:rFonts w:ascii="Arial" w:hAnsi="Arial" w:eastAsia="Arial" w:cs="Arial"/>
                <w:b w:val="0"/>
                <w:bCs w:val="0"/>
                <w:color w:val="111111"/>
                <w:sz w:val="17"/>
                <w:szCs w:val="17"/>
              </w:rPr>
              <w:t>M2 — First tranche</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981719">
            <w:pPr>
              <w:spacing w:before="0" w:after="0"/>
            </w:pPr>
            <w:r>
              <w:rPr>
                <w:rFonts w:ascii="Arial" w:hAnsi="Arial" w:eastAsia="Arial" w:cs="Arial"/>
                <w:b w:val="0"/>
                <w:bCs w:val="0"/>
                <w:color w:val="111111"/>
                <w:sz w:val="17"/>
                <w:szCs w:val="17"/>
              </w:rPr>
              <w:t>Streams C and D: governance UI live; Shona/Ndebele LLM prompts with native speaker review; five sector packs ingested via IntelliNexus.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F5E696">
            <w:pPr>
              <w:spacing w:before="0" w:after="0"/>
            </w:pPr>
            <w:r>
              <w:rPr>
                <w:rFonts w:ascii="Arial" w:hAnsi="Arial" w:eastAsia="Arial" w:cs="Arial"/>
                <w:b w:val="0"/>
                <w:bCs w:val="0"/>
                <w:color w:val="111111"/>
                <w:sz w:val="17"/>
                <w:szCs w:val="17"/>
              </w:rPr>
              <w:t>Qdrant cloud (managed) for shared sector packs. OpenRouter key for quality testing.</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D0ADBD4">
            <w:pPr>
              <w:spacing w:before="0" w:after="0"/>
            </w:pPr>
            <w:r>
              <w:rPr>
                <w:rFonts w:ascii="Arial" w:hAnsi="Arial" w:eastAsia="Arial" w:cs="Arial"/>
                <w:b w:val="0"/>
                <w:bCs w:val="0"/>
                <w:color w:val="111111"/>
                <w:sz w:val="17"/>
                <w:szCs w:val="17"/>
              </w:rPr>
              <w:t>Week 6 post-award</w:t>
            </w:r>
          </w:p>
        </w:tc>
      </w:tr>
      <w:tr w14:paraId="1EB0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256C1F4">
            <w:pPr>
              <w:spacing w:before="0" w:after="0"/>
            </w:pPr>
            <w:r>
              <w:rPr>
                <w:rFonts w:ascii="Arial" w:hAnsi="Arial" w:eastAsia="Arial" w:cs="Arial"/>
                <w:b w:val="0"/>
                <w:bCs w:val="0"/>
                <w:color w:val="111111"/>
                <w:sz w:val="17"/>
                <w:szCs w:val="17"/>
              </w:rPr>
              <w:t>M3 — Pilot launch</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B684A42">
            <w:pPr>
              <w:spacing w:before="0" w:after="0"/>
            </w:pPr>
            <w:r>
              <w:rPr>
                <w:rFonts w:ascii="Arial" w:hAnsi="Arial" w:eastAsia="Arial" w:cs="Arial"/>
                <w:b w:val="0"/>
                <w:bCs w:val="0"/>
                <w:color w:val="111111"/>
                <w:sz w:val="17"/>
                <w:szCs w:val="17"/>
              </w:rPr>
              <w:t>10–20 pilot organisations onboarded. First non-technical operator case study. Performance dashboard live.</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2C915FE">
            <w:pPr>
              <w:spacing w:before="0" w:after="0"/>
            </w:pPr>
            <w:r>
              <w:rPr>
                <w:rFonts w:ascii="Arial" w:hAnsi="Arial" w:eastAsia="Arial" w:cs="Arial"/>
                <w:b w:val="0"/>
                <w:bCs w:val="0"/>
                <w:color w:val="111111"/>
                <w:sz w:val="17"/>
                <w:szCs w:val="17"/>
              </w:rPr>
              <w:t>Hosted: managed PostgreSQL + Redis + Qdrant. Est. USD 40–60/month infrastructure.</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2641FD4">
            <w:pPr>
              <w:spacing w:before="0" w:after="0"/>
            </w:pPr>
            <w:r>
              <w:rPr>
                <w:rFonts w:ascii="Arial" w:hAnsi="Arial" w:eastAsia="Arial" w:cs="Arial"/>
                <w:b w:val="0"/>
                <w:bCs w:val="0"/>
                <w:color w:val="111111"/>
                <w:sz w:val="17"/>
                <w:szCs w:val="17"/>
              </w:rPr>
              <w:t>Weeks 7–12 post-award</w:t>
            </w:r>
          </w:p>
        </w:tc>
      </w:tr>
    </w:tbl>
    <w:p w14:paraId="5BEB5C8B">
      <w:pPr>
        <w:spacing w:before="40" w:after="40"/>
      </w:pPr>
    </w:p>
    <w:p w14:paraId="45394391">
      <w:pPr>
        <w:pStyle w:val="3"/>
        <w:spacing w:before="180" w:after="80" w:line="276" w:lineRule="auto"/>
      </w:pPr>
      <w:r>
        <w:rPr>
          <w:rFonts w:ascii="Arial" w:hAnsi="Arial" w:eastAsia="Arial" w:cs="Arial"/>
          <w:b/>
          <w:bCs/>
          <w:color w:val="1D6FA4"/>
          <w:sz w:val="22"/>
          <w:szCs w:val="22"/>
        </w:rPr>
        <w:t>3.4 CCE / ZCHPC Position</w:t>
      </w:r>
    </w:p>
    <w:p w14:paraId="78F93823">
      <w:pPr>
        <w:spacing w:before="80" w:after="80" w:line="276" w:lineRule="auto"/>
      </w:pPr>
      <w:r>
        <w:rPr>
          <w:rFonts w:ascii="Arial" w:hAnsi="Arial" w:eastAsia="Arial" w:cs="Arial"/>
          <w:color w:val="111111"/>
          <w:sz w:val="22"/>
          <w:szCs w:val="22"/>
        </w:rPr>
        <w:t>NeuroWorks does not require the ZCHPC CCE for primary operation. The default inference path uses Ollama on the operator's own hardware a consumer GPU (RTX 3060, 12GB VRAM) runs 7B models covering the majority of tasks. For the Grand Challenge demonstration, the team's own hardware will be used. For pilot organisations without GPU hardware, ZCHPC access would provide shared local Ollama inference in a controlled, data-sovereign environment eliminating cloud model routing and its associated data-transmission risk. CCE requirements if accessed: 1× GPU node (16GB+ VRAM), 32GB RAM, 100GB storage, outbound access for GitHub API and optional OpenRouter fallback. All dependencies declared in package-lock.json at repository root.</w:t>
      </w:r>
    </w:p>
    <w:p w14:paraId="0A1EA227">
      <w:pPr>
        <w:spacing w:before="40" w:after="40"/>
      </w:pPr>
    </w:p>
    <w:p w14:paraId="1D2BFCFF">
      <w:pPr>
        <w:pStyle w:val="2"/>
        <w:spacing w:before="280" w:after="120" w:line="276" w:lineRule="auto"/>
      </w:pPr>
      <w:r>
        <w:rPr>
          <w:rFonts w:ascii="Arial" w:hAnsi="Arial" w:eastAsia="Arial" w:cs="Arial"/>
          <w:b/>
          <w:bCs/>
          <w:color w:val="0D2137"/>
          <w:sz w:val="26"/>
          <w:szCs w:val="26"/>
        </w:rPr>
        <w:t>Section 4 Compliance and Risk Mitigation</w:t>
      </w:r>
    </w:p>
    <w:p w14:paraId="44D7E29C">
      <w:pPr>
        <w:spacing w:before="80" w:after="80" w:line="276" w:lineRule="auto"/>
      </w:pPr>
      <w:r>
        <w:rPr>
          <w:rFonts w:ascii="Arial" w:hAnsi="Arial" w:eastAsia="Arial" w:cs="Arial"/>
          <w:color w:val="111111"/>
          <w:sz w:val="22"/>
          <w:szCs w:val="22"/>
        </w:rPr>
        <w:t>Written candidly. Where a risk is mitigated, the mitigation is named and locatable in the code. Where it is not yet mitigated, that is stated plainly.</w:t>
      </w:r>
    </w:p>
    <w:p w14:paraId="2F5793F9">
      <w:pPr>
        <w:spacing w:before="40" w:after="40"/>
      </w:pPr>
    </w:p>
    <w:p w14:paraId="28DC377A">
      <w:pPr>
        <w:pStyle w:val="3"/>
        <w:spacing w:before="180" w:after="80" w:line="276" w:lineRule="auto"/>
      </w:pPr>
      <w:r>
        <w:rPr>
          <w:rFonts w:ascii="Arial" w:hAnsi="Arial" w:eastAsia="Arial" w:cs="Arial"/>
          <w:b/>
          <w:bCs/>
          <w:color w:val="1D6FA4"/>
          <w:sz w:val="22"/>
          <w:szCs w:val="22"/>
        </w:rPr>
        <w:t>4.1 Ethical Safeguards</w:t>
      </w:r>
    </w:p>
    <w:p w14:paraId="76D777AA">
      <w:pPr>
        <w:spacing w:before="80" w:after="80" w:line="276" w:lineRule="auto"/>
      </w:pPr>
      <w:r>
        <w:rPr>
          <w:rFonts w:ascii="Arial" w:hAnsi="Arial" w:eastAsia="Arial" w:cs="Arial"/>
          <w:color w:val="111111"/>
          <w:sz w:val="22"/>
          <w:szCs w:val="22"/>
        </w:rPr>
        <w:t>Hallucination is mitigated at four independent layers: (1) anti-fabrication rules in the synthesis prompt requiring inline evidence citation; (2) quality.check scoring every non-trivial answer on factuality risk with a rescue pass on low scores; (3) peer.review sending low-confidence drafts to a second model; (4) a DATA GAP injection (agent.ts, added 11 July 2026) that forces the model to disclose when a required data source was unavailable rather than answering around it. This fourth layer was discovered necessary during drafting this proposal. Bias has not been independently evaluated the underlying models carry their providers' documented bias characteristics; an open item. Shona and Ndebele support is functionally verified but not yet reviewed by a native linguistic authority for cultural appropriateness at scale. Over-reliance is addressed through HITL gates and requiresApproval: true defaults but cannot be fully eliminated by software.</w:t>
      </w:r>
    </w:p>
    <w:p w14:paraId="01F5CD82">
      <w:pPr>
        <w:spacing w:before="40" w:after="40"/>
      </w:pPr>
    </w:p>
    <w:p w14:paraId="03842237">
      <w:pPr>
        <w:pStyle w:val="3"/>
        <w:spacing w:before="180" w:after="80" w:line="276" w:lineRule="auto"/>
      </w:pPr>
      <w:r>
        <w:rPr>
          <w:rFonts w:ascii="Arial" w:hAnsi="Arial" w:eastAsia="Arial" w:cs="Arial"/>
          <w:b/>
          <w:bCs/>
          <w:color w:val="1D6FA4"/>
          <w:sz w:val="22"/>
          <w:szCs w:val="22"/>
        </w:rPr>
        <w:t>4.2 Data Protection Act (Chapter 12:07) Compliance</w:t>
      </w:r>
    </w:p>
    <w:p w14:paraId="343E8E79">
      <w:pPr>
        <w:spacing w:before="80" w:after="80" w:line="276" w:lineRule="auto"/>
      </w:pPr>
      <w:r>
        <w:rPr>
          <w:rFonts w:ascii="Arial" w:hAnsi="Arial" w:eastAsia="Arial" w:cs="Arial"/>
          <w:color w:val="111111"/>
          <w:sz w:val="22"/>
          <w:szCs w:val="22"/>
        </w:rPr>
        <w:t>DPA obligations sit with the connecting operator as data controller. NeuroWorks acts as a processor on read-only instructions. Structural contributions to DPA compliance: connections are read-only by default; credentials encrypted at rest in AES-256-GCM (secret-box.ts); no data exported, cached beyond mission scope, or published via IntelliNexus without explicit operator instruction; full audit trail on every query against a connected source. In the default configuration Ollama, local vault, local Qdrant personal data never leaves the operator's machine. The intelligent organisation architecture makes data sovereignty the default, not an add-on.</w:t>
      </w:r>
    </w:p>
    <w:p w14:paraId="14D25966">
      <w:pPr>
        <w:spacing w:before="40" w:after="40"/>
      </w:pPr>
    </w:p>
    <w:p w14:paraId="20DBEA68">
      <w:pPr>
        <w:pStyle w:val="3"/>
        <w:spacing w:before="180" w:after="80" w:line="276" w:lineRule="auto"/>
      </w:pPr>
      <w:r>
        <w:rPr>
          <w:rFonts w:ascii="Arial" w:hAnsi="Arial" w:eastAsia="Arial" w:cs="Arial"/>
          <w:b/>
          <w:bCs/>
          <w:color w:val="1D6FA4"/>
          <w:sz w:val="22"/>
          <w:szCs w:val="22"/>
        </w:rPr>
        <w:t>4.3 Data-Use Consent and Model Testing</w:t>
      </w:r>
    </w:p>
    <w:p w14:paraId="4CE34C4A">
      <w:pPr>
        <w:spacing w:before="80" w:after="80" w:line="276" w:lineRule="auto"/>
      </w:pPr>
      <w:r>
        <w:rPr>
          <w:rFonts w:ascii="Arial" w:hAnsi="Arial" w:eastAsia="Arial" w:cs="Arial"/>
          <w:color w:val="111111"/>
          <w:sz w:val="22"/>
          <w:szCs w:val="22"/>
        </w:rPr>
        <w:t>Two IntelliNexus datasets exist in the current instance: the Awesome curated-software dataset (682 records, CC0 licence verified against source repository metadata before ingestion) and the nightly self-reflection series (NeuroWorks' own operational data). The connected production PostgreSQL is the operator's own data queried live per-request, never copied or published through IntelliNexus without explicit instruction. 118 unit tests pass. Governance gate tested against planted policy violations: fires correctly, surfaces the specific violated rule before any action executes. Secret-pattern scanner detected a planted fake token in under 1ms. Cost tracker audited and corrected 11 July 2026 (19% undercount found in provider-side extended thinking calls).</w:t>
      </w:r>
    </w:p>
    <w:p w14:paraId="03B53C21">
      <w:pPr>
        <w:spacing w:before="40" w:after="40"/>
      </w:pPr>
    </w:p>
    <w:p w14:paraId="4DF9B4CE">
      <w:pPr>
        <w:spacing w:before="80" w:after="80" w:line="276" w:lineRule="auto"/>
      </w:pPr>
      <w:r>
        <w:rPr>
          <w:rFonts w:ascii="Arial" w:hAnsi="Arial" w:eastAsia="Arial" w:cs="Arial"/>
          <w:color w:val="111111"/>
          <w:sz w:val="22"/>
          <w:szCs w:val="22"/>
        </w:rPr>
        <w:t>Security: a real credential incident is disclosed deliberately a GitHub PAT was inadvertently displayed in terminal output during this development cycle. Caught immediately, rotated within the same session, old credential revoked. Disclosed as evidence that operational security discipline is exercised, not merely documented. Origin-guard middleware (origin-guard.ts) defends against DNS rebinding and cross-origin attacks. NEUROWORKS_ENTERPRISE_MODE adds OAuth 2.0 for wide-bind deployments. code.exec is unsandboxed and disabled by default (NEUROWORKS_CODE_EXEC=1 required). SkillForge-generated code runs in E2B isolated sandbox before any operator approval or persistence.</w:t>
      </w:r>
    </w:p>
    <w:p w14:paraId="623BADAA">
      <w:pPr>
        <w:spacing w:before="40" w:after="40"/>
      </w:pPr>
    </w:p>
    <w:p w14:paraId="566C7627">
      <w:pPr>
        <w:pStyle w:val="2"/>
        <w:spacing w:before="280" w:after="120" w:line="276" w:lineRule="auto"/>
      </w:pPr>
      <w:r>
        <w:rPr>
          <w:rFonts w:ascii="Arial" w:hAnsi="Arial" w:eastAsia="Arial" w:cs="Arial"/>
          <w:b/>
          <w:bCs/>
          <w:color w:val="0D2137"/>
          <w:sz w:val="26"/>
          <w:szCs w:val="26"/>
        </w:rPr>
        <w:t>Section 5 Sustainability and Future Adoption</w:t>
      </w:r>
    </w:p>
    <w:p w14:paraId="76428CF7">
      <w:pPr>
        <w:pStyle w:val="3"/>
        <w:spacing w:before="180" w:after="80" w:line="276" w:lineRule="auto"/>
      </w:pPr>
      <w:r>
        <w:rPr>
          <w:rFonts w:ascii="Arial" w:hAnsi="Arial" w:eastAsia="Arial" w:cs="Arial"/>
          <w:b/>
          <w:bCs/>
          <w:color w:val="1D6FA4"/>
          <w:sz w:val="22"/>
          <w:szCs w:val="22"/>
        </w:rPr>
        <w:t>5.1 Cost Projections Real Measured Data</w:t>
      </w:r>
    </w:p>
    <w:p w14:paraId="4BC873A2">
      <w:pPr>
        <w:spacing w:before="80" w:after="80" w:line="276" w:lineRule="auto"/>
      </w:pPr>
      <w:r>
        <w:rPr>
          <w:rFonts w:ascii="Arial" w:hAnsi="Arial" w:eastAsia="Arial" w:cs="Arial"/>
          <w:color w:val="111111"/>
          <w:sz w:val="22"/>
          <w:szCs w:val="22"/>
        </w:rPr>
        <w:t>NeuroWorks tracks real per-call token usage from provider usage-response data not estimates. A 19% undercount bug was found and corrected 11 July 2026. Numbers from the corrected live tracker:</w:t>
      </w:r>
    </w:p>
    <w:p w14:paraId="494AA60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900"/>
        <w:gridCol w:w="1700"/>
        <w:gridCol w:w="1460"/>
      </w:tblGrid>
      <w:tr w14:paraId="377E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B6E9084">
            <w:pPr>
              <w:spacing w:before="0" w:after="0"/>
            </w:pPr>
            <w:r>
              <w:rPr>
                <w:rFonts w:ascii="Arial" w:hAnsi="Arial" w:eastAsia="Arial" w:cs="Arial"/>
                <w:b/>
                <w:bCs/>
                <w:color w:val="FFFFFF"/>
                <w:sz w:val="18"/>
                <w:szCs w:val="18"/>
              </w:rPr>
              <w:t>Period</w:t>
            </w:r>
          </w:p>
        </w:tc>
        <w:tc>
          <w:tcPr>
            <w:tcW w:w="15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20C9156">
            <w:pPr>
              <w:spacing w:before="0" w:after="0"/>
            </w:pPr>
            <w:r>
              <w:rPr>
                <w:rFonts w:ascii="Arial" w:hAnsi="Arial" w:eastAsia="Arial" w:cs="Arial"/>
                <w:b/>
                <w:bCs/>
                <w:color w:val="FFFFFF"/>
                <w:sz w:val="18"/>
                <w:szCs w:val="18"/>
              </w:rPr>
              <w:t>Total calls</w:t>
            </w:r>
          </w:p>
        </w:tc>
        <w:tc>
          <w:tcPr>
            <w:tcW w:w="1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615A5D5C">
            <w:pPr>
              <w:spacing w:before="0" w:after="0"/>
            </w:pPr>
            <w:r>
              <w:rPr>
                <w:rFonts w:ascii="Arial" w:hAnsi="Arial" w:eastAsia="Arial" w:cs="Arial"/>
                <w:b/>
                <w:bCs/>
                <w:color w:val="FFFFFF"/>
                <w:sz w:val="18"/>
                <w:szCs w:val="18"/>
              </w:rPr>
              <w:t>Free and local</w:t>
            </w:r>
          </w:p>
        </w:tc>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8D30C39">
            <w:pPr>
              <w:spacing w:before="0" w:after="0"/>
            </w:pPr>
            <w:r>
              <w:rPr>
                <w:rFonts w:ascii="Arial" w:hAnsi="Arial" w:eastAsia="Arial" w:cs="Arial"/>
                <w:b/>
                <w:bCs/>
                <w:color w:val="FFFFFF"/>
                <w:sz w:val="18"/>
                <w:szCs w:val="18"/>
              </w:rPr>
              <w:t>Paid cloud</w:t>
            </w:r>
          </w:p>
        </w:tc>
        <w:tc>
          <w:tcPr>
            <w:tcW w:w="14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F6050C1">
            <w:pPr>
              <w:spacing w:before="0" w:after="0"/>
            </w:pPr>
            <w:r>
              <w:rPr>
                <w:rFonts w:ascii="Arial" w:hAnsi="Arial" w:eastAsia="Arial" w:cs="Arial"/>
                <w:b/>
                <w:bCs/>
                <w:color w:val="FFFFFF"/>
                <w:sz w:val="18"/>
                <w:szCs w:val="18"/>
              </w:rPr>
              <w:t>Cloud cost</w:t>
            </w:r>
          </w:p>
        </w:tc>
      </w:tr>
      <w:tr w14:paraId="0A09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5B047E4">
            <w:pPr>
              <w:spacing w:before="0" w:after="0"/>
            </w:pPr>
            <w:r>
              <w:rPr>
                <w:rFonts w:ascii="Arial" w:hAnsi="Arial" w:eastAsia="Arial" w:cs="Arial"/>
                <w:b w:val="0"/>
                <w:bCs w:val="0"/>
                <w:color w:val="111111"/>
                <w:sz w:val="17"/>
                <w:szCs w:val="17"/>
              </w:rPr>
              <w:t>10 days — 3 to 11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10E2B2B">
            <w:pPr>
              <w:spacing w:before="0" w:after="0"/>
            </w:pPr>
            <w:r>
              <w:rPr>
                <w:rFonts w:ascii="Arial" w:hAnsi="Arial" w:eastAsia="Arial" w:cs="Arial"/>
                <w:b w:val="0"/>
                <w:bCs w:val="0"/>
                <w:color w:val="111111"/>
                <w:sz w:val="17"/>
                <w:szCs w:val="17"/>
              </w:rPr>
              <w:t>1,021</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C74DA5">
            <w:pPr>
              <w:spacing w:before="0" w:after="0"/>
            </w:pPr>
            <w:r>
              <w:rPr>
                <w:rFonts w:ascii="Arial" w:hAnsi="Arial" w:eastAsia="Arial" w:cs="Arial"/>
                <w:b w:val="0"/>
                <w:bCs w:val="0"/>
                <w:color w:val="111111"/>
                <w:sz w:val="17"/>
                <w:szCs w:val="17"/>
              </w:rPr>
              <w:t>640 (62.7%)</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72D0B8D">
            <w:pPr>
              <w:spacing w:before="0" w:after="0"/>
            </w:pPr>
            <w:r>
              <w:rPr>
                <w:rFonts w:ascii="Arial" w:hAnsi="Arial" w:eastAsia="Arial" w:cs="Arial"/>
                <w:b w:val="0"/>
                <w:bCs w:val="0"/>
                <w:color w:val="111111"/>
                <w:sz w:val="17"/>
                <w:szCs w:val="17"/>
              </w:rPr>
              <w:t>381 (37.3%)</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C739ADC">
            <w:pPr>
              <w:spacing w:before="0" w:after="0"/>
            </w:pPr>
            <w:r>
              <w:rPr>
                <w:rFonts w:ascii="Arial" w:hAnsi="Arial" w:eastAsia="Arial" w:cs="Arial"/>
                <w:b w:val="0"/>
                <w:bCs w:val="0"/>
                <w:color w:val="111111"/>
                <w:sz w:val="17"/>
                <w:szCs w:val="17"/>
              </w:rPr>
              <w:t>USD 8.31 total</w:t>
            </w:r>
          </w:p>
        </w:tc>
      </w:tr>
      <w:tr w14:paraId="3C85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F5F3936">
            <w:pPr>
              <w:spacing w:before="0" w:after="0"/>
            </w:pPr>
            <w:r>
              <w:rPr>
                <w:rFonts w:ascii="Arial" w:hAnsi="Arial" w:eastAsia="Arial" w:cs="Arial"/>
                <w:b w:val="0"/>
                <w:bCs w:val="0"/>
                <w:color w:val="111111"/>
                <w:sz w:val="17"/>
                <w:szCs w:val="17"/>
              </w:rPr>
              <w:t>Single day — 10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488D5DB">
            <w:pPr>
              <w:spacing w:before="0" w:after="0"/>
            </w:pPr>
            <w:r>
              <w:rPr>
                <w:rFonts w:ascii="Arial" w:hAnsi="Arial" w:eastAsia="Arial" w:cs="Arial"/>
                <w:b w:val="0"/>
                <w:bCs w:val="0"/>
                <w:color w:val="111111"/>
                <w:sz w:val="17"/>
                <w:szCs w:val="17"/>
              </w:rPr>
              <w:t>~35</w:t>
            </w:r>
          </w:p>
        </w:tc>
        <w:tc>
          <w:tcPr>
            <w:tcW w:w="1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6EF9832">
            <w:pPr>
              <w:spacing w:before="0" w:after="0"/>
            </w:pPr>
            <w:r>
              <w:rPr>
                <w:rFonts w:ascii="Arial" w:hAnsi="Arial" w:eastAsia="Arial" w:cs="Arial"/>
                <w:b w:val="0"/>
                <w:bCs w:val="0"/>
                <w:color w:val="111111"/>
                <w:sz w:val="17"/>
                <w:szCs w:val="17"/>
              </w:rPr>
              <w:t>~22</w:t>
            </w:r>
          </w:p>
        </w:tc>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839D37A">
            <w:pPr>
              <w:spacing w:before="0" w:after="0"/>
            </w:pPr>
            <w:r>
              <w:rPr>
                <w:rFonts w:ascii="Arial" w:hAnsi="Arial" w:eastAsia="Arial" w:cs="Arial"/>
                <w:b w:val="0"/>
                <w:bCs w:val="0"/>
                <w:color w:val="111111"/>
                <w:sz w:val="17"/>
                <w:szCs w:val="17"/>
              </w:rPr>
              <w:t>~13</w:t>
            </w:r>
          </w:p>
        </w:tc>
        <w:tc>
          <w:tcPr>
            <w:tcW w:w="14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7496AF">
            <w:pPr>
              <w:spacing w:before="0" w:after="0"/>
            </w:pPr>
            <w:r>
              <w:rPr>
                <w:rFonts w:ascii="Arial" w:hAnsi="Arial" w:eastAsia="Arial" w:cs="Arial"/>
                <w:b w:val="0"/>
                <w:bCs w:val="0"/>
                <w:color w:val="111111"/>
                <w:sz w:val="17"/>
                <w:szCs w:val="17"/>
              </w:rPr>
              <w:t>USD 3.03 (~USD 0.10/task, 29 tasks)</w:t>
            </w:r>
          </w:p>
        </w:tc>
      </w:tr>
    </w:tbl>
    <w:p w14:paraId="17E57CE4">
      <w:pPr>
        <w:spacing w:before="40" w:after="40"/>
      </w:pPr>
    </w:p>
    <w:p w14:paraId="2F36EEC1">
      <w:pPr>
        <w:spacing w:before="80" w:after="80" w:line="276" w:lineRule="auto"/>
      </w:pPr>
      <w:r>
        <w:rPr>
          <w:rFonts w:ascii="Arial" w:hAnsi="Arial" w:eastAsia="Arial" w:cs="Arial"/>
          <w:color w:val="111111"/>
          <w:sz w:val="22"/>
          <w:szCs w:val="22"/>
        </w:rPr>
        <w:t>The USD 0.10/task figure is from one fully-documented day and is presented as a single honest data point. The 10-day window demonstrates that the free-local-core architecture works in practice and cloud spend, when incurred, is small relative to task output.</w:t>
      </w:r>
    </w:p>
    <w:p w14:paraId="1EB628BB">
      <w:pPr>
        <w:spacing w:before="40" w:after="40"/>
      </w:pPr>
    </w:p>
    <w:p w14:paraId="2AD5BD37">
      <w:pPr>
        <w:pStyle w:val="3"/>
        <w:spacing w:before="180" w:after="80" w:line="276" w:lineRule="auto"/>
      </w:pPr>
      <w:r>
        <w:rPr>
          <w:rFonts w:ascii="Arial" w:hAnsi="Arial" w:eastAsia="Arial" w:cs="Arial"/>
          <w:b/>
          <w:bCs/>
          <w:color w:val="1D6FA4"/>
          <w:sz w:val="22"/>
          <w:szCs w:val="22"/>
        </w:rPr>
        <w:t>5.2 Operational Business Model</w:t>
      </w:r>
    </w:p>
    <w:p w14:paraId="18853143">
      <w:pPr>
        <w:spacing w:before="80" w:after="80" w:line="276" w:lineRule="auto"/>
      </w:pPr>
      <w:r>
        <w:rPr>
          <w:rFonts w:ascii="Arial" w:hAnsi="Arial" w:eastAsia="Arial" w:cs="Arial"/>
          <w:color w:val="111111"/>
          <w:sz w:val="22"/>
          <w:szCs w:val="22"/>
        </w:rPr>
        <w:t>Every installation runs Ollama by default zero API keys, zero mandatory cloud spend, genuinely free-capable with a working path back to local-only at any time. Cloud models (Claude, Groq, OpenRouter) are an optional escalation billed at cost plus a 10% platform fee, visible to the operator per call. Institutional licence (annual contract for updates, support, deployment assistance) is the primary revenue path for government and health-sector customers. A managed relay for hard-to-self-host pieces is planned but not yet built stated as planned, not claimed as done.</w:t>
      </w:r>
    </w:p>
    <w:p w14:paraId="31DC117F">
      <w:pPr>
        <w:spacing w:before="40" w:after="40"/>
      </w:pPr>
    </w:p>
    <w:p w14:paraId="421AFEF5">
      <w:pPr>
        <w:pStyle w:val="3"/>
        <w:spacing w:before="180" w:after="80" w:line="276" w:lineRule="auto"/>
      </w:pPr>
      <w:r>
        <w:rPr>
          <w:rFonts w:ascii="Arial" w:hAnsi="Arial" w:eastAsia="Arial" w:cs="Arial"/>
          <w:b/>
          <w:bCs/>
          <w:color w:val="1D6FA4"/>
          <w:sz w:val="22"/>
          <w:szCs w:val="22"/>
        </w:rPr>
        <w:t>5.3 Licensing Registry</w:t>
      </w:r>
    </w:p>
    <w:p w14:paraId="0C5A95CB">
      <w:pPr>
        <w:spacing w:before="80" w:after="80" w:line="276" w:lineRule="auto"/>
      </w:pPr>
      <w:r>
        <w:rPr>
          <w:rFonts w:ascii="Arial" w:hAnsi="Arial" w:eastAsia="Arial" w:cs="Arial"/>
          <w:color w:val="111111"/>
          <w:sz w:val="22"/>
          <w:szCs w:val="22"/>
        </w:rPr>
        <w:t>NeuroWorks' own code is proprietary to Aii</w:t>
      </w:r>
      <w:r>
        <w:rPr>
          <w:rFonts w:hint="default" w:cs="Arial"/>
          <w:color w:val="111111"/>
          <w:sz w:val="22"/>
          <w:szCs w:val="22"/>
          <w:lang w:val="en-ZA"/>
        </w:rPr>
        <w:t>a</w:t>
      </w:r>
      <w:r>
        <w:rPr>
          <w:rFonts w:ascii="Arial" w:hAnsi="Arial" w:eastAsia="Arial" w:cs="Arial"/>
          <w:color w:val="111111"/>
          <w:sz w:val="22"/>
          <w:szCs w:val="22"/>
        </w:rPr>
        <w:t xml:space="preserve"> and RUBIEM Developers, all rights reserved, with the full licence at the repository root. POTRAZ is granted a non-exclusive, royalty-free right to evaluate, demonstrate, and pilot the submission for public-interest purposes. Commercial use beyond the Challenge requires a separate agreement. All third-party libraries, models, and APIs are declared with their licence positions in the Asset and Licence Register (docs-vault-ready/06-grand-challenge-2026/ in the repository). Zimbabwe sector knowledge packs will be released under Creative Commons Attribution (CC BY 4.0) to contribute to Zimbabwe's national AI data infrastructure and the IntelliNexus learning commons.</w:t>
      </w:r>
    </w:p>
    <w:p w14:paraId="29A77071">
      <w:pPr>
        <w:spacing w:before="40" w:after="40"/>
      </w:pPr>
    </w:p>
    <w:p w14:paraId="68772DA5">
      <w:pPr>
        <w:pStyle w:val="3"/>
        <w:spacing w:before="180" w:after="80" w:line="276" w:lineRule="auto"/>
      </w:pPr>
      <w:r>
        <w:rPr>
          <w:rFonts w:ascii="Arial" w:hAnsi="Arial" w:eastAsia="Arial" w:cs="Arial"/>
          <w:b/>
          <w:bCs/>
          <w:color w:val="1D6FA4"/>
          <w:sz w:val="22"/>
          <w:szCs w:val="22"/>
        </w:rPr>
        <w:t>5.4 Scaling and Sustainability Pathway</w:t>
      </w:r>
    </w:p>
    <w:p w14:paraId="0EA99891">
      <w:pPr>
        <w:spacing w:before="80" w:after="80" w:line="276" w:lineRule="auto"/>
      </w:pPr>
      <w:r>
        <w:rPr>
          <w:rFonts w:ascii="Arial" w:hAnsi="Arial" w:eastAsia="Arial" w:cs="Arial"/>
          <w:color w:val="111111"/>
          <w:sz w:val="22"/>
          <w:szCs w:val="22"/>
        </w:rPr>
        <w:t>One real external system is already connected a production PostgreSQL database live since 11 July 2026. The formal pilot (Weeks 7–12 post-award) targets 10–20 organisations in Mutare and Harare: five SMEs across tourism, agriculture, and informal trade; three NGOs; two government-adjacent institutions; one health facility. Success is measured on task completion rate, time saved versus prior manual process, cloud spend per task, and at least one non-technical operator case study. No signed pilot agreements exist yet the single biggest gap between technically ready and commercially validated, stated plainly.</w:t>
      </w:r>
    </w:p>
    <w:p w14:paraId="6999A2BD">
      <w:pPr>
        <w:spacing w:before="40" w:after="40"/>
      </w:pPr>
    </w:p>
    <w:p w14:paraId="2318C8A0">
      <w:pPr>
        <w:spacing w:before="80" w:after="80" w:line="276" w:lineRule="auto"/>
      </w:pPr>
      <w:r>
        <w:rPr>
          <w:rFonts w:ascii="Arial" w:hAnsi="Arial" w:eastAsia="Arial" w:cs="Arial"/>
          <w:color w:val="111111"/>
          <w:sz w:val="22"/>
          <w:szCs w:val="22"/>
        </w:rPr>
        <w:t>The long-term vision is the intelligent organisation as the dominant operating model for Zimbabwean and SADC institutions. NeuroWorks is the platform they use to get there. SADC regional expansion follows the same architecture with country-specific language and regulatory packs configuration, not a rebuild. For sovereign government deployments, on-premise with ZCHPC GPU infrastructure provides a pathway that satisfies institutional data-governance requirements without cloud dependency. Self-sustaining at 200 Growth-tier or 70 Institutional-tier paying organisations before external investment is required.</w:t>
      </w:r>
    </w:p>
    <w:p w14:paraId="0E649F0F">
      <w:pPr>
        <w:spacing w:before="120" w:after="80"/>
        <w:jc w:val="cente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777EC">
    <w:pPr>
      <w:spacing w:before="120" w:after="80"/>
      <w:jc w:val="center"/>
    </w:pPr>
    <w:r>
      <w:rPr>
        <w:rFonts w:hint="default" w:cs="Arial"/>
        <w:i/>
        <w:iCs/>
        <w:color w:val="999999"/>
        <w:sz w:val="18"/>
        <w:szCs w:val="18"/>
        <w:lang w:val="en-ZA"/>
      </w:rPr>
      <w:t>P</w:t>
    </w:r>
    <w:r>
      <w:rPr>
        <w:rFonts w:ascii="Arial" w:hAnsi="Arial" w:eastAsia="Arial" w:cs="Arial"/>
        <w:i/>
        <w:iCs/>
        <w:color w:val="999999"/>
        <w:sz w:val="18"/>
        <w:szCs w:val="18"/>
      </w:rPr>
      <w:t>roposal  ·  NeuroWorks  ·  [ProjectID]_AI4I_Proposal_Development  ·  AI Grand Challenge 2026</w:t>
    </w:r>
  </w:p>
  <w:p w14:paraId="6BFBCF96">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056F4962"/>
    <w:rsid w:val="1652302D"/>
    <w:rsid w:val="5DD761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line="276" w:lineRule="auto"/>
      <w:outlineLvl w:val="0"/>
    </w:pPr>
    <w:rPr>
      <w:rFonts w:ascii="Arial" w:hAnsi="Arial" w:eastAsia="Arial" w:cs="Arial"/>
      <w:b/>
      <w:bCs/>
      <w:color w:val="0D2137"/>
      <w:sz w:val="26"/>
      <w:szCs w:val="26"/>
    </w:rPr>
  </w:style>
  <w:style w:type="paragraph" w:styleId="3">
    <w:name w:val="heading 2"/>
    <w:next w:val="1"/>
    <w:qFormat/>
    <w:uiPriority w:val="0"/>
    <w:pPr>
      <w:spacing w:before="180" w:after="80" w:line="276" w:lineRule="auto"/>
      <w:outlineLvl w:val="1"/>
    </w:pPr>
    <w:rPr>
      <w:rFonts w:ascii="Arial" w:hAnsi="Arial" w:eastAsia="Arial" w:cs="Arial"/>
      <w:b/>
      <w:bCs/>
      <w:color w:val="1D6FA4"/>
      <w:sz w:val="22"/>
      <w:szCs w:val="22"/>
    </w:rPr>
  </w:style>
  <w:style w:type="paragraph" w:styleId="4">
    <w:name w:val="heading 3"/>
    <w:next w:val="1"/>
    <w:qFormat/>
    <w:uiPriority w:val="0"/>
    <w:pPr>
      <w:spacing w:before="140" w:after="60" w:line="276" w:lineRule="auto"/>
      <w:outlineLvl w:val="2"/>
    </w:pPr>
    <w:rPr>
      <w:rFonts w:ascii="Arial" w:hAnsi="Arial" w:eastAsia="Arial" w:cs="Arial"/>
      <w:b/>
      <w:bCs/>
      <w:color w:val="1A3F5C"/>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394</Words>
  <Characters>2430</Characters>
  <TotalTime>11</TotalTime>
  <ScaleCrop>false</ScaleCrop>
  <LinksUpToDate>false</LinksUpToDate>
  <CharactersWithSpaces>2810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2026-07-12T15:57:00Z</dcterms:created>
  <dc:creator>Un-named</dc:creator>
  <cp:lastModifiedBy>King_Arthur</cp:lastModifiedBy>
  <dcterms:modified xsi:type="dcterms:W3CDTF">2026-07-13T06:15:50Z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eyJoZGlkIjoiZGQyNTgzMmNlYTRiOWI2ZTg4MzNhOTA1MWZkYWE3ZmMiLCJ1c2VySWQiOiIxODU3MjE3MTc0MjU4MiJ9</vt:lpwstr>
  </property>
  <property fmtid="{D5CDD505-2E9C-101B-9397-08002B2CF9AE}" pid="3" name="KSOProductBuildVer">
    <vt:lpwstr>1033-12.1.0.26880</vt:lpwstr>
  </property>
  <property fmtid="{D5CDD505-2E9C-101B-9397-08002B2CF9AE}" pid="4" name="ICV">
    <vt:lpwstr>705ED714DC5540DDB818FF14048B8ECE_13</vt:lpwstr>
  </property>
</Properties>
</file>