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0D2137"/>
          <w:sz w:val="72"/>
          <w:szCs w:val="72"/>
        </w:rPr>
        <w:t xml:space="preserve">NeuroWorks</w:t>
      </w:r>
    </w:p>
    <w:p>
      <w:pPr>
        <w:spacing w:after="280" w:before="0"/>
        <w:jc w:val="center"/>
      </w:pPr>
      <w:r>
        <w:rPr>
          <w:rFonts w:ascii="Arial" w:cs="Arial" w:eastAsia="Arial" w:hAnsi="Arial"/>
          <w:i/>
          <w:iCs/>
          <w:color w:val="1D6FA4"/>
          <w:sz w:val="28"/>
          <w:szCs w:val="28"/>
        </w:rPr>
        <w:t xml:space="preserve">An AI Digital Workforce for Zimbabwean Organisations</w:t>
      </w:r>
    </w:p>
    <w:p>
      <w:pPr>
        <w:spacing w:after="50" w:before="0"/>
        <w:jc w:val="center"/>
      </w:pPr>
      <w:r>
        <w:rPr>
          <w:rFonts w:ascii="Arial" w:cs="Arial" w:eastAsia="Arial" w:hAnsi="Arial"/>
          <w:b/>
          <w:bCs/>
          <w:color w:val="1A3F5C"/>
          <w:sz w:val="22"/>
          <w:szCs w:val="22"/>
        </w:rPr>
        <w:t xml:space="preserve">Project Title:  </w:t>
      </w:r>
      <w:r>
        <w:rPr>
          <w:rFonts w:ascii="Arial" w:cs="Arial" w:eastAsia="Arial" w:hAnsi="Arial"/>
          <w:color w:val="111111"/>
          <w:sz w:val="22"/>
          <w:szCs w:val="22"/>
        </w:rPr>
        <w:t xml:space="preserve">NeuroWorks — AI Digital Workforce Platform</w:t>
      </w:r>
    </w:p>
    <w:p>
      <w:pPr>
        <w:spacing w:after="50" w:before="0"/>
        <w:jc w:val="center"/>
      </w:pPr>
      <w:r>
        <w:rPr>
          <w:rFonts w:ascii="Arial" w:cs="Arial" w:eastAsia="Arial" w:hAnsi="Arial"/>
          <w:b/>
          <w:bCs/>
          <w:color w:val="1A3F5C"/>
          <w:sz w:val="22"/>
          <w:szCs w:val="22"/>
        </w:rPr>
        <w:t xml:space="preserve">Track Name:  </w:t>
      </w:r>
      <w:r>
        <w:rPr>
          <w:rFonts w:ascii="Arial" w:cs="Arial" w:eastAsia="Arial" w:hAnsi="Arial"/>
          <w:color w:val="111111"/>
          <w:sz w:val="22"/>
          <w:szCs w:val="22"/>
        </w:rPr>
        <w:t xml:space="preserve">Track 3 — Development</w:t>
      </w:r>
    </w:p>
    <w:p>
      <w:pPr>
        <w:spacing w:after="50" w:before="0"/>
        <w:jc w:val="center"/>
      </w:pPr>
      <w:r>
        <w:rPr>
          <w:rFonts w:ascii="Arial" w:cs="Arial" w:eastAsia="Arial" w:hAnsi="Arial"/>
          <w:b/>
          <w:bCs/>
          <w:color w:val="1A3F5C"/>
          <w:sz w:val="22"/>
          <w:szCs w:val="22"/>
        </w:rPr>
        <w:t xml:space="preserve">Team Name:  </w:t>
      </w:r>
      <w:r>
        <w:rPr>
          <w:rFonts w:ascii="Arial" w:cs="Arial" w:eastAsia="Arial" w:hAnsi="Arial"/>
          <w:color w:val="111111"/>
          <w:sz w:val="22"/>
          <w:szCs w:val="22"/>
        </w:rPr>
        <w:t xml:space="preserve">RUBIEM Developers</w:t>
      </w:r>
    </w:p>
    <w:p>
      <w:pPr>
        <w:spacing w:after="50" w:before="0"/>
        <w:jc w:val="center"/>
      </w:pPr>
      <w:r>
        <w:rPr>
          <w:rFonts w:ascii="Arial" w:cs="Arial" w:eastAsia="Arial" w:hAnsi="Arial"/>
          <w:b/>
          <w:bCs/>
          <w:color w:val="1A3F5C"/>
          <w:sz w:val="22"/>
          <w:szCs w:val="22"/>
        </w:rPr>
        <w:t xml:space="preserve">Lead Innovator:  </w:t>
      </w:r>
      <w:r>
        <w:rPr>
          <w:rFonts w:ascii="Arial" w:cs="Arial" w:eastAsia="Arial" w:hAnsi="Arial"/>
          <w:color w:val="111111"/>
          <w:sz w:val="22"/>
          <w:szCs w:val="22"/>
        </w:rPr>
        <w:t xml:space="preserve">AiiA — Autonomous Intelligence &amp; Innovation Agency</w:t>
      </w:r>
    </w:p>
    <w:p>
      <w:pPr>
        <w:spacing w:after="50" w:before="0"/>
        <w:jc w:val="center"/>
      </w:pPr>
      <w:r>
        <w:rPr>
          <w:rFonts w:ascii="Arial" w:cs="Arial" w:eastAsia="Arial" w:hAnsi="Arial"/>
          <w:b/>
          <w:bCs/>
          <w:color w:val="1A3F5C"/>
          <w:sz w:val="22"/>
          <w:szCs w:val="22"/>
        </w:rPr>
        <w:t xml:space="preserve">Date:  </w:t>
      </w:r>
      <w:r>
        <w:rPr>
          <w:rFonts w:ascii="Arial" w:cs="Arial" w:eastAsia="Arial" w:hAnsi="Arial"/>
          <w:color w:val="111111"/>
          <w:sz w:val="22"/>
          <w:szCs w:val="22"/>
        </w:rPr>
        <w:t xml:space="preserve">11 July 2026</w:t>
      </w:r>
    </w:p>
    <w:p>
      <w:pPr>
        <w:spacing w:after="50" w:before="0"/>
        <w:jc w:val="center"/>
      </w:pPr>
      <w:r>
        <w:rPr>
          <w:rFonts w:ascii="Arial" w:cs="Arial" w:eastAsia="Arial" w:hAnsi="Arial"/>
          <w:b/>
          <w:bCs/>
          <w:color w:val="1A3F5C"/>
          <w:sz w:val="22"/>
          <w:szCs w:val="22"/>
        </w:rPr>
        <w:t xml:space="preserve">Repository:  </w:t>
      </w:r>
      <w:r>
        <w:rPr>
          <w:rFonts w:ascii="Arial" w:cs="Arial" w:eastAsia="Arial" w:hAnsi="Arial"/>
          <w:color w:val="111111"/>
          <w:sz w:val="22"/>
          <w:szCs w:val="22"/>
        </w:rPr>
        <w:t xml:space="preserve">github.com/RUBIEM-DEVELOPERS-REPO/neuroworks (public)</w:t>
      </w:r>
    </w:p>
    <w:p>
      <w:pPr>
        <w:spacing w:after="50" w:before="0"/>
        <w:jc w:val="center"/>
      </w:pPr>
      <w:r>
        <w:rPr>
          <w:rFonts w:ascii="Arial" w:cs="Arial" w:eastAsia="Arial" w:hAnsi="Arial"/>
          <w:b/>
          <w:bCs/>
          <w:color w:val="1A3F5C"/>
          <w:sz w:val="22"/>
          <w:szCs w:val="22"/>
        </w:rPr>
        <w:t xml:space="preserve">Demo:  </w:t>
      </w:r>
      <w:r>
        <w:rPr>
          <w:rFonts w:ascii="Arial" w:cs="Arial" w:eastAsia="Arial" w:hAnsi="Arial"/>
          <w:color w:val="111111"/>
          <w:sz w:val="22"/>
          <w:szCs w:val="22"/>
        </w:rPr>
        <w:t xml:space="preserve">Live demonstration available — Day 5, Friday 31 July 2026</w:t>
      </w:r>
    </w:p>
    <w:p>
      <w:r>
        <w:br w:type="page"/>
      </w:r>
    </w:p>
    <w:p>
      <w:pPr>
        <w:sectPr>
          <w:pgSz w:w="12240" w:h="15840" w:orient="portrait"/>
          <w:pgMar w:top="1440" w:right="1440" w:bottom="1440" w:left="1440" w:header="708" w:footer="708" w:gutter="0"/>
          <w:pgNumType/>
          <w:docGrid w:linePitch="360"/>
        </w:sectPr>
      </w:pPr>
    </w:p>
    <w:p>
      <w:pPr>
        <w:pStyle w:val="Heading1"/>
        <w:spacing w:after="120" w:before="280" w:line="276" w:lineRule="auto"/>
      </w:pPr>
      <w:r>
        <w:rPr>
          <w:rFonts w:ascii="Arial" w:cs="Arial" w:eastAsia="Arial" w:hAnsi="Arial"/>
          <w:b/>
          <w:bCs/>
          <w:color w:val="0D2137"/>
          <w:sz w:val="26"/>
          <w:szCs w:val="26"/>
        </w:rPr>
        <w:t xml:space="preserve">Section 1 — Problem Definition and Strategic Alignment</w:t>
      </w:r>
    </w:p>
    <w:p>
      <w:pPr>
        <w:pStyle w:val="Heading2"/>
        <w:spacing w:after="80" w:before="180" w:line="276" w:lineRule="auto"/>
      </w:pPr>
      <w:r>
        <w:rPr>
          <w:rFonts w:ascii="Arial" w:cs="Arial" w:eastAsia="Arial" w:hAnsi="Arial"/>
          <w:b/>
          <w:bCs/>
          <w:color w:val="1D6FA4"/>
          <w:sz w:val="22"/>
          <w:szCs w:val="22"/>
        </w:rPr>
        <w:t xml:space="preserve">1.1 The Problem</w:t>
      </w:r>
    </w:p>
    <w:p>
      <w:pPr>
        <w:spacing w:after="80" w:before="80" w:line="276" w:lineRule="auto"/>
      </w:pPr>
      <w:r>
        <w:rPr>
          <w:rFonts w:ascii="Arial" w:cs="Arial" w:eastAsia="Arial" w:hAnsi="Arial"/>
          <w:color w:val="111111"/>
          <w:sz w:val="22"/>
          <w:szCs w:val="22"/>
        </w:rPr>
        <w:t xml:space="preserve">Zimbabwe's organisations cannot afford the full range of knowledge work they need to function. A single NGO programme officer is expected to do the work of a communications team, a finance reporting team, a compliance team, and a research team simultaneously. A rural district hospital runs without a dedicated analyst, compliance manager, or communications officer. A fintech's reconciliation desk cannot produce analysis at the frequency executives need it. A government procurement unit cannot keep pace with PRAZ compliance documentation requirements.</w:t>
      </w:r>
    </w:p>
    <w:p>
      <w:pPr>
        <w:spacing w:after="40" w:before="40"/>
      </w:pPr>
      <w:r>
        <w:t xml:space="preserve"/>
      </w:r>
    </w:p>
    <w:p>
      <w:pPr>
        <w:spacing w:after="80" w:before="80" w:line="276" w:lineRule="auto"/>
      </w:pPr>
      <w:r>
        <w:rPr>
          <w:rFonts w:ascii="Arial" w:cs="Arial" w:eastAsia="Arial" w:hAnsi="Arial"/>
          <w:color w:val="111111"/>
          <w:sz w:val="22"/>
          <w:szCs w:val="22"/>
        </w:rPr>
        <w:t xml:space="preserve">This is not a skills problem. The people exist. The cognitive-communicative work those people need to do — researching, drafting, querying, coordinating, reporting, complying — exceeds what any affordable number of hires can cover. The structural capacity gap compounds year on year.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4"/>
              <w:left w:val="single" w:color="1D6FA4" w:sz="18"/>
              <w:bottom w:val="single" w:color="1D6FA4" w:sz="4"/>
              <w:right w:val="none" w:color="FFFFFF" w:sz="0"/>
            </w:tcBorders>
            <w:shd w:fill="D6E9F8" w:val="clear"/>
            <w:tcMar>
              <w:top w:type="dxa" w:w="100"/>
              <w:left w:type="dxa" w:w="180"/>
              <w:bottom w:type="dxa" w:w="100"/>
              <w:right w:type="dxa" w:w="180"/>
            </w:tcMar>
          </w:tcPr>
          <w:p>
            <w:pPr>
              <w:spacing w:after="0" w:before="0" w:line="276" w:lineRule="auto"/>
            </w:pPr>
            <w:r>
              <w:rPr>
                <w:rFonts w:ascii="Arial" w:cs="Arial" w:eastAsia="Arial" w:hAnsi="Arial"/>
                <w:color w:val="111111"/>
                <w:sz w:val="20"/>
                <w:szCs w:val="20"/>
              </w:rPr>
              <w:t xml:space="preserve">NeuroWorks closes this gap by deploying AI digital workers — not tools, not chatbots — that receive a briefed goal, plan what steps are needed, call the tools required, check every action against the organisation's own uploaded policies, and pause for human approval before anything consequential executes. Brief it the way you brief a person. It works the way a capable employee works.</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1.2 Target Users and Beneficiaries</w:t>
      </w:r>
    </w:p>
    <w:p>
      <w:pPr>
        <w:spacing w:after="80" w:before="80" w:line="276" w:lineRule="auto"/>
      </w:pPr>
      <w:r>
        <w:rPr>
          <w:rFonts w:ascii="Arial" w:cs="Arial" w:eastAsia="Arial" w:hAnsi="Arial"/>
          <w:color w:val="111111"/>
          <w:sz w:val="22"/>
          <w:szCs w:val="22"/>
        </w:rPr>
        <w:t xml:space="preserve">NeuroWorks is an operational tool, not a consumer product. Its 12 built-in sector context packs name intended Zimbabwe-market users with real institutional detail: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Sector</w:t>
            </w:r>
          </w:p>
        </w:tc>
        <w:tc>
          <w:tcPr>
            <w:tcW w:type="dxa" w:w="69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Named target users and institutions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Finance and fintech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Reconciliation desks, agent-network managers — RBZ framework, EcoCash, OneMoney mobile money infrastructure</w:t>
            </w:r>
          </w:p>
        </w:tc>
      </w:tr>
      <w:tr>
        <w:tc>
          <w:tcPr>
            <w:tcW w:type="dxa" w:w="2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Agriculture</w:t>
            </w:r>
          </w:p>
        </w:tc>
        <w:tc>
          <w:tcPr>
            <w:tcW w:type="dxa" w:w="69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Field-reporting teams, input-financing coordinators — Pfumvudza/Intwasa government smallholder programme, GMB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Health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Community health worker coordinators, stock-out analysts — MOHCC, DHIS2-integrated facilities</w:t>
            </w:r>
          </w:p>
        </w:tc>
      </w:tr>
      <w:tr>
        <w:tc>
          <w:tcPr>
            <w:tcW w:type="dxa" w:w="2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Education</w:t>
            </w:r>
          </w:p>
        </w:tc>
        <w:tc>
          <w:tcPr>
            <w:tcW w:type="dxa" w:w="69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Admin offices, reporting staff — ZIMSEC exam board, institutions on the 2-7-4-2-4 curriculum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Tourism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Booking desks, intelligence teams — ZTA (Zimbabwe Tourism Authority), UNIVISA/KAZA cross-border scheme</w:t>
            </w:r>
          </w:p>
        </w:tc>
      </w:tr>
      <w:tr>
        <w:tc>
          <w:tcPr>
            <w:tcW w:type="dxa" w:w="2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Public services</w:t>
            </w:r>
          </w:p>
        </w:tc>
        <w:tc>
          <w:tcPr>
            <w:tcW w:type="dxa" w:w="69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Procurement compliance, records management — PRAZ, devolution-agenda departments, ZIMRA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Informal economy/retail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Market operators — Mbare Musika, kopje trading, USD/ZWL dual pricing, high-density delivery logistics</w:t>
            </w:r>
          </w:p>
        </w:tc>
      </w:tr>
      <w:tr>
        <w:tc>
          <w:tcPr>
            <w:tcW w:type="dxa" w:w="2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Development / NGO</w:t>
            </w:r>
          </w:p>
        </w:tc>
        <w:tc>
          <w:tcPr>
            <w:tcW w:type="dxa" w:w="69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Grant reporting, donor coordination — WFP, WHO, UNICEF, UNDP reporting cadences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4"/>
              <w:left w:val="single" w:color="B45309" w:sz="18"/>
              <w:bottom w:val="single" w:color="B45309" w:sz="4"/>
              <w:right w:val="none" w:color="FFFFFF" w:sz="0"/>
            </w:tcBorders>
            <w:shd w:fill="FFF2CC" w:val="clear"/>
            <w:tcMar>
              <w:top w:type="dxa" w:w="100"/>
              <w:left w:type="dxa" w:w="180"/>
              <w:bottom w:type="dxa" w:w="100"/>
              <w:right w:type="dxa" w:w="180"/>
            </w:tcMar>
          </w:tcPr>
          <w:p>
            <w:pPr>
              <w:spacing w:after="50" w:before="0"/>
            </w:pPr>
            <w:r>
              <w:rPr>
                <w:rFonts w:ascii="Arial" w:cs="Arial" w:eastAsia="Arial" w:hAnsi="Arial"/>
                <w:b/>
                <w:bCs/>
                <w:color w:val="B45309"/>
                <w:sz w:val="20"/>
                <w:szCs w:val="20"/>
              </w:rPr>
              <w:t xml:space="preserve">Scope boundary</w:t>
            </w:r>
          </w:p>
          <w:p>
            <w:pPr>
              <w:spacing w:after="0" w:before="0" w:line="276" w:lineRule="auto"/>
            </w:pPr>
            <w:r>
              <w:rPr>
                <w:rFonts w:ascii="Arial" w:cs="Arial" w:eastAsia="Arial" w:hAnsi="Arial"/>
                <w:color w:val="111111"/>
                <w:sz w:val="20"/>
                <w:szCs w:val="20"/>
              </w:rPr>
              <w:t xml:space="preserve">Fisheries, future skills, and energy do not have dedicated sector packs today. Stated plainly rather than stretched to fit.</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1.3 Strategic Alignment</w:t>
      </w:r>
    </w:p>
    <w:p>
      <w:pPr>
        <w:pStyle w:val="Heading3"/>
        <w:spacing w:after="60" w:before="140" w:line="276" w:lineRule="auto"/>
      </w:pPr>
      <w:r>
        <w:rPr>
          <w:rFonts w:ascii="Arial" w:cs="Arial" w:eastAsia="Arial" w:hAnsi="Arial"/>
          <w:b/>
          <w:bCs/>
          <w:color w:val="1A3F5C"/>
          <w:sz w:val="22"/>
          <w:szCs w:val="22"/>
        </w:rPr>
        <w:t xml:space="preserve">National AI Strategy</w:t>
      </w:r>
    </w:p>
    <w:p>
      <w:pPr>
        <w:spacing w:after="80" w:before="80" w:line="276" w:lineRule="auto"/>
      </w:pPr>
      <w:r>
        <w:rPr>
          <w:rFonts w:ascii="Arial" w:cs="Arial" w:eastAsia="Arial" w:hAnsi="Arial"/>
          <w:color w:val="111111"/>
          <w:sz w:val="22"/>
          <w:szCs w:val="22"/>
        </w:rPr>
        <w:t xml:space="preserve">Three of the five priorities have direct, evidenced fit. Sovereign AI infrastructure: NeuroWorks runs on Ollama (local, open-weight model) by default — zero API keys, no mandatory foreign cloud dependency. Data never leaves the machine in default operation. 62.7% of all LLM calls in the live 10-day operating window were served free and locally. MSME and informal economy inclusion: the retail sector pack targets informal-market operators specifically; native Paynow Zimbabwe integration lowers the digital-payment barrier without requiring operators to build payment infrastructure. Public sector efficiency: the public-sector pack names PRAZ compliance explicitly; the governance engine blocks a non-compliant action before it executes, not after — the accountability layer a public institution requires. National data assets is a partial fit: the ADRS provenance pipeline is architecturally capable of building governed, hash-verified institutional datasets, but today operates at single-operator scale. AI skills development is not claimed.</w:t>
      </w:r>
    </w:p>
    <w:p>
      <w:pPr>
        <w:spacing w:after="40" w:before="40"/>
      </w:pPr>
      <w:r>
        <w:t xml:space="preserve"/>
      </w:r>
    </w:p>
    <w:p>
      <w:pPr>
        <w:pStyle w:val="Heading3"/>
        <w:spacing w:after="60" w:before="140" w:line="276" w:lineRule="auto"/>
      </w:pPr>
      <w:r>
        <w:rPr>
          <w:rFonts w:ascii="Arial" w:cs="Arial" w:eastAsia="Arial" w:hAnsi="Arial"/>
          <w:b/>
          <w:bCs/>
          <w:color w:val="1A3F5C"/>
          <w:sz w:val="22"/>
          <w:szCs w:val="22"/>
        </w:rPr>
        <w:t xml:space="preserve">NDS2 Pillars</w:t>
      </w:r>
    </w:p>
    <w:p>
      <w:pPr>
        <w:spacing w:after="80" w:before="80" w:line="276" w:lineRule="auto"/>
      </w:pPr>
      <w:r>
        <w:rPr>
          <w:rFonts w:ascii="Arial" w:cs="Arial" w:eastAsia="Arial" w:hAnsi="Arial"/>
          <w:color w:val="111111"/>
          <w:sz w:val="22"/>
          <w:szCs w:val="22"/>
        </w:rPr>
        <w:t xml:space="preserve">Pillar 3 (Governance and Institutions): strongest claim — pre-execution policy enforcement, named PRAZ and devolution-agenda focus, full audit trail on every agent action. Pillar 1 (Economic Growth and Stability): real productivity gains in fintech, agriculture, tourism, and public services. Pillar 2 (Social Development): partial fit through health-pack community-health-worker coordination and education-pack admin support. Pillars 4 and 5 are not claimed.</w:t>
      </w:r>
    </w:p>
    <w:p>
      <w:pPr>
        <w:spacing w:after="40" w:before="40"/>
      </w:pPr>
      <w:r>
        <w:t xml:space="preserve"/>
      </w:r>
    </w:p>
    <w:p>
      <w:pPr>
        <w:pStyle w:val="Heading1"/>
        <w:spacing w:after="120" w:before="280" w:line="276" w:lineRule="auto"/>
      </w:pPr>
      <w:r>
        <w:rPr>
          <w:rFonts w:ascii="Arial" w:cs="Arial" w:eastAsia="Arial" w:hAnsi="Arial"/>
          <w:b/>
          <w:bCs/>
          <w:color w:val="0D2137"/>
          <w:sz w:val="26"/>
          <w:szCs w:val="26"/>
        </w:rPr>
        <w:t xml:space="preserve">Section 2 — Technical Design and Product Logic</w:t>
      </w:r>
    </w:p>
    <w:p>
      <w:pPr>
        <w:pStyle w:val="Heading2"/>
        <w:spacing w:after="80" w:before="180" w:line="276" w:lineRule="auto"/>
      </w:pPr>
      <w:r>
        <w:rPr>
          <w:rFonts w:ascii="Arial" w:cs="Arial" w:eastAsia="Arial" w:hAnsi="Arial"/>
          <w:b/>
          <w:bCs/>
          <w:color w:val="1D6FA4"/>
          <w:sz w:val="22"/>
          <w:szCs w:val="22"/>
        </w:rPr>
        <w:t xml:space="preserve">2.1 System Architecture</w:t>
      </w:r>
    </w:p>
    <w:p>
      <w:pPr>
        <w:spacing w:after="80" w:before="80" w:line="276" w:lineRule="auto"/>
      </w:pPr>
      <w:r>
        <w:rPr>
          <w:rFonts w:ascii="Arial" w:cs="Arial" w:eastAsia="Arial" w:hAnsi="Arial"/>
          <w:color w:val="111111"/>
          <w:sz w:val="22"/>
          <w:szCs w:val="22"/>
        </w:rPr>
        <w:t xml:space="preserve">NeuroWorks operates as three layers. At the bottom: tools — databases, email, GitHub, payment systems, file stores. In the middle: HERMES, the MCP tool-governance layer — an allowlisted set of approximately 90 primitives defining exactly what agents can and cannot do. At the top: digital workers — LLM-powered agents that receive goals, form plans, and call tools through HERMES under human oversight.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Backend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Node.js / TypeScript, Express — 28 live routers, lib/ (85 business-logic files), routes/ (46 handlers). Every route has a real handler; no scaffolding stubs.</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Frontend</w:t>
            </w:r>
          </w:p>
        </w:tc>
        <w:tc>
          <w:tcPr>
            <w:tcW w:type="dxa" w:w="6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Next.js 14, React, TypeScript — 37 pages: operator console, Mission Control dashboard, Knowledge Packs browser, cost dashboard, governance policy manager.</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Agent orchestration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LangGraph multi-agent via EXECUTOR — handles inter-agent communication, HITL gate management, and structured audit logging on every action taken.</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Local inference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Ollama — always-on, zero API key required. Default inference path. No data leaves the machine. Planning, synthesis, and extraction profiles all run locally.</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Cloud inference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OpenRouter with circuit breaker and billing-exhaustion fallback to Ollama. Claude / Anthropic (Fable 5, Sonnet 5, Haiku 4.5) cost-tiered. Opt-in only — planner escalates when task complexity exceeds local-model capability.</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Vector store (RAG)</w:t>
            </w:r>
          </w:p>
        </w:tc>
        <w:tc>
          <w:tcPr>
            <w:tcW w:type="dxa" w:w="6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Qdrant — organisation-isolated collections, HNSW indexing. Snapshot export for portability. All sector knowledge packs and vault content indexed here.</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Relational 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PostgreSQL — users, organisations, job definitions, audit logs, billing, connector configs. Schema version-controlled via Alembic-equivalent migrations.</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Cache and agent state</w:t>
            </w:r>
          </w:p>
        </w:tc>
        <w:tc>
          <w:tcPr>
            <w:tcW w:type="dxa" w:w="6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Redis — agent working memory and job queues during execution. Ephemeral; fully persisted to PostgreSQL on mission completion.</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Secrets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AES-256-GCM encrypted .neuroworks store (secret-box.ts). Credentials never logged or passed into agent context by value. Referenced by name only.</w:t>
            </w:r>
          </w:p>
        </w:tc>
      </w:tr>
      <w:tr>
        <w:tc>
          <w:tcPr>
            <w:tcW w:type="dxa" w:w="2600"/>
            <w:tcBorders>
              <w:top w:val="single" w:color="CCCCCC" w:sz="1"/>
              <w:left w:val="single" w:color="CCCCCC" w:sz="1"/>
              <w:bottom w:val="single" w:color="CCCCCC" w:sz="1"/>
              <w:right w:val="single" w:color="CCCCCC" w:sz="1"/>
            </w:tcBorders>
            <w:shd w:fill="D6E9F8" w:val="clear"/>
            <w:tcMar>
              <w:top w:type="dxa" w:w="80"/>
              <w:left w:type="dxa" w:w="110"/>
              <w:bottom w:type="dxa" w:w="80"/>
              <w:right w:type="dxa" w:w="110"/>
            </w:tcMar>
          </w:tcPr>
          <w:p>
            <w:pPr>
              <w:spacing w:after="0" w:before="0"/>
            </w:pPr>
            <w:r>
              <w:rPr>
                <w:rFonts w:ascii="Arial" w:cs="Arial" w:eastAsia="Arial" w:hAnsi="Arial"/>
                <w:b/>
                <w:bCs/>
                <w:color w:val="1A3F5C"/>
                <w:sz w:val="18"/>
                <w:szCs w:val="18"/>
              </w:rPr>
              <w:t xml:space="preserve">Payment rails</w:t>
            </w:r>
          </w:p>
        </w:tc>
        <w:tc>
          <w:tcPr>
            <w:tcW w:type="dxa" w:w="6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8"/>
                <w:szCs w:val="18"/>
              </w:rPr>
              <w:t xml:space="preserve">Stripe (global) and Paynow Zimbabwe (local) — both live-tested. Only platform in this field with a Zimbabwe-market local payment rail already wired and operational.</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2.2 AI Models and Justification</w:t>
      </w:r>
    </w:p>
    <w:p>
      <w:pPr>
        <w:spacing w:after="80" w:before="80" w:line="276" w:lineRule="auto"/>
      </w:pPr>
      <w:r>
        <w:rPr>
          <w:rFonts w:ascii="Arial" w:cs="Arial" w:eastAsia="Arial" w:hAnsi="Arial"/>
          <w:color w:val="111111"/>
          <w:sz w:val="22"/>
          <w:szCs w:val="22"/>
        </w:rPr>
        <w:t xml:space="preserve">The tasks NeuroWorks performs are genuinely irreducible to simpler logic. Synthesising a reconciliation report from 24 database tables cross-checked against a policy document written in natural language; interpreting donor reporting requirements from an uploaded PDF and drafting a compliant narrative; generating a response to a customer query in Shona within the organisation's service-policy boundaries — none of these are achievable with SQL queries or rule-based logic. They require language understanding, multi-step planning, and context retention across steps.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Model / method</w:t>
            </w:r>
          </w:p>
        </w:tc>
        <w:tc>
          <w:tcPr>
            <w:tcW w:type="dxa" w:w="30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Role in NeuroWorks</w:t>
            </w:r>
          </w:p>
        </w:tc>
        <w:tc>
          <w:tcPr>
            <w:tcW w:type="dxa" w:w="37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Why this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Ollama — Llama 3.2 3B / Qwen 2.5 7B (local)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Default inference: planning, synthesis, extraction, classification, drafting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Zero-cost, zero-network-transmission, runs on consumer GPU (RTX 3060, 12GB VRAM). Covers 62.7% of all calls.</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Ollama — Llama 3.3 70B quantised (local, optional)</w:t>
            </w:r>
          </w:p>
        </w:tc>
        <w:tc>
          <w:tcPr>
            <w:tcW w:type="dxa" w:w="30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High-complexity local reasoning where 7B models do not clear quality threshold</w:t>
            </w:r>
          </w:p>
        </w:tc>
        <w:tc>
          <w:tcPr>
            <w:tcW w:type="dxa" w:w="3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Full-capability local model for institutions with 48GB+ VRAM. No foreign transmission.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Claude Sonnet 5 / Haiku 4.5 via Anthropic (cloud, opt-in)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Complex multi-step planning, policy interpretation, peer review of agent drafts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Strongest available reasoning model for tasks that genuinely need it. Operator opt-in; logged in audit trail.</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OpenRouter — MiniMax / Gemini (cloud, opt-in, fallback)</w:t>
            </w:r>
          </w:p>
        </w:tc>
        <w:tc>
          <w:tcPr>
            <w:tcW w:type="dxa" w:w="30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LLM Router failover when Anthropic is unavailable or budget-exhausted</w:t>
            </w:r>
          </w:p>
        </w:tc>
        <w:tc>
          <w:tcPr>
            <w:tcW w:type="dxa" w:w="3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Automatic failover; prevents service interruption. Operator notified of routing decision.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CLIP (open weights, MIT licence)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Image understanding in multimodal RAG — classifying uploaded images, media asset tagging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Open-weight, no API cost, runs locally alongside Ollama.</w:t>
            </w:r>
          </w:p>
        </w:tc>
      </w:tr>
      <w:tr>
        <w:tc>
          <w:tcPr>
            <w:tcW w:type="dxa" w:w="26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Whisper (open weights, MIT licence)</w:t>
            </w:r>
          </w:p>
        </w:tc>
        <w:tc>
          <w:tcPr>
            <w:tcW w:type="dxa" w:w="30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Audio and video transcription in multimodal RAG — meeting notes, voice memos, recorded content</w:t>
            </w:r>
          </w:p>
        </w:tc>
        <w:tc>
          <w:tcPr>
            <w:tcW w:type="dxa" w:w="37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Open-weight, no API cost, runs locally. Enables operators to query spoken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Graphify (CLI, local)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Knowledge graph construction from vault content — entity extraction and relationship mapping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Local CLI tool; no external service. Enables knowledge.graph_query primitive.</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2.3 API Layer and Integrations</w:t>
      </w:r>
    </w:p>
    <w:p>
      <w:pPr>
        <w:spacing w:after="80" w:before="80" w:line="276" w:lineRule="auto"/>
      </w:pPr>
      <w:r>
        <w:rPr>
          <w:rFonts w:ascii="Arial" w:cs="Arial" w:eastAsia="Arial" w:hAnsi="Arial"/>
          <w:color w:val="111111"/>
          <w:sz w:val="22"/>
          <w:szCs w:val="22"/>
        </w:rPr>
        <w:t xml:space="preserve">All external integrations are exposed as named primitives in the HERMES MCP allowlist. No agent can call an integration outside this allowlist, regardless of what the LLM generates as a planned step. Write operations and all communications require explicit HITL approval before execution.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Namespace</w:t>
            </w:r>
          </w:p>
        </w:tc>
        <w:tc>
          <w:tcPr>
            <w:tcW w:type="dxa" w:w="44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Key primitives</w:t>
            </w:r>
          </w:p>
        </w:tc>
        <w:tc>
          <w:tcPr>
            <w:tcW w:type="dxa" w:w="35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Integration /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vault.*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search, read, list, write, edit, append, create_zettel, find_by_tag, scan_docs, write_pdf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Local git vault — live</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db.*</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list_sources, list_tables, describe_table, query, write (HITL-gated), schema</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PostgreSQL, MySQL, SQLite, Excel/CSV — 1 production DB connected 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web.*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fetch, scrape, interact, search — 3-tier: direct fetch → Playwright → Firecrawl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(Firecrawl dormant — API key not set)</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github.*</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list_repos, read_repo, get_file, create_issue, comment, update, request_review, list_issues</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GitHub Octokit — live read + write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comms.*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email.send (Mailjet, multi-recipient, attachments), slack.post, telegram.post, msteams.post, webhook.post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Mailjet live; Slack/Telegram/Teams env-gated</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payments.*</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payment.link (Stripe), payment.paynow_link, paynow_poll, payment.status, payment.list</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Stripe and Paynow Zimbabwe — both live and tested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research.*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research.deep, research.multiperspective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 uses web.* and vault.* internally</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quality.*</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quality.check, security.scan, peer.review, peer.delegate, hermes.delegate</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 all active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knowledge.*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knowledge.graph_query (graphify), data.publish, data.list_datasets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 graphify CLI</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memory.*</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memory.note, memory.recall, memory.search, calendar.activity, calendar.plan_day</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org.*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org.lookup, org.escalation_path, human.request (HITL pause/resume)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w:t>
            </w:r>
          </w:p>
        </w:tc>
      </w:tr>
      <w:tr>
        <w:tc>
          <w:tcPr>
            <w:tcW w:type="dxa" w:w="1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skills.*</w:t>
            </w:r>
          </w:p>
        </w:tc>
        <w:tc>
          <w:tcPr>
            <w:tcW w:type="dxa" w:w="44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skill.list, skill.load, skill.suggest, skill.draft, skill.fetch_remote — 141 playbooks</w:t>
            </w:r>
          </w:p>
        </w:tc>
        <w:tc>
          <w:tcPr>
            <w:tcW w:type="dxa" w:w="35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 all active</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2.4 Database Schema and Data Pipeline (ADRS)</w:t>
      </w:r>
    </w:p>
    <w:p>
      <w:pPr>
        <w:spacing w:after="80" w:before="80" w:line="276" w:lineRule="auto"/>
      </w:pPr>
      <w:r>
        <w:rPr>
          <w:rFonts w:ascii="Arial" w:cs="Arial" w:eastAsia="Arial" w:hAnsi="Arial"/>
          <w:color w:val="111111"/>
          <w:sz w:val="22"/>
          <w:szCs w:val="22"/>
        </w:rPr>
        <w:t xml:space="preserve">Every dataset published through NeuroWorks passes through the 7-stage ADRS pipeline (server/src/lib/adrs.ts): (1) normalisation — keys canonicalised, type-coerced, nulls standardised; (2) SHA-256 cryptographic hashing per record, Merkle-style root hash per batch for tamper-evidence; (3) confidence scoring 0–1 on field completeness; (4) HITL review queue for records below confidence threshold (default 0.6); (5) entity resolution — deduplication by explicit key or content hash; (6) publishing to four artifact formats: ML-ready CSV, knowledge-graph JSONL, RAG-chunked markdown, human-readable pack card with provenance metadata; (7) automatic vault indexing so agents retrieve the data through standard RAG, not a separate training pipeline.</w:t>
      </w:r>
    </w:p>
    <w:p>
      <w:pPr>
        <w:spacing w:after="40" w:before="40"/>
      </w:pPr>
      <w:r>
        <w:t xml:space="preserve"/>
      </w:r>
    </w:p>
    <w:p>
      <w:pPr>
        <w:spacing w:after="80" w:before="80" w:line="276" w:lineRule="auto"/>
      </w:pPr>
      <w:r>
        <w:rPr>
          <w:rFonts w:ascii="Arial" w:cs="Arial" w:eastAsia="Arial" w:hAnsi="Arial"/>
          <w:color w:val="111111"/>
          <w:sz w:val="22"/>
          <w:szCs w:val="22"/>
        </w:rPr>
        <w:t xml:space="preserve">The operator database connector (db.*) maintains a live read-only connection to registered external databases. Connection strings are AES-256-GCM encrypted in .neuroworks/data-sources.json, excluded from version control, and referenced by name only in agent context. Write access requires explicit operator configuration (readonly: false flag) — no source has this set in the current instance. Queries are executed per-request; results are not cached, copied, or published through ADRS without operator instruction.</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2.5 Governance Engine and Policy Enforcement</w:t>
      </w:r>
    </w:p>
    <w:p>
      <w:pPr>
        <w:spacing w:after="80" w:before="80" w:line="276" w:lineRule="auto"/>
      </w:pPr>
      <w:r>
        <w:rPr>
          <w:rFonts w:ascii="Arial" w:cs="Arial" w:eastAsia="Arial" w:hAnsi="Arial"/>
          <w:color w:val="111111"/>
          <w:sz w:val="22"/>
          <w:szCs w:val="22"/>
        </w:rPr>
        <w:t xml:space="preserve">Operators upload policy documents (PDF, Word, or plain text). A local LLM (Ollama) processes each document into a structured constraint set: what agents may do, may not do, must do in defined situations, and what data they may include in external-facing outputs. Extracted constraints are displayed for operator review and marked as hard (must never violate) or soft (should prefer). Confirmed constraints are injected into agent system prompts and enforced at the HITL gate — a proposed action that violates an active hard constraint is flagged and blocked before being presented for approval, not after execution. The current implementation enforces 20 categories of consequential tool calls against accepted policies.</w:t>
      </w:r>
    </w:p>
    <w:p>
      <w:r>
        <w:br w:type="page"/>
      </w:r>
    </w:p>
    <w:p>
      <w:pPr>
        <w:pStyle w:val="Heading1"/>
        <w:spacing w:after="120" w:before="280" w:line="276" w:lineRule="auto"/>
      </w:pPr>
      <w:r>
        <w:rPr>
          <w:rFonts w:ascii="Arial" w:cs="Arial" w:eastAsia="Arial" w:hAnsi="Arial"/>
          <w:b/>
          <w:bCs/>
          <w:color w:val="0D2137"/>
          <w:sz w:val="26"/>
          <w:szCs w:val="26"/>
        </w:rPr>
        <w:t xml:space="preserve">Section 3 — Deliverables and CCE Implementation Roadmap</w:t>
      </w:r>
    </w:p>
    <w:p>
      <w:pPr>
        <w:pStyle w:val="Heading2"/>
        <w:spacing w:after="80" w:before="180" w:line="276" w:lineRule="auto"/>
      </w:pPr>
      <w:r>
        <w:rPr>
          <w:rFonts w:ascii="Arial" w:cs="Arial" w:eastAsia="Arial" w:hAnsi="Arial"/>
          <w:b/>
          <w:bCs/>
          <w:color w:val="1D6FA4"/>
          <w:sz w:val="22"/>
          <w:szCs w:val="22"/>
        </w:rPr>
        <w:t xml:space="preserve">3.1 Current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4"/>
              <w:left w:val="single" w:color="2E7D32" w:sz="18"/>
              <w:bottom w:val="single" w:color="2E7D32" w:sz="4"/>
              <w:right w:val="none" w:color="FFFFFF" w:sz="0"/>
            </w:tcBorders>
            <w:shd w:fill="E2EFDA" w:val="clear"/>
            <w:tcMar>
              <w:top w:type="dxa" w:w="100"/>
              <w:left w:type="dxa" w:w="180"/>
              <w:bottom w:type="dxa" w:w="100"/>
              <w:right w:type="dxa" w:w="180"/>
            </w:tcMar>
          </w:tcPr>
          <w:p>
            <w:pPr>
              <w:spacing w:after="50" w:before="0"/>
            </w:pPr>
            <w:r>
              <w:rPr>
                <w:rFonts w:ascii="Arial" w:cs="Arial" w:eastAsia="Arial" w:hAnsi="Arial"/>
                <w:b/>
                <w:bCs/>
                <w:color w:val="2E7D32"/>
                <w:sz w:val="20"/>
                <w:szCs w:val="20"/>
              </w:rPr>
              <w:t xml:space="preserve">What is built and demonstrable today</w:t>
            </w:r>
          </w:p>
          <w:p>
            <w:pPr>
              <w:spacing w:after="0" w:before="0" w:line="276" w:lineRule="auto"/>
            </w:pPr>
            <w:r>
              <w:rPr>
                <w:rFonts w:ascii="Arial" w:cs="Arial" w:eastAsia="Arial" w:hAnsi="Arial"/>
                <w:color w:val="111111"/>
                <w:sz w:val="20"/>
                <w:szCs w:val="20"/>
              </w:rPr>
              <w:t xml:space="preserve">28 live API routers, all with real handlers and no scaffolding stubs. Approximately 90 agent primitives across 12 namespaces. 141 skill playbooks, verified no orphans. Two ADRS-published datasets with verifiable root hashes. One production PostgreSQL connected live and read-only. Paynow Zimbabwe and Mailjet both live-tested. Governance engine enforcing 20 consequential call categories with pre-execution blocking. Secret-pattern vault scanner. Real-token cost tracker. 118 unit tests passing.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860"/>
      </w:tblGrid>
      <w:tr>
        <w:tc>
          <w:tcPr>
            <w:tcW w:type="dxa" w:w="42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Capability</w:t>
            </w:r>
          </w:p>
        </w:tc>
        <w:tc>
          <w:tcPr>
            <w:tcW w:type="dxa" w:w="13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Status</w:t>
            </w:r>
          </w:p>
        </w:tc>
        <w:tc>
          <w:tcPr>
            <w:tcW w:type="dxa" w:w="38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Verify at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28 live API routers, all with real handlers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GET /api/status — browse routes/ directory</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~90 primitives, 12 namespaces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server/src/lib/primitives.ts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141 skill playbooks, no orphans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GET /api/skills — skill.list primitive</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Production PostgreSQL connected live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GET /api/data-sources — connected 11 Jul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ADRS pipeline — 682-record dataset published</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GET /api/datasets — root hash eb1b0fe4a363a372…</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Governance engine, pre-execution gate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/api/governance — blocks 20 call categories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Mailjet email (multi-recipient, attachments)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email.send — sole sanctioned outbound path</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Paynow Zimbabwe and Stripe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payment.paynow_link + paynow_poll + Stripe webhook — all tested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GitHub Octokit read and write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create_issue, comment, request_review</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Quality, security and peer-review gates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quality.check, security.scan, peer.review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Cost tracker on real billed tokens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/api/cost — reads provider usage response directly</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Shona and Ndebele chat support</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Chat interface — glossary-based, no external API</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118 unit tests passing</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npm test from repo root</w:t>
            </w:r>
          </w:p>
        </w:tc>
      </w:tr>
      <w:tr>
        <w:tc>
          <w:tcPr>
            <w:tcW w:type="dxa" w:w="4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Secret-pattern vault scanner</w:t>
            </w:r>
          </w:p>
        </w:tc>
        <w:tc>
          <w:tcPr>
            <w:tcW w:type="dxa" w:w="1300"/>
            <w:tcBorders>
              <w:top w:val="single" w:color="CCCCCC" w:sz="1"/>
              <w:left w:val="single" w:color="CCCCCC" w:sz="1"/>
              <w:bottom w:val="single" w:color="CCCCCC" w:sz="1"/>
              <w:right w:val="single" w:color="CCCCCC" w:sz="1"/>
            </w:tcBorders>
            <w:shd w:fill="E2EFDA" w:val="clear"/>
            <w:tcMar>
              <w:top w:type="dxa" w:w="80"/>
              <w:left w:type="dxa" w:w="110"/>
              <w:bottom w:type="dxa" w:w="80"/>
              <w:right w:type="dxa" w:w="110"/>
            </w:tcMar>
          </w:tcPr>
          <w:p>
            <w:pPr>
              <w:spacing w:after="0" w:before="0"/>
            </w:pPr>
            <w:r>
              <w:rPr>
                <w:rFonts w:ascii="Arial" w:cs="Arial" w:eastAsia="Arial" w:hAnsi="Arial"/>
                <w:b/>
                <w:bCs/>
                <w:color w:val="111111"/>
                <w:sz w:val="17"/>
                <w:szCs w:val="17"/>
              </w:rPr>
              <w:t xml:space="preserve">Live</w:t>
            </w:r>
          </w:p>
        </w:tc>
        <w:tc>
          <w:tcPr>
            <w:tcW w:type="dxa" w:w="3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security.ts — &lt;1ms, live-tested on planted token</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3.2 Delivery Streams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900"/>
        <w:gridCol w:w="2860"/>
      </w:tblGrid>
      <w:tr>
        <w:tc>
          <w:tcPr>
            <w:tcW w:type="dxa" w:w="17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Stream</w:t>
            </w:r>
          </w:p>
        </w:tc>
        <w:tc>
          <w:tcPr>
            <w:tcW w:type="dxa" w:w="9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Weeks</w:t>
            </w:r>
          </w:p>
        </w:tc>
        <w:tc>
          <w:tcPr>
            <w:tcW w:type="dxa" w:w="39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Deliverable</w:t>
            </w:r>
          </w:p>
        </w:tc>
        <w:tc>
          <w:tcPr>
            <w:tcW w:type="dxa" w:w="28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Builds on (already live)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B — Onboarding 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Sector and language selection at onboarding. Personalised dashboard. Zimbabwe Context panel in Mission Control. Shona/Ndebele UI strings wired to i18n framework.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/api/onboarding route, Shona/Ndebele glossary foundation</w:t>
            </w:r>
          </w:p>
        </w:tc>
      </w:tr>
      <w:tr>
        <w:tc>
          <w:tcPr>
            <w:tcW w:type="dxa" w:w="17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 — Governance UI</w:t>
            </w:r>
          </w:p>
        </w:tc>
        <w:tc>
          <w:tcPr>
            <w:tcW w:type="dxa" w:w="9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3–4</w:t>
            </w:r>
          </w:p>
        </w:tc>
        <w:tc>
          <w:tcPr>
            <w:tcW w:type="dxa" w:w="39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Policy document upload interface. Constraint review and confirmation screen. Hard/soft constraint marking. HITL gate violation flagging. Policy Management page.</w:t>
            </w:r>
          </w:p>
        </w:tc>
        <w:tc>
          <w:tcPr>
            <w:tcW w:type="dxa" w:w="2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/api/governance, governance engine — both live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D — Localisation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5–6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Shona/Ndebele LLM agent prompt templates for Writer, Responder, Summariser, Report Writer agents. Five Zimbabwe sector knowledge packs: Tourism, Agriculture, NGO, Health, Government.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/api/knowledge-packs, ADRS pipeline, Qdrant — all live</w:t>
            </w:r>
          </w:p>
        </w:tc>
      </w:tr>
      <w:tr>
        <w:tc>
          <w:tcPr>
            <w:tcW w:type="dxa" w:w="17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E — Platform integrity</w:t>
            </w:r>
          </w:p>
        </w:tc>
        <w:tc>
          <w:tcPr>
            <w:tcW w:type="dxa" w:w="9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7–8</w:t>
            </w:r>
          </w:p>
        </w:tc>
        <w:tc>
          <w:tcPr>
            <w:tcW w:type="dxa" w:w="39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Cost monitoring dashboard extensions. Full mission audit log with replay. SkillForge operator code-review step before persistence.</w:t>
            </w:r>
          </w:p>
        </w:tc>
        <w:tc>
          <w:tcPr>
            <w:tcW w:type="dxa" w:w="28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cost-tracker.ts, /api/audit, /api/skill-forge — all live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F — Polish and docs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9–12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Mobile-responsive console audit. Ethics and governance framework document. Pilot plan. Compliance pathway documentation.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Next.js console (37 pages live), governance engine</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3.3 Milestone Plan and Compute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600"/>
        <w:gridCol w:w="1360"/>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Milestone</w:t>
            </w:r>
          </w:p>
        </w:tc>
        <w:tc>
          <w:tcPr>
            <w:tcW w:type="dxa" w:w="32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Deliverable</w:t>
            </w:r>
          </w:p>
        </w:tc>
        <w:tc>
          <w:tcPr>
            <w:tcW w:type="dxa" w:w="26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Compute / dependencies</w:t>
            </w:r>
          </w:p>
        </w:tc>
        <w:tc>
          <w:tcPr>
            <w:tcW w:type="dxa" w:w="13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M0 — Grand Challenge pitch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Live demo: db.* query on production PostgreSQL, Mailjet send, Paynow payment flow, Ollama local inference, governance gate firing on a policy violation. 118 tests green.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Team hardware: RTX 3060 (12GB VRAM) for Ollama 7B. No ZCHPC CCE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31 July 2026</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M1 — Contract signing</w:t>
            </w:r>
          </w:p>
        </w:tc>
        <w:tc>
          <w:tcPr>
            <w:tcW w:type="dxa" w:w="3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Stream B complete: sector/language onboarding UX live in staging. Dependency manifest locked (package-lock.json).</w:t>
            </w:r>
          </w:p>
        </w:tc>
        <w:tc>
          <w:tcPr>
            <w:tcW w:type="dxa" w:w="26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Same hardware. Qdrant, PostgreSQL, Redis on local or Render free tier.</w:t>
            </w:r>
          </w:p>
        </w:tc>
        <w:tc>
          <w:tcPr>
            <w:tcW w:type="dxa" w:w="13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Week 1 post-award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M2 — First tranche release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Streams C and D complete: governance policy UI live; Shona/Ndebele LLM prompts working with native speaker review documented; five sector packs ingested and queryable via RAG.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Qdrant cloud (managed) for shared sector knowledge collections. OpenRouter API key for prompt quality testing at scale.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Week 6 post-award</w:t>
            </w:r>
          </w:p>
        </w:tc>
      </w:tr>
      <w:tr>
        <w:tc>
          <w:tcPr>
            <w:tcW w:type="dxa" w:w="2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M3 — Pilot launch</w:t>
            </w:r>
          </w:p>
        </w:tc>
        <w:tc>
          <w:tcPr>
            <w:tcW w:type="dxa" w:w="32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10–20 pilot organisations onboarded in Mutare and Harare. First non-technical operator case study documented. Performance metrics dashboard live.</w:t>
            </w:r>
          </w:p>
        </w:tc>
        <w:tc>
          <w:tcPr>
            <w:tcW w:type="dxa" w:w="26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Hosted deployment: managed PostgreSQL + Redis + Qdrant. Estimated USD 40–60/month infrastructure.</w:t>
            </w:r>
          </w:p>
        </w:tc>
        <w:tc>
          <w:tcPr>
            <w:tcW w:type="dxa" w:w="13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Weeks 7–12 post-award</w:t>
            </w:r>
          </w:p>
        </w:tc>
      </w:tr>
    </w:tbl>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3.4 CCE / ZCHPC Position</w:t>
      </w:r>
    </w:p>
    <w:p>
      <w:pPr>
        <w:spacing w:after="80" w:before="80" w:line="276" w:lineRule="auto"/>
      </w:pPr>
      <w:r>
        <w:rPr>
          <w:rFonts w:ascii="Arial" w:cs="Arial" w:eastAsia="Arial" w:hAnsi="Arial"/>
          <w:color w:val="111111"/>
          <w:sz w:val="22"/>
          <w:szCs w:val="22"/>
        </w:rPr>
        <w:t xml:space="preserve">This product does not require the ZCHPC Controlled Compute Environment for its primary operation. The default inference path uses Ollama running on the operator's own hardware — a consumer GPU (RTX 3060, 12GB VRAM) runs 7B parameter models that cover the majority of tasks. The team's own hardware will be used for the Grand Challenge demonstration. For pilot organisations that do not have GPU hardware, ZCHPC access would be leveraged to provide shared Ollama inference in a controlled, data-sovereign environment — eliminating the need for cloud model routing and the associated data-transmission risk. If ZCHPC CCE access is made available, requirements are: 1× GPU node (16GB+ VRAM), 32GB RAM, 100GB storage, outbound network access for GitHub API and optional OpenRouter fallback. All dependencies are declared in package-lock.json at the repository root.</w:t>
      </w:r>
    </w:p>
    <w:p>
      <w:r>
        <w:br w:type="page"/>
      </w:r>
    </w:p>
    <w:p>
      <w:pPr>
        <w:pStyle w:val="Heading1"/>
        <w:spacing w:after="120" w:before="280" w:line="276" w:lineRule="auto"/>
      </w:pPr>
      <w:r>
        <w:rPr>
          <w:rFonts w:ascii="Arial" w:cs="Arial" w:eastAsia="Arial" w:hAnsi="Arial"/>
          <w:b/>
          <w:bCs/>
          <w:color w:val="0D2137"/>
          <w:sz w:val="26"/>
          <w:szCs w:val="26"/>
        </w:rPr>
        <w:t xml:space="preserve">Section 4 — Compliance and Risk Mitigation</w:t>
      </w:r>
    </w:p>
    <w:p>
      <w:pPr>
        <w:spacing w:after="80" w:before="80" w:line="276" w:lineRule="auto"/>
      </w:pPr>
      <w:r>
        <w:rPr>
          <w:rFonts w:ascii="Arial" w:cs="Arial" w:eastAsia="Arial" w:hAnsi="Arial"/>
          <w:color w:val="111111"/>
          <w:sz w:val="22"/>
          <w:szCs w:val="22"/>
        </w:rPr>
        <w:t xml:space="preserve">This section is written candidly. Where a risk is mitigated, the mitigation is named and its location in the code is given so it can be checked. Where it is not yet mitigated, that is stated as plainly as the wins.</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4.1 Ethical Safeguards</w:t>
      </w:r>
    </w:p>
    <w:p>
      <w:pPr>
        <w:spacing w:after="80" w:before="80" w:line="276" w:lineRule="auto"/>
      </w:pPr>
      <w:r>
        <w:rPr>
          <w:rFonts w:ascii="Arial" w:cs="Arial" w:eastAsia="Arial" w:hAnsi="Arial"/>
          <w:color w:val="111111"/>
          <w:sz w:val="22"/>
          <w:szCs w:val="22"/>
        </w:rPr>
        <w:t xml:space="preserve">Hallucination is mitigated at four layers: (1) anti-fabrication rules in the synthesis prompt requiring inline evidence citation; (2) quality.check scoring every non-trivial answer on factuality risk with a rescue pass on low scores; (3) peer.review sending low-confidence drafts to a second model; (4) a DATA GAP injection added 11 July 2026 (agent.ts) that forces the model to disclose when a required data source was unavailable rather than answering around it — discovered necessary during the drafting of this proposal. Bias in model outputs has not been independently evaluated; the underlying models carry their providers' documented bias characteristics. This is an open item. Shona and Ndebele support is functionally verified but has not been reviewed by a native linguistic authority for cultural appropriateness at scale — functional and cultural-quality verification are different standards. Over-reliance is addressed architecturally through the HITL gate and requiresApproval: true defaults, but cannot be fully eliminated by software; the system creates the correct conditions and cannot enforce correct habits.</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4.2 Data Protection Act (Chapter 12:07) Compliance</w:t>
      </w:r>
    </w:p>
    <w:p>
      <w:pPr>
        <w:spacing w:after="80" w:before="80" w:line="276" w:lineRule="auto"/>
      </w:pPr>
      <w:r>
        <w:rPr>
          <w:rFonts w:ascii="Arial" w:cs="Arial" w:eastAsia="Arial" w:hAnsi="Arial"/>
          <w:color w:val="111111"/>
          <w:sz w:val="22"/>
          <w:szCs w:val="22"/>
        </w:rPr>
        <w:t xml:space="preserve">DPA obligations for any connected database sit with the connecting operator as data controller. NeuroWorks acts as a data processor on read-only instructions — the same legal posture as any analytics or business intelligence tool pointed at the same database. NeuroWorks' structural contribution to DPA compliance is: connections are read-only by default (readonly: true on every registered source unless explicitly changed); credentials are encrypted at rest in AES-256-GCM (secret-box.ts) and never transmitted to external services; no data is exported, cached beyond the mission scope, or published through the ADRS pipeline without an explicit operator instruction to do so; a full audit trail records the text and result of every query run against a connected source, providing the accountability record DPA compliance requires.</w:t>
      </w:r>
    </w:p>
    <w:p>
      <w:pPr>
        <w:spacing w:after="40" w:before="40"/>
      </w:pPr>
      <w:r>
        <w:t xml:space="preserve"/>
      </w:r>
    </w:p>
    <w:p>
      <w:pPr>
        <w:spacing w:after="80" w:before="80" w:line="276" w:lineRule="auto"/>
      </w:pPr>
      <w:r>
        <w:rPr>
          <w:rFonts w:ascii="Arial" w:cs="Arial" w:eastAsia="Arial" w:hAnsi="Arial"/>
          <w:color w:val="111111"/>
          <w:sz w:val="22"/>
          <w:szCs w:val="22"/>
        </w:rPr>
        <w:t xml:space="preserve">In the default configuration — Ollama as the inference path, local vault storage, local Qdrant — personal data connected through db.* never leaves the operator's machine. For institutions under DPA Chapter 12:07, this local-first architecture is not a feature; it is the condition under which AI tooling can be seriously considered for operational data.</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4.3 Data-Use Consent and Model Testing</w:t>
      </w:r>
    </w:p>
    <w:p>
      <w:pPr>
        <w:spacing w:after="80" w:before="80" w:line="276" w:lineRule="auto"/>
      </w:pPr>
      <w:r>
        <w:rPr>
          <w:rFonts w:ascii="Arial" w:cs="Arial" w:eastAsia="Arial" w:hAnsi="Arial"/>
          <w:color w:val="111111"/>
          <w:sz w:val="22"/>
          <w:szCs w:val="22"/>
        </w:rPr>
        <w:t xml:space="preserve">Two datasets are published through ADRS in the current running instance. The Awesome curated-software dataset (682 records) uses CC0 material — licence verified against the source repository's metadata before ingestion. The nightly self-reflection series uses NeuroWorks' own operational data. The connected production PostgreSQL is the operator's own data, queried live per-request, never copied or published through the pipeline. Consent is the connecting operator's responsibility as controller. NeuroWorks provides the technical controls — read-only, AES-256-GCM encrypted, fully audited — that support lawful processing.</w:t>
      </w:r>
    </w:p>
    <w:p>
      <w:pPr>
        <w:spacing w:after="40" w:before="40"/>
      </w:pPr>
      <w:r>
        <w:t xml:space="preserve"/>
      </w:r>
    </w:p>
    <w:p>
      <w:pPr>
        <w:spacing w:after="80" w:before="80" w:line="276" w:lineRule="auto"/>
      </w:pPr>
      <w:r>
        <w:rPr>
          <w:rFonts w:ascii="Arial" w:cs="Arial" w:eastAsia="Arial" w:hAnsi="Arial"/>
          <w:color w:val="111111"/>
          <w:sz w:val="22"/>
          <w:szCs w:val="22"/>
        </w:rPr>
        <w:t xml:space="preserve">118 unit tests pass (npm test from repository root). Governance gate tested against planted policy violations: fires correctly, surfaces the specific violated rule before any action executes. Secret-pattern scanner detected a planted fake token in under 1ms (security.ts). Cost tracker audited and corrected 11 July 2026 after a 19% undercount in provider-side extended thinking calls. A real credential incident is disclosed deliberately: a GitHub PAT was inadvertently displayed in terminal output during this development cycle. Caught immediately, rotated within the same session, old credential revoked. Disclosed as evidence that operational security discipline is exercised, not merely documented.</w:t>
      </w:r>
    </w:p>
    <w:p>
      <w:pPr>
        <w:spacing w:after="40" w:before="40"/>
      </w:pPr>
      <w:r>
        <w:t xml:space="preserve"/>
      </w:r>
    </w:p>
    <w:p>
      <w:pPr>
        <w:spacing w:after="80" w:before="80" w:line="276" w:lineRule="auto"/>
      </w:pPr>
      <w:r>
        <w:rPr>
          <w:rFonts w:ascii="Arial" w:cs="Arial" w:eastAsia="Arial" w:hAnsi="Arial"/>
          <w:color w:val="111111"/>
          <w:sz w:val="22"/>
          <w:szCs w:val="22"/>
        </w:rPr>
        <w:t xml:space="preserve">The origin-guard middleware (origin-guard.ts) defends against DNS rebinding and cross-origin POST attacks on the loopback server. NEUROWORKS_ENTERPRISE_MODE adds OAuth 2.0 for wide-bind deployments — off by default, boot-time warning if server is bound wide without it. code.exec (Python/Node subprocess) is genuinely unsandboxed and disabled by default; NEUROWORKS_CODE_EXEC=1 required to enable — named as a real risk for any deployment that turns it on. SkillForge-generated code runs in E2B isolated sandbox before any operator approval or persistence.</w:t>
      </w:r>
    </w:p>
    <w:p>
      <w:pPr>
        <w:spacing w:after="40" w:before="40"/>
      </w:pPr>
      <w:r>
        <w:t xml:space="preserve"/>
      </w:r>
    </w:p>
    <w:p>
      <w:pPr>
        <w:pStyle w:val="Heading1"/>
        <w:spacing w:after="120" w:before="280" w:line="276" w:lineRule="auto"/>
      </w:pPr>
      <w:r>
        <w:rPr>
          <w:rFonts w:ascii="Arial" w:cs="Arial" w:eastAsia="Arial" w:hAnsi="Arial"/>
          <w:b/>
          <w:bCs/>
          <w:color w:val="0D2137"/>
          <w:sz w:val="26"/>
          <w:szCs w:val="26"/>
        </w:rPr>
        <w:t xml:space="preserve">Section 5 — Sustainability and Future Adoption</w:t>
      </w:r>
    </w:p>
    <w:p>
      <w:pPr>
        <w:pStyle w:val="Heading2"/>
        <w:spacing w:after="80" w:before="180" w:line="276" w:lineRule="auto"/>
      </w:pPr>
      <w:r>
        <w:rPr>
          <w:rFonts w:ascii="Arial" w:cs="Arial" w:eastAsia="Arial" w:hAnsi="Arial"/>
          <w:b/>
          <w:bCs/>
          <w:color w:val="1D6FA4"/>
          <w:sz w:val="22"/>
          <w:szCs w:val="22"/>
        </w:rPr>
        <w:t xml:space="preserve">5.1 Cost Projections — Real Measured Data</w:t>
      </w:r>
    </w:p>
    <w:p>
      <w:pPr>
        <w:spacing w:after="80" w:before="80" w:line="276" w:lineRule="auto"/>
      </w:pPr>
      <w:r>
        <w:rPr>
          <w:rFonts w:ascii="Arial" w:cs="Arial" w:eastAsia="Arial" w:hAnsi="Arial"/>
          <w:color w:val="111111"/>
          <w:sz w:val="22"/>
          <w:szCs w:val="22"/>
        </w:rPr>
        <w:t xml:space="preserve">NeuroWorks tracks real per-call token usage from the provider's own usage-response data — not character-count estimates. A 19% undercount bug was found and fixed on 11 July 2026. All numbers below are from the corrected live cost tracker.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900"/>
        <w:gridCol w:w="1700"/>
        <w:gridCol w:w="1460"/>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Period</w:t>
            </w:r>
          </w:p>
        </w:tc>
        <w:tc>
          <w:tcPr>
            <w:tcW w:type="dxa" w:w="15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Total calls</w:t>
            </w:r>
          </w:p>
        </w:tc>
        <w:tc>
          <w:tcPr>
            <w:tcW w:type="dxa" w:w="19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Free and local</w:t>
            </w:r>
          </w:p>
        </w:tc>
        <w:tc>
          <w:tcPr>
            <w:tcW w:type="dxa" w:w="170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Paid cloud</w:t>
            </w:r>
          </w:p>
        </w:tc>
        <w:tc>
          <w:tcPr>
            <w:tcW w:type="dxa" w:w="1460"/>
            <w:tcBorders>
              <w:top w:val="single" w:color="CCCCCC" w:sz="1"/>
              <w:left w:val="single" w:color="CCCCCC" w:sz="1"/>
              <w:bottom w:val="single" w:color="CCCCCC" w:sz="1"/>
              <w:right w:val="single" w:color="CCCCCC" w:sz="1"/>
            </w:tcBorders>
            <w:shd w:fill="0D2137" w:val="clear"/>
            <w:tcMar>
              <w:top w:type="dxa" w:w="80"/>
              <w:left w:type="dxa" w:w="110"/>
              <w:bottom w:type="dxa" w:w="80"/>
              <w:right w:type="dxa" w:w="110"/>
            </w:tcMar>
          </w:tcPr>
          <w:p>
            <w:pPr>
              <w:spacing w:after="0" w:before="0"/>
            </w:pPr>
            <w:r>
              <w:rPr>
                <w:rFonts w:ascii="Arial" w:cs="Arial" w:eastAsia="Arial" w:hAnsi="Arial"/>
                <w:b/>
                <w:bCs/>
                <w:color w:val="FFFFFF"/>
                <w:sz w:val="18"/>
                <w:szCs w:val="18"/>
              </w:rPr>
              <w:t xml:space="preserve">Cloud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10 days — 3 to 11 July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1,021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640 (62.7%)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381 (37.3%)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USD 8.31 total</w:t>
            </w:r>
          </w:p>
        </w:tc>
      </w:tr>
      <w:tr>
        <w:tc>
          <w:tcPr>
            <w:tcW w:type="dxa" w:w="28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Single day — 10 July 2026</w:t>
            </w:r>
          </w:p>
        </w:tc>
        <w:tc>
          <w:tcPr>
            <w:tcW w:type="dxa" w:w="15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~35</w:t>
            </w:r>
          </w:p>
        </w:tc>
        <w:tc>
          <w:tcPr>
            <w:tcW w:type="dxa" w:w="19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~22</w:t>
            </w:r>
          </w:p>
        </w:tc>
        <w:tc>
          <w:tcPr>
            <w:tcW w:type="dxa" w:w="170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~13</w:t>
            </w:r>
          </w:p>
        </w:tc>
        <w:tc>
          <w:tcPr>
            <w:tcW w:type="dxa" w:w="1460"/>
            <w:tcBorders>
              <w:top w:val="single" w:color="CCCCCC" w:sz="1"/>
              <w:left w:val="single" w:color="CCCCCC" w:sz="1"/>
              <w:bottom w:val="single" w:color="CCCCCC" w:sz="1"/>
              <w:right w:val="single" w:color="CCCCCC" w:sz="1"/>
            </w:tcBorders>
            <w:shd w:fill="EEF6FC" w:val="clear"/>
            <w:tcMar>
              <w:top w:type="dxa" w:w="80"/>
              <w:left w:type="dxa" w:w="110"/>
              <w:bottom w:type="dxa" w:w="80"/>
              <w:right w:type="dxa" w:w="110"/>
            </w:tcMar>
          </w:tcPr>
          <w:p>
            <w:pPr>
              <w:spacing w:after="0" w:before="0"/>
            </w:pPr>
            <w:r>
              <w:rPr>
                <w:rFonts w:ascii="Arial" w:cs="Arial" w:eastAsia="Arial" w:hAnsi="Arial"/>
                <w:b w:val="false"/>
                <w:bCs w:val="false"/>
                <w:color w:val="111111"/>
                <w:sz w:val="17"/>
                <w:szCs w:val="17"/>
              </w:rPr>
              <w:t xml:space="preserve">USD 3.03 (~USD 0.10/task at 29 tasks)</w:t>
            </w:r>
          </w:p>
        </w:tc>
      </w:tr>
    </w:tbl>
    <w:p>
      <w:pPr>
        <w:spacing w:after="40" w:before="40"/>
      </w:pPr>
      <w:r>
        <w:t xml:space="preserve"/>
      </w:r>
    </w:p>
    <w:p>
      <w:pPr>
        <w:spacing w:after="80" w:before="80" w:line="276" w:lineRule="auto"/>
      </w:pPr>
      <w:r>
        <w:rPr>
          <w:rFonts w:ascii="Arial" w:cs="Arial" w:eastAsia="Arial" w:hAnsi="Arial"/>
          <w:color w:val="111111"/>
          <w:sz w:val="22"/>
          <w:szCs w:val="22"/>
        </w:rPr>
        <w:t xml:space="preserve">The USD 0.10 per-task figure is from one fully-documented day and is presented as a single honest data point, not a universal average. Cost varies with task complexity. What the 10-day window demonstrates is that the free-local-core architecture works in practice and cloud spend, when incurred, is small relative to task output.</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5.2 Operational Business Model</w:t>
      </w:r>
    </w:p>
    <w:p>
      <w:pPr>
        <w:spacing w:after="80" w:before="80" w:line="276" w:lineRule="auto"/>
      </w:pPr>
      <w:r>
        <w:rPr>
          <w:rFonts w:ascii="Arial" w:cs="Arial" w:eastAsia="Arial" w:hAnsi="Arial"/>
          <w:color w:val="111111"/>
          <w:sz w:val="22"/>
          <w:szCs w:val="22"/>
        </w:rPr>
        <w:t xml:space="preserve">Every installation runs Ollama by default — zero API keys required, zero mandatory cloud spend. This is not freemium with a gate on useful features. It is genuinely free-capable, with a working degradation path back to local-only at any time. Cloud models (Claude, Groq, OpenRouter) are an optional escalation billed at cost plus a 10% platform fee, visible to the operator per call. An institutional licence (annual contract covering updates, support, and deployment assistance) is the primary revenue path for government and health-sector customers. A managed relay for hard-to-self-host pieces (outbound email relay, payment collection) is planned but not yet built — stated as planned, not claimed as done.</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5.3 Licensing Registry</w:t>
      </w:r>
    </w:p>
    <w:p>
      <w:pPr>
        <w:spacing w:after="80" w:before="80" w:line="276" w:lineRule="auto"/>
      </w:pPr>
      <w:r>
        <w:rPr>
          <w:rFonts w:ascii="Arial" w:cs="Arial" w:eastAsia="Arial" w:hAnsi="Arial"/>
          <w:color w:val="111111"/>
          <w:sz w:val="22"/>
          <w:szCs w:val="22"/>
        </w:rPr>
        <w:t xml:space="preserve">NeuroWorks' own code is proprietary to AiiA and RUBIEM Developers, all rights reserved, with the full licence text at the repository root. POTRAZ is granted a non-exclusive, royalty-free right to evaluate, demonstrate, and pilot the submission for public-interest purposes as part of the Grand Challenge. Commercial use beyond the Challenge requires a separate agreement. All third-party libraries, models, and APIs are declared with their licence positions in the Asset and Licence Register document (docs-vault-ready/06-grand-challenge-2026/ in the repository). The Zimbabwe sector knowledge packs, once curated, will be released under Creative Commons Attribution (CC BY 4.0) terms to contribute to Zimbabwe's national AI data infrastructure.</w:t>
      </w:r>
    </w:p>
    <w:p>
      <w:pPr>
        <w:spacing w:after="40" w:before="40"/>
      </w:pPr>
      <w:r>
        <w:t xml:space="preserve"/>
      </w:r>
    </w:p>
    <w:p>
      <w:pPr>
        <w:pStyle w:val="Heading2"/>
        <w:spacing w:after="80" w:before="180" w:line="276" w:lineRule="auto"/>
      </w:pPr>
      <w:r>
        <w:rPr>
          <w:rFonts w:ascii="Arial" w:cs="Arial" w:eastAsia="Arial" w:hAnsi="Arial"/>
          <w:b/>
          <w:bCs/>
          <w:color w:val="1D6FA4"/>
          <w:sz w:val="22"/>
          <w:szCs w:val="22"/>
        </w:rPr>
        <w:t xml:space="preserve">5.4 Scaling and Sustainability Pathway</w:t>
      </w:r>
    </w:p>
    <w:p>
      <w:pPr>
        <w:spacing w:after="80" w:before="80" w:line="276" w:lineRule="auto"/>
      </w:pPr>
      <w:r>
        <w:rPr>
          <w:rFonts w:ascii="Arial" w:cs="Arial" w:eastAsia="Arial" w:hAnsi="Arial"/>
          <w:color w:val="111111"/>
          <w:sz w:val="22"/>
          <w:szCs w:val="22"/>
        </w:rPr>
        <w:t xml:space="preserve">The first real external system is already connected — a production PostgreSQL database live since 11 July 2026. The formal pilot (Weeks 7–12 post-award) targets 10–20 organisations in Mutare and Harare: five SMEs across tourism, agriculture, and informal trade; three NGOs; two government-adjacent institutions; and one health facility. Success is measured on task completion rate, time saved versus prior manual process, cloud spend per task within a target band, and at least one non-technical operator case study. No signed pilot agreements exist yet — the single biggest gap between technically ready and commercially validated, stated plainly.</w:t>
      </w:r>
    </w:p>
    <w:p>
      <w:pPr>
        <w:spacing w:after="40" w:before="40"/>
      </w:pPr>
      <w:r>
        <w:t xml:space="preserve"/>
      </w:r>
    </w:p>
    <w:p>
      <w:pPr>
        <w:spacing w:after="80" w:before="80" w:line="276" w:lineRule="auto"/>
      </w:pPr>
      <w:r>
        <w:rPr>
          <w:rFonts w:ascii="Arial" w:cs="Arial" w:eastAsia="Arial" w:hAnsi="Arial"/>
          <w:color w:val="111111"/>
          <w:sz w:val="22"/>
          <w:szCs w:val="22"/>
        </w:rPr>
        <w:t xml:space="preserve">Beyond Zimbabwe, the SADC regional path follows the same architecture with country-specific language packs and regulatory context added per country. This is a configuration exercise, not a rebuild. For government deployments requiring full data sovereignty, on-premise deployment with ZCHPC infrastructure for shared GPU compute provides a pathway that satisfies institutional data-governance requirements without cloud dependency. The platform is designed to sustain itself at 200 Growth-tier or 70 Institutional-tier paying organisations — covering infrastructure and a four-person core team — before requiring external investment.</w:t>
      </w:r>
    </w:p>
    <w:p>
      <w:pPr>
        <w:spacing w:after="40" w:before="40"/>
      </w:pPr>
      <w:r>
        <w:t xml:space="preserve"/>
      </w:r>
    </w:p>
    <w:p>
      <w:pPr>
        <w:pBdr>
          <w:bottom w:val="single" w:color="CCCCCC" w:sz="5" w:space="1"/>
        </w:pBdr>
        <w:spacing w:after="140" w:before="140"/>
      </w:pPr>
      <w:r>
        <w:t xml:space="preserve"/>
      </w:r>
    </w:p>
    <w:p>
      <w:pPr>
        <w:spacing w:after="80" w:before="120"/>
        <w:jc w:val="center"/>
      </w:pPr>
      <w:r>
        <w:rPr>
          <w:rFonts w:ascii="Arial" w:cs="Arial" w:eastAsia="Arial" w:hAnsi="Arial"/>
          <w:i/>
          <w:iCs/>
          <w:color w:val="999999"/>
          <w:sz w:val="18"/>
          <w:szCs w:val="18"/>
        </w:rPr>
        <w:t xml:space="preserve">End of proposal  ·  NeuroWorks  ·  [ProjectID]_AI4I_Proposal_Development  ·  AI Grand Challenge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line="276" w:lineRule="auto"/>
      <w:outlineLvl w:val="0"/>
    </w:pPr>
    <w:rPr>
      <w:rFonts w:ascii="Arial" w:cs="Arial" w:eastAsia="Arial" w:hAnsi="Arial"/>
      <w:b/>
      <w:bCs/>
      <w:color w:val="0D2137"/>
      <w:sz w:val="26"/>
      <w:szCs w:val="26"/>
    </w:rPr>
  </w:style>
  <w:style w:type="paragraph" w:styleId="Heading2">
    <w:name w:val="Heading 2"/>
    <w:basedOn w:val="Normal"/>
    <w:next w:val="Normal"/>
    <w:qFormat/>
    <w:pPr>
      <w:spacing w:after="80" w:before="180" w:line="276" w:lineRule="auto"/>
      <w:outlineLvl w:val="1"/>
    </w:pPr>
    <w:rPr>
      <w:rFonts w:ascii="Arial" w:cs="Arial" w:eastAsia="Arial" w:hAnsi="Arial"/>
      <w:b/>
      <w:bCs/>
      <w:color w:val="1D6FA4"/>
      <w:sz w:val="22"/>
      <w:szCs w:val="22"/>
    </w:rPr>
  </w:style>
  <w:style w:type="paragraph" w:styleId="Heading3">
    <w:name w:val="Heading 3"/>
    <w:basedOn w:val="Normal"/>
    <w:next w:val="Normal"/>
    <w:qFormat/>
    <w:pPr>
      <w:spacing w:after="60" w:before="140" w:line="276" w:lineRule="auto"/>
      <w:outlineLvl w:val="2"/>
    </w:pPr>
    <w:rPr>
      <w:rFonts w:ascii="Arial" w:cs="Arial" w:eastAsia="Arial" w:hAnsi="Arial"/>
      <w:b/>
      <w:bCs/>
      <w:color w:val="1A3F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2026-07-12T05:32:07.285Z</dcterms:created>
  <dcterms:modified xsi:type="dcterms:W3CDTF">2026-07-12T05:32:07.285Z</dcterms:modified>
</cp:coreProperties>
</file>

<file path=docProps/custom.xml><?xml version="1.0" encoding="utf-8"?>
<Properties xmlns="http://schemas.openxmlformats.org/officeDocument/2006/custom-properties" xmlns:vt="http://schemas.openxmlformats.org/officeDocument/2006/docPropsVTypes"/>
</file>