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pPr>
      <w:r>
        <w:t xml:space="preserve"/>
      </w:r>
    </w:p>
    <w:p>
      <w:pPr>
        <w:spacing w:after="120" w:before="0"/>
        <w:jc w:val="center"/>
      </w:pPr>
      <w:r>
        <w:rPr>
          <w:rFonts w:ascii="Arial" w:cs="Arial" w:eastAsia="Arial" w:hAnsi="Arial"/>
          <w:b/>
          <w:bCs/>
          <w:color w:val="0D2137"/>
          <w:sz w:val="56"/>
          <w:szCs w:val="56"/>
        </w:rPr>
        <w:t xml:space="preserve">NeuroWorks</w:t>
      </w:r>
    </w:p>
    <w:p>
      <w:pPr>
        <w:spacing w:after="100" w:before="0"/>
        <w:jc w:val="center"/>
      </w:pPr>
      <w:r>
        <w:rPr>
          <w:rFonts w:ascii="Arial" w:cs="Arial" w:eastAsia="Arial" w:hAnsi="Arial"/>
          <w:color w:val="1D6FA4"/>
          <w:sz w:val="28"/>
          <w:szCs w:val="28"/>
        </w:rPr>
        <w:t xml:space="preserve">AI Grand Challenge 2026 — Track 3: Development</w:t>
      </w:r>
    </w:p>
    <w:p>
      <w:pPr>
        <w:spacing w:after="100" w:before="0"/>
        <w:jc w:val="center"/>
      </w:pPr>
      <w:r>
        <w:rPr>
          <w:rFonts w:ascii="Arial" w:cs="Arial" w:eastAsia="Arial" w:hAnsi="Arial"/>
          <w:color w:val="1A3F5C"/>
          <w:sz w:val="24"/>
          <w:szCs w:val="24"/>
        </w:rPr>
        <w:t xml:space="preserve">Application Proposal</w:t>
      </w:r>
    </w:p>
    <w:p>
      <w:pPr>
        <w:spacing w:after="60" w:before="60"/>
      </w:pPr>
      <w:r>
        <w:t xml:space="preserve"/>
      </w:r>
    </w:p>
    <w:p>
      <w:pPr>
        <w:spacing w:after="100" w:before="0"/>
        <w:jc w:val="center"/>
      </w:pPr>
      <w:r>
        <w:rPr>
          <w:rFonts w:ascii="Arial" w:cs="Arial" w:eastAsia="Arial" w:hAnsi="Arial"/>
          <w:color w:val="444444"/>
          <w:sz w:val="22"/>
          <w:szCs w:val="22"/>
        </w:rPr>
        <w:t xml:space="preserve">A Digital Workforce Platform for Zimbabwean Organisations</w:t>
      </w:r>
    </w:p>
    <w:p>
      <w:pPr>
        <w:spacing w:after="100" w:before="0"/>
        <w:jc w:val="center"/>
      </w:pPr>
      <w:r>
        <w:rPr>
          <w:rFonts w:ascii="Arial" w:cs="Arial" w:eastAsia="Arial" w:hAnsi="Arial"/>
          <w:color w:val="666666"/>
          <w:sz w:val="20"/>
          <w:szCs w:val="20"/>
        </w:rPr>
        <w:t xml:space="preserve">Deploy AI digital workers that connect to your systems,</w:t>
      </w:r>
    </w:p>
    <w:p>
      <w:pPr>
        <w:spacing w:after="100" w:before="0"/>
        <w:jc w:val="center"/>
      </w:pPr>
      <w:r>
        <w:rPr>
          <w:rFonts w:ascii="Arial" w:cs="Arial" w:eastAsia="Arial" w:hAnsi="Arial"/>
          <w:color w:val="666666"/>
          <w:sz w:val="20"/>
          <w:szCs w:val="20"/>
        </w:rPr>
        <w:t xml:space="preserve">enforce your policies, and simulate up to 40% of organisational work output — locally.</w:t>
      </w:r>
    </w:p>
    <w:p>
      <w:pPr>
        <w:spacing w:after="120" w:before="120"/>
      </w:pPr>
      <w:r>
        <w:t xml:space="preserve"/>
      </w:r>
    </w:p>
    <w:p>
      <w:pPr>
        <w:spacing w:after="100" w:before="0"/>
        <w:jc w:val="center"/>
      </w:pPr>
      <w:r>
        <w:rPr>
          <w:rFonts w:ascii="Arial" w:cs="Arial" w:eastAsia="Arial" w:hAnsi="Arial"/>
          <w:color w:val="1A3F5C"/>
          <w:sz w:val="20"/>
          <w:szCs w:val="20"/>
        </w:rPr>
        <w:t xml:space="preserve">Submitted by: RUBIEM Developers</w:t>
      </w:r>
    </w:p>
    <w:p>
      <w:pPr>
        <w:spacing w:after="100" w:before="0"/>
        <w:jc w:val="center"/>
      </w:pPr>
      <w:r>
        <w:rPr>
          <w:rFonts w:ascii="Arial" w:cs="Arial" w:eastAsia="Arial" w:hAnsi="Arial"/>
          <w:color w:val="888888"/>
          <w:sz w:val="18"/>
          <w:szCs w:val="18"/>
        </w:rPr>
        <w:t xml:space="preserve">Organisation: AiiA — Autonomous Intelligence &amp; Innovation Agency</w:t>
      </w:r>
    </w:p>
    <w:p>
      <w:pPr>
        <w:spacing w:after="100" w:before="0"/>
        <w:jc w:val="center"/>
      </w:pPr>
      <w:r>
        <w:rPr>
          <w:rFonts w:ascii="Arial" w:cs="Arial" w:eastAsia="Arial" w:hAnsi="Arial"/>
          <w:color w:val="888888"/>
          <w:sz w:val="18"/>
          <w:szCs w:val="18"/>
        </w:rPr>
        <w:t xml:space="preserve">Date: July 2026  |  Location: Mutare, Zimbabwe</w:t>
      </w:r>
    </w:p>
    <w:p>
      <w:r>
        <w:br w:type="page"/>
      </w:r>
    </w:p>
    <w:p>
      <w:pPr>
        <w:pStyle w:val="Heading1"/>
        <w:spacing w:after="180" w:before="360"/>
      </w:pPr>
      <w:r>
        <w:rPr>
          <w:rFonts w:ascii="Arial" w:cs="Arial" w:eastAsia="Arial" w:hAnsi="Arial"/>
          <w:b/>
          <w:bCs/>
          <w:color w:val="0D2137"/>
          <w:sz w:val="34"/>
          <w:szCs w:val="34"/>
        </w:rPr>
        <w:t xml:space="preserve">1. Executive Summary</w:t>
      </w:r>
    </w:p>
    <w:p>
      <w:pPr>
        <w:spacing w:after="80" w:before="80"/>
      </w:pPr>
      <w:r>
        <w:rPr>
          <w:rFonts w:ascii="Arial" w:cs="Arial" w:eastAsia="Arial" w:hAnsi="Arial"/>
          <w:color w:val="111111"/>
          <w:sz w:val="22"/>
          <w:szCs w:val="22"/>
        </w:rPr>
        <w:t xml:space="preserve">NeuroWorks is a production-grade digital workforce platform that allows any Zimbabwean organisation — a district hospital, a government ministry, an NGO, or an informal economy SME — to deploy AI digital workers on demand. These workers connect to the organisation's real databases and legacy systems, enforce the organisation's own uploaded policies as hard constraints, take real actions through the tools the organisation already uses (email, Slack, GitHub, payment systems), and operate entire departments under mandatory human supervision.</w:t>
      </w:r>
    </w:p>
    <w:p>
      <w:pPr>
        <w:spacing w:after="60" w:before="60"/>
      </w:pPr>
      <w:r>
        <w:t xml:space="preserve"/>
      </w:r>
    </w:p>
    <w:p>
      <w:pPr>
        <w:spacing w:after="80" w:before="80"/>
      </w:pPr>
      <w:r>
        <w:rPr>
          <w:rFonts w:ascii="Arial" w:cs="Arial" w:eastAsia="Arial" w:hAnsi="Arial"/>
          <w:color w:val="111111"/>
          <w:sz w:val="22"/>
          <w:szCs w:val="22"/>
        </w:rPr>
        <w:t xml:space="preserve">NeuroWorks is not a tool. Its digital workers are closer to human workers than to software features — they receive goals, form plans, call tools, check actions against policy constraints, seek human approval before consequential steps, and deliver completed organisational outputs. The platform can simulate approximately 40% of total human work output: the non-physical, information-based, tool-mediated portion of knowledge work.</w:t>
      </w:r>
    </w:p>
    <w:p>
      <w:pPr>
        <w:spacing w:after="60" w:before="60"/>
      </w:pPr>
      <w:r>
        <w:t xml:space="preserve"/>
      </w:r>
    </w:p>
    <w:p>
      <w:pPr>
        <w:pBdr>
          <w:left w:val="single" w:color="2E7D32" w:sz="16" w:space="4"/>
        </w:pBdr>
        <w:shd w:fill="E2EFDA" w:val="clear"/>
        <w:spacing w:after="140" w:before="140"/>
        <w:ind w:left="360" w:right="360"/>
      </w:pPr>
      <w:r>
        <w:rPr>
          <w:rFonts w:ascii="Arial" w:cs="Arial" w:eastAsia="Arial" w:hAnsi="Arial"/>
          <w:b/>
          <w:bCs/>
          <w:i/>
          <w:iCs/>
          <w:color w:val="0D2137"/>
          <w:sz w:val="22"/>
          <w:szCs w:val="22"/>
        </w:rPr>
        <w:t xml:space="preserve">The platform is substantially built. The current codebase has 28 live API routers, approximately 90 agent primitives, 141 skill playbooks covering every major organisational department, live integrations with Mailjet (email), GitHub (Octokit), Stripe, Paynow Zimbabwe, and local Ollama inference. Every route has real handlers behind it — no scaffolding stubs.</w:t>
      </w:r>
    </w:p>
    <w:p>
      <w:pPr>
        <w:spacing w:after="60" w:before="60"/>
      </w:pPr>
      <w:r>
        <w:t xml:space="preserve"/>
      </w:r>
    </w:p>
    <w:p>
      <w:pPr>
        <w:spacing w:after="80" w:before="80"/>
      </w:pPr>
      <w:r>
        <w:rPr>
          <w:rFonts w:ascii="Arial" w:cs="Arial" w:eastAsia="Arial" w:hAnsi="Arial"/>
          <w:color w:val="111111"/>
          <w:sz w:val="22"/>
          <w:szCs w:val="22"/>
        </w:rPr>
        <w:t xml:space="preserve">The AI Grand Challenge grant of USD 6,000–10,000 (Development track top team allocation) will fund four specific completion items: sector-specific onboarding and Zimbabwe demand framing embedded in the product, the LLM-based policy guardrail extraction engine, Shona and Ndebele agent prompt templates, and the five Zimbabwean sector knowledge packs. These are the remaining gaps between the current prototype and a submission-ready, adjudication-ready product.</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Track</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Track 3: Development — AI product proposals, prototypes and MVPs</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Submission type</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Functional prototype — working multi-agent system with live data pipeline, 28 API routes, ~90 primitives, 141 skill playbooks</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Grant requested</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Development 1st: USD 10,000</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Team</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RUBIEM Developers — AiiA (Autonomous Intelligence &amp; Innovation Agency)</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Dates</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27 July to 1 August 2026, Mutare</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Primary sector</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Cross-cutting: GovTech, NGO/Civil Society, SME/Informal Economy, Health</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Local language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Shona and Ndebele — glossary-based chat support live; LLM prompt templates in development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Data sovereignty</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Local-first by architecture — Ollama runs on-premise; no data leaves the organisation by default</w:t>
            </w:r>
          </w:p>
        </w:tc>
      </w:tr>
    </w:tbl>
    <w:p>
      <w:r>
        <w:br w:type="page"/>
      </w:r>
    </w:p>
    <w:p>
      <w:pPr>
        <w:pStyle w:val="Heading1"/>
        <w:spacing w:after="180" w:before="360"/>
      </w:pPr>
      <w:r>
        <w:rPr>
          <w:rFonts w:ascii="Arial" w:cs="Arial" w:eastAsia="Arial" w:hAnsi="Arial"/>
          <w:b/>
          <w:bCs/>
          <w:color w:val="0D2137"/>
          <w:sz w:val="34"/>
          <w:szCs w:val="34"/>
        </w:rPr>
        <w:t xml:space="preserve">2. What NeuroWorks Is — and What It Is Not</w:t>
      </w:r>
    </w:p>
    <w:p>
      <w:pPr>
        <w:pBdr>
          <w:left w:val="single" w:color="1D6FA4" w:sz="16" w:space="4"/>
        </w:pBdr>
        <w:shd w:fill="D6E9F8" w:val="clear"/>
        <w:spacing w:after="140" w:before="140"/>
        <w:ind w:left="360" w:right="360"/>
      </w:pPr>
      <w:r>
        <w:rPr>
          <w:rFonts w:ascii="Arial" w:cs="Arial" w:eastAsia="Arial" w:hAnsi="Arial"/>
          <w:b/>
          <w:bCs/>
          <w:i/>
          <w:iCs/>
          <w:color w:val="0D2137"/>
          <w:sz w:val="22"/>
          <w:szCs w:val="22"/>
        </w:rPr>
        <w:t xml:space="preserve">NeuroWorks is not a tool. A tool waits to be used. A NeuroWorks digital worker receives a goal, forms a plan, calls the tools it needs, checks its actions against the organisation's policy constraints, seeks human approval before consequential steps, and delivers a completed outcome. The distinction is architectural and fundamental.</w:t>
      </w:r>
    </w:p>
    <w:p>
      <w:pPr>
        <w:spacing w:after="60" w:before="60"/>
      </w:pPr>
      <w:r>
        <w:t xml:space="preserve"/>
      </w:r>
    </w:p>
    <w:p>
      <w:pPr>
        <w:pStyle w:val="Heading2"/>
        <w:spacing w:after="120" w:before="280"/>
      </w:pPr>
      <w:r>
        <w:rPr>
          <w:rFonts w:ascii="Arial" w:cs="Arial" w:eastAsia="Arial" w:hAnsi="Arial"/>
          <w:b/>
          <w:bCs/>
          <w:color w:val="1D6FA4"/>
          <w:sz w:val="26"/>
          <w:szCs w:val="26"/>
        </w:rPr>
        <w:t xml:space="preserve">2.1 The 40% Thesis</w:t>
      </w:r>
    </w:p>
    <w:p>
      <w:pPr>
        <w:spacing w:after="80" w:before="80"/>
      </w:pPr>
      <w:r>
        <w:rPr>
          <w:rFonts w:ascii="Arial" w:cs="Arial" w:eastAsia="Arial" w:hAnsi="Arial"/>
          <w:color w:val="111111"/>
          <w:sz w:val="22"/>
          <w:szCs w:val="22"/>
        </w:rPr>
        <w:t xml:space="preserve">A human knowledge worker's total work output can be decomposed into two categories: physical presence (attending meetings, physically handling objects, performing physical procedures) and cognitive-communicative work (reading, writing, analysing, deciding, researching, communicating, coordinating, drafting, reporting). The cognitive-communicative portion — which requires no physical body, only information access and tool use — constitutes approximately 40% of total work output across most organisational functions.</w:t>
      </w:r>
    </w:p>
    <w:p>
      <w:pPr>
        <w:spacing w:after="60" w:before="60"/>
      </w:pPr>
      <w:r>
        <w:t xml:space="preserve"/>
      </w:r>
    </w:p>
    <w:p>
      <w:pPr>
        <w:spacing w:after="80" w:before="80"/>
      </w:pPr>
      <w:r>
        <w:rPr>
          <w:rFonts w:ascii="Arial" w:cs="Arial" w:eastAsia="Arial" w:hAnsi="Arial"/>
          <w:color w:val="111111"/>
          <w:sz w:val="22"/>
          <w:szCs w:val="22"/>
        </w:rPr>
        <w:t xml:space="preserve">NeuroWorks digital workers can perform this 40% — the non-physical, information-based, tool-mediated portion of knowledge work — at scale, continuously, and at a fraction of the cost of human labour. This is not a claim about replacing human workers. It is a precise claim about the portion of human organisational work that software agents can now perform reliably, with appropriate human oversight, connected to real systems.</w:t>
      </w:r>
    </w:p>
    <w:p>
      <w:pPr>
        <w:spacing w:after="60" w:before="60"/>
      </w:pPr>
      <w:r>
        <w:t xml:space="preserve"/>
      </w:r>
    </w:p>
    <w:p>
      <w:pPr>
        <w:pStyle w:val="Heading2"/>
        <w:spacing w:after="120" w:before="280"/>
      </w:pPr>
      <w:r>
        <w:rPr>
          <w:rFonts w:ascii="Arial" w:cs="Arial" w:eastAsia="Arial" w:hAnsi="Arial"/>
          <w:b/>
          <w:bCs/>
          <w:color w:val="1D6FA4"/>
          <w:sz w:val="26"/>
          <w:szCs w:val="26"/>
        </w:rPr>
        <w:t xml:space="preserve">2.2 Architecture: Workers Above Tools</w:t>
      </w:r>
    </w:p>
    <w:p>
      <w:pPr>
        <w:spacing w:after="80" w:before="80"/>
      </w:pPr>
      <w:r>
        <w:rPr>
          <w:rFonts w:ascii="Arial" w:cs="Arial" w:eastAsia="Arial" w:hAnsi="Arial"/>
          <w:color w:val="111111"/>
          <w:sz w:val="22"/>
          <w:szCs w:val="22"/>
        </w:rPr>
        <w:t xml:space="preserve">The system has three layers. At the bottom: tools — databases, email, Slack, GitHub, payment systems, file stores. In the middle: HERMES, the MCP tool governance layer — an allowlisted set of ~90 primitives that governs what agents can and cannot do. At the top: digital workers — LLM-powered agents that receive goals, form plans, and call tools through HERMES. Workers sit above tools. Workers call tools. Workers are not tools.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Digital workers (top layer)</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LLM-powered agents with roles, memory, policy constraints, and HITL oversight. They reason, plan, and act. Currently: Ollama (local) for planning/synthesis/extraction; OpenRouter/Claude/Anthropic for complex reasoning, cost-tiered.</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HERMES — MCP governance (middle)</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~90 allowlisted primitives across 12 namespaces: vault, filesystem, web, GitHub, DB, comms, payments, media, org/people, quality/security, knowledge/data, memory/calendar, skills. No agent can take any action outside this allowlist.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Tools and integrations (bottom)</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Live: Ollama, OpenRouter, Claude/Anthropic, GitHub (Octokit), Mailjet, Paynow Zimbabwe, Stripe, Finance System push ingest, graphify, browser-harness, caveman. Dormant (key not set): MiniMax, HeyGen, Firecrawl, Brave tab-read.</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main-brain vault</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Local git repository — persistent organisational memory. Structured schema: vault, filesystem, web, research, comms, knowledge, memory, skills namespaces. Version-controlled, auditable, never leaves the organisation's environment.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Mission Control (NeuroWorks console)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Next.js 14 frontend — 37 pages. Operator briefs workers here. HITL approvals made here. Audit logs, cost dashboard, skill management, department configuration, onboarding all live.</w:t>
            </w:r>
          </w:p>
        </w:tc>
      </w:tr>
    </w:tbl>
    <w:p>
      <w:pPr>
        <w:spacing w:after="60" w:before="60"/>
      </w:pPr>
      <w:r>
        <w:t xml:space="preserve"/>
      </w:r>
    </w:p>
    <w:p>
      <w:pPr>
        <w:pStyle w:val="Heading2"/>
        <w:spacing w:after="120" w:before="280"/>
      </w:pPr>
      <w:r>
        <w:rPr>
          <w:rFonts w:ascii="Arial" w:cs="Arial" w:eastAsia="Arial" w:hAnsi="Arial"/>
          <w:b/>
          <w:bCs/>
          <w:color w:val="1D6FA4"/>
          <w:sz w:val="26"/>
          <w:szCs w:val="26"/>
        </w:rPr>
        <w:t xml:space="preserve">2.3 Data Sovereignty — Local-First by Design</w:t>
      </w:r>
    </w:p>
    <w:p>
      <w:pPr>
        <w:pBdr>
          <w:left w:val="single" w:color="1D6FA4" w:sz="16" w:space="4"/>
        </w:pBdr>
        <w:shd w:fill="D6E9F8" w:val="clear"/>
        <w:spacing w:after="140" w:before="140"/>
        <w:ind w:left="360" w:right="360"/>
      </w:pPr>
      <w:r>
        <w:rPr>
          <w:rFonts w:ascii="Arial" w:cs="Arial" w:eastAsia="Arial" w:hAnsi="Arial"/>
          <w:b/>
          <w:bCs/>
          <w:i/>
          <w:iCs/>
          <w:color w:val="0D2137"/>
          <w:sz w:val="22"/>
          <w:szCs w:val="22"/>
        </w:rPr>
        <w:t xml:space="preserve">NeuroWorks does not push your data to the cloud. All agent reasoning, policy enforcement, vault storage, and database connections run locally or within the organisation's own infrastructure. No organisational data leaves the environment without an explicit operator action. This is data sovereignty by architecture — not by contractual assurance.</w:t>
      </w:r>
    </w:p>
    <w:p>
      <w:pPr>
        <w:spacing w:after="60" w:before="60"/>
      </w:pPr>
      <w:r>
        <w:t xml:space="preserve"/>
      </w:r>
    </w:p>
    <w:p>
      <w:pPr>
        <w:spacing w:after="80" w:before="80"/>
      </w:pPr>
      <w:r>
        <w:rPr>
          <w:rFonts w:ascii="Arial" w:cs="Arial" w:eastAsia="Arial" w:hAnsi="Arial"/>
          <w:color w:val="111111"/>
          <w:sz w:val="22"/>
          <w:szCs w:val="22"/>
        </w:rPr>
        <w:t xml:space="preserve">The primary inference path uses Ollama running on the operator's own hardware. The main-brain vault is a local git repository. Database connections are queried locally through the connector bridge. Cloud model routing (OpenRouter, Claude, Anthropic) is available but requires explicit operator opt-in and is logged in the audit trail. For government departments, health facilities, and institutions with strict data classification requirements, the platform can operate entirely air-gapped from external AI services.</w:t>
      </w:r>
    </w:p>
    <w:p>
      <w:r>
        <w:br w:type="page"/>
      </w:r>
    </w:p>
    <w:p>
      <w:pPr>
        <w:pStyle w:val="Heading1"/>
        <w:spacing w:after="180" w:before="360"/>
      </w:pPr>
      <w:r>
        <w:rPr>
          <w:rFonts w:ascii="Arial" w:cs="Arial" w:eastAsia="Arial" w:hAnsi="Arial"/>
          <w:b/>
          <w:bCs/>
          <w:color w:val="0D2137"/>
          <w:sz w:val="34"/>
          <w:szCs w:val="34"/>
        </w:rPr>
        <w:t xml:space="preserve">3. Demand Statement</w:t>
      </w:r>
    </w:p>
    <w:p>
      <w:pPr>
        <w:spacing w:after="80" w:before="80"/>
      </w:pPr>
      <w:r>
        <w:rPr>
          <w:rFonts w:ascii="Arial" w:cs="Arial" w:eastAsia="Arial" w:hAnsi="Arial"/>
          <w:color w:val="111111"/>
          <w:sz w:val="22"/>
          <w:szCs w:val="22"/>
        </w:rPr>
        <w:t xml:space="preserve">The AI Grand Challenge requires every submission to respond to a defined public, industry, community, regulatory, or market need. NeuroWorks addresses a structural organisational capacity crisis affecting three groups that bear the greatest immediate impact in Zimbabwe.</w:t>
      </w:r>
    </w:p>
    <w:p>
      <w:pPr>
        <w:spacing w:after="60" w:before="60"/>
      </w:pPr>
      <w:r>
        <w:t xml:space="preserve"/>
      </w:r>
    </w:p>
    <w:p>
      <w:pPr>
        <w:pStyle w:val="Heading2"/>
        <w:spacing w:after="120" w:before="280"/>
      </w:pPr>
      <w:r>
        <w:rPr>
          <w:rFonts w:ascii="Arial" w:cs="Arial" w:eastAsia="Arial" w:hAnsi="Arial"/>
          <w:b/>
          <w:bCs/>
          <w:color w:val="1D6FA4"/>
          <w:sz w:val="26"/>
          <w:szCs w:val="26"/>
        </w:rPr>
        <w:t xml:space="preserve">3.1 Group 1 — Zimbabwe's 3.5 Million SMEs and Informal Economy Operators</w:t>
      </w:r>
    </w:p>
    <w:p>
      <w:pPr>
        <w:spacing w:after="80" w:before="80"/>
      </w:pPr>
      <w:r>
        <w:rPr>
          <w:rFonts w:ascii="Arial" w:cs="Arial" w:eastAsia="Arial" w:hAnsi="Arial"/>
          <w:color w:val="111111"/>
          <w:sz w:val="22"/>
          <w:szCs w:val="22"/>
        </w:rPr>
        <w:t xml:space="preserve">Zimbabwe's informal economy accounts for more than 60% of all employment. SMEs and informal traders operate without the organisational infrastructure their work requires — no finance team, no marketing function, no customer service capacity, no compliance monitoring. Every function that a formal organisation staffs as a department is absent — not because the work is unnecessary, but because the cost of human labour makes dedicated staff unaffordable.</w:t>
      </w:r>
    </w:p>
    <w:p>
      <w:pPr>
        <w:spacing w:after="60" w:before="60"/>
      </w:pPr>
      <w:r>
        <w:t xml:space="preserve"/>
      </w:r>
    </w:p>
    <w:p>
      <w:pPr>
        <w:spacing w:after="80" w:before="80"/>
      </w:pPr>
      <w:r>
        <w:rPr>
          <w:rFonts w:ascii="Arial" w:cs="Arial" w:eastAsia="Arial" w:hAnsi="Arial"/>
          <w:color w:val="111111"/>
          <w:sz w:val="22"/>
          <w:szCs w:val="22"/>
        </w:rPr>
        <w:t xml:space="preserve">The consequence is chronic underperformance: missed markets, unmet compliance obligations, inability to access formal finance because they cannot produce the reports, documentation, and audit trails that lenders and investors require. NeuroWorks gives these organisations a Finance &amp; Reporting department, a Communications department, and a Customer Service department — running locally on affordable hardware, connected to their existing spreadsheets and simple databases, at a monthly cost comparable to a mobile data subscription.</w:t>
      </w:r>
    </w:p>
    <w:p>
      <w:pPr>
        <w:spacing w:after="60" w:before="60"/>
      </w:pPr>
      <w:r>
        <w:t xml:space="preserve"/>
      </w:r>
    </w:p>
    <w:p>
      <w:pPr>
        <w:pStyle w:val="Heading2"/>
        <w:spacing w:after="120" w:before="280"/>
      </w:pPr>
      <w:r>
        <w:rPr>
          <w:rFonts w:ascii="Arial" w:cs="Arial" w:eastAsia="Arial" w:hAnsi="Arial"/>
          <w:b/>
          <w:bCs/>
          <w:color w:val="1D6FA4"/>
          <w:sz w:val="26"/>
          <w:szCs w:val="26"/>
        </w:rPr>
        <w:t xml:space="preserve">3.2 Group 2 — Public Institutions and Government Departments</w:t>
      </w:r>
    </w:p>
    <w:p>
      <w:pPr>
        <w:spacing w:after="80" w:before="80"/>
      </w:pPr>
      <w:r>
        <w:rPr>
          <w:rFonts w:ascii="Arial" w:cs="Arial" w:eastAsia="Arial" w:hAnsi="Arial"/>
          <w:color w:val="111111"/>
          <w:sz w:val="22"/>
          <w:szCs w:val="22"/>
        </w:rPr>
        <w:t xml:space="preserve">Zimbabwe's public institutions — ministries, local authorities, parastatals, district hospitals, and public schools — are mandated to deliver services, maintain records, report to oversight bodies, communicate with citizens, and comply with a growing body of regulatory requirements. They cannot fully staff all these functions. The result is systemic service delivery failure: reports that are late, citizen queries that go unanswered, compliance obligations that are not met, institutional knowledge that walks out the door when staff leave.</w:t>
      </w:r>
    </w:p>
    <w:p>
      <w:pPr>
        <w:spacing w:after="60" w:before="60"/>
      </w:pPr>
      <w:r>
        <w:t xml:space="preserve"/>
      </w:r>
    </w:p>
    <w:p>
      <w:pPr>
        <w:spacing w:after="80" w:before="80"/>
      </w:pPr>
      <w:r>
        <w:rPr>
          <w:rFonts w:ascii="Arial" w:cs="Arial" w:eastAsia="Arial" w:hAnsi="Arial"/>
          <w:color w:val="111111"/>
          <w:sz w:val="22"/>
          <w:szCs w:val="22"/>
        </w:rPr>
        <w:t xml:space="preserve">For public institutions, NeuroWorks's local-first architecture is decisive. No data is pushed to external cloud services. Agent reasoning uses local Ollama models. Organisational databases, policy documents, and communications remain inside the institution's environment. This satisfies Zimbabwe's Cyber and Data Protection Act (Chapter 12:07), government data sovereignty policy, and sector-specific confidentiality obligations — by architecture.</w:t>
      </w:r>
    </w:p>
    <w:p>
      <w:pPr>
        <w:spacing w:after="60" w:before="60"/>
      </w:pPr>
      <w:r>
        <w:t xml:space="preserve"/>
      </w:r>
    </w:p>
    <w:p>
      <w:pPr>
        <w:pStyle w:val="Heading2"/>
        <w:spacing w:after="120" w:before="280"/>
      </w:pPr>
      <w:r>
        <w:rPr>
          <w:rFonts w:ascii="Arial" w:cs="Arial" w:eastAsia="Arial" w:hAnsi="Arial"/>
          <w:b/>
          <w:bCs/>
          <w:color w:val="1D6FA4"/>
          <w:sz w:val="26"/>
          <w:szCs w:val="26"/>
        </w:rPr>
        <w:t xml:space="preserve">3.3 Group 3 — NGOs, Cooperatives, and Civil Society Organisations</w:t>
      </w:r>
    </w:p>
    <w:p>
      <w:pPr>
        <w:spacing w:after="80" w:before="80"/>
      </w:pPr>
      <w:r>
        <w:rPr>
          <w:rFonts w:ascii="Arial" w:cs="Arial" w:eastAsia="Arial" w:hAnsi="Arial"/>
          <w:color w:val="111111"/>
          <w:sz w:val="22"/>
          <w:szCs w:val="22"/>
        </w:rPr>
        <w:t xml:space="preserve">Zimbabwe has thousands of registered NGOs, cooperatives, and civil society organisations operating with small teams against large mandates. Grant writing, donor reporting, compliance documentation, beneficiary communication, and project monitoring are all essential functions — and all chronically under-resourced. A single programme officer is routinely expected to perform the work of a communications team, a finance reporting team, a compliance team, and a research team simultaneously.</w:t>
      </w:r>
    </w:p>
    <w:p>
      <w:pPr>
        <w:spacing w:after="60" w:before="60"/>
      </w:pPr>
      <w:r>
        <w:t xml:space="preserve"/>
      </w:r>
    </w:p>
    <w:p>
      <w:pPr>
        <w:spacing w:after="80" w:before="80"/>
      </w:pPr>
      <w:r>
        <w:rPr>
          <w:rFonts w:ascii="Arial" w:cs="Arial" w:eastAsia="Arial" w:hAnsi="Arial"/>
          <w:color w:val="111111"/>
          <w:sz w:val="22"/>
          <w:szCs w:val="22"/>
        </w:rPr>
        <w:t xml:space="preserve">NeuroWorks directly addresses this: a Grant Writing department connected to the organisation's project database, a Compliance department monitoring obligations against uploaded donor and regulatory frameworks, and a Reporting department that reads financial and programme data from connected systems and drafts donor reports in the required format — all running locally within the organisation's own environment.</w:t>
      </w:r>
    </w:p>
    <w:p>
      <w:pPr>
        <w:spacing w:after="60" w:before="60"/>
      </w:pPr>
      <w:r>
        <w:t xml:space="preserve"/>
      </w:r>
    </w:p>
    <w:p>
      <w:pPr>
        <w:pStyle w:val="Heading2"/>
        <w:spacing w:after="120" w:before="280"/>
      </w:pPr>
      <w:r>
        <w:rPr>
          <w:rFonts w:ascii="Arial" w:cs="Arial" w:eastAsia="Arial" w:hAnsi="Arial"/>
          <w:b/>
          <w:bCs/>
          <w:color w:val="1D6FA4"/>
          <w:sz w:val="26"/>
          <w:szCs w:val="26"/>
        </w:rPr>
        <w:t xml:space="preserve">3.4 National Strategy Alignment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Strategy / Framework</w:t>
            </w:r>
          </w:p>
        </w:tc>
        <w:tc>
          <w:tcPr>
            <w:tcW w:type="dxa" w:w="58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Specific Alignment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National AI Strategy — AI for Public Sector Efficiency</w:t>
            </w:r>
          </w:p>
        </w:tc>
        <w:tc>
          <w:tcPr>
            <w:tcW w:type="dxa" w:w="5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NeuroWorks directly enables AI-assisted service delivery and administrative automation for government departments — running within government infrastructure, connected to government databases, enforcing government policy guardrails, with no data leaving the government environment</w:t>
            </w:r>
          </w:p>
        </w:tc>
      </w:tr>
      <w:tr>
        <w:tc>
          <w:tcPr>
            <w:tcW w:type="dxa" w:w="3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National AI Strategy — AI for MSME and Informal Economy Inclusion</w:t>
            </w:r>
          </w:p>
        </w:tc>
        <w:tc>
          <w:tcPr>
            <w:tcW w:type="dxa" w:w="5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Provides SMEs and informal operators with full departmental AI capacity at a price point accessible to the informal economy, in local languages (Shona, Ndebele), connected to the basic database and file tools they already use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National AI Strategy — Sovereign AI Infrastructure</w:t>
            </w:r>
          </w:p>
        </w:tc>
        <w:tc>
          <w:tcPr>
            <w:tcW w:type="dxa" w:w="5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Runs on local Ollama models; stores all data in the organisation's own vault and infrastructure; requires no data pushed to external cloud services — full sovereignty by architecture, not contractual assurance</w:t>
            </w:r>
          </w:p>
        </w:tc>
      </w:tr>
      <w:tr>
        <w:tc>
          <w:tcPr>
            <w:tcW w:type="dxa" w:w="3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NDS2 Pillar 1 — Economic Growth and Stability</w:t>
            </w:r>
          </w:p>
        </w:tc>
        <w:tc>
          <w:tcPr>
            <w:tcW w:type="dxa" w:w="5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Gives MSMEs the organisational infrastructure required for formalisation and access to formal markets and finance — Finance, Compliance, Communications departments at MSME price points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NDS2 Pillar 3 — Governance and Institutions</w:t>
            </w:r>
          </w:p>
        </w:tc>
        <w:tc>
          <w:tcPr>
            <w:tcW w:type="dxa" w:w="5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Government department Compliance and Reporting departments connected to live administrative databases; full audit log of all AI actions satisfying accountability and transparency requirements</w:t>
            </w:r>
          </w:p>
        </w:tc>
      </w:tr>
      <w:tr>
        <w:tc>
          <w:tcPr>
            <w:tcW w:type="dxa" w:w="3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NDS2 Pillar 2 — Social Development</w:t>
            </w:r>
          </w:p>
        </w:tc>
        <w:tc>
          <w:tcPr>
            <w:tcW w:type="dxa" w:w="5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Health facility Communications and Patient Service departments running locally within facility infrastructure; NGO Grant Writing and Reporting departments for civil society service delivery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Vision 2030 — Upper-middle-income economy target</w:t>
            </w:r>
          </w:p>
        </w:tc>
        <w:tc>
          <w:tcPr>
            <w:tcW w:type="dxa" w:w="5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Expands productive capacity of Zimbabwean organisations at every income level — giving informal traders, NGOs, and government departments access to organisational intelligence previously available only to well-resourced multinationals</w:t>
            </w:r>
          </w:p>
        </w:tc>
      </w:tr>
      <w:tr>
        <w:tc>
          <w:tcPr>
            <w:tcW w:type="dxa" w:w="3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Heritage-Based Education 5.0</w:t>
            </w:r>
          </w:p>
        </w:tc>
        <w:tc>
          <w:tcPr>
            <w:tcW w:type="dxa" w:w="5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Creates a practical AI deployment environment where graduates apply AI to real institutional problems using real organisational data — building local knowledge and local AI employment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POTRAZ / USF mandate</w:t>
            </w:r>
          </w:p>
        </w:tc>
        <w:tc>
          <w:tcPr>
            <w:tcW w:type="dxa" w:w="5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Directly responds to the Innovation Drive goal of stimulating demand-led AI problem-solving around national priorities — a cross-sector platform applicable to every sector POTRAZ serves</w:t>
            </w:r>
          </w:p>
        </w:tc>
      </w:tr>
    </w:tbl>
    <w:p>
      <w:r>
        <w:br w:type="page"/>
      </w:r>
    </w:p>
    <w:p>
      <w:pPr>
        <w:pStyle w:val="Heading1"/>
        <w:spacing w:after="180" w:before="360"/>
      </w:pPr>
      <w:r>
        <w:rPr>
          <w:rFonts w:ascii="Arial" w:cs="Arial" w:eastAsia="Arial" w:hAnsi="Arial"/>
          <w:b/>
          <w:bCs/>
          <w:color w:val="0D2137"/>
          <w:sz w:val="34"/>
          <w:szCs w:val="34"/>
        </w:rPr>
        <w:t xml:space="preserve">4. The Solution — What Is Actually Built</w:t>
      </w:r>
    </w:p>
    <w:p>
      <w:pPr>
        <w:spacing w:after="80" w:before="80"/>
      </w:pPr>
      <w:r>
        <w:rPr>
          <w:rFonts w:ascii="Arial" w:cs="Arial" w:eastAsia="Arial" w:hAnsi="Arial"/>
          <w:color w:val="111111"/>
          <w:sz w:val="22"/>
          <w:szCs w:val="22"/>
        </w:rPr>
        <w:t xml:space="preserve">The following section describes the platform as it exists in the current production codebase — not as planned features. Every capability listed has real code behind it with no scaffolding stubs. The gap between current state and submission-ready is documented separately in Section 7.</w:t>
      </w:r>
    </w:p>
    <w:p>
      <w:pPr>
        <w:spacing w:after="60" w:before="60"/>
      </w:pPr>
      <w:r>
        <w:t xml:space="preserve"/>
      </w:r>
    </w:p>
    <w:p>
      <w:pPr>
        <w:pStyle w:val="Heading2"/>
        <w:spacing w:after="120" w:before="280"/>
      </w:pPr>
      <w:r>
        <w:rPr>
          <w:rFonts w:ascii="Arial" w:cs="Arial" w:eastAsia="Arial" w:hAnsi="Arial"/>
          <w:b/>
          <w:bCs/>
          <w:color w:val="1D6FA4"/>
          <w:sz w:val="26"/>
          <w:szCs w:val="26"/>
        </w:rPr>
        <w:t xml:space="preserve">4.1 Live API Surface (28 Routers, All with Real Handlers)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Route Group</w:t>
            </w:r>
          </w:p>
        </w:tc>
        <w:tc>
          <w:tcPr>
            <w:tcW w:type="dxa" w:w="28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Routes</w:t>
            </w:r>
          </w:p>
        </w:tc>
        <w:tc>
          <w:tcPr>
            <w:tcW w:type="dxa" w:w="40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Core agent operations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/api/tasks, /api/chat, /api/brain</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Task execution, conversational agent interface, vault read/write/search</w:t>
            </w:r>
          </w:p>
        </w:tc>
      </w:tr>
      <w:tr>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Multi-agent workforce</w:t>
            </w:r>
          </w:p>
        </w:tc>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/api/team, /api/teams, /api/handoff, /api/workforce</w:t>
            </w:r>
          </w:p>
        </w:tc>
        <w:tc>
          <w:tcPr>
            <w:tcW w:type="dxa" w:w="4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Multi-agent coordination, hybrid human+AI workforce, agent handoff between specialists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Department management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/api/departments, /api/personas, /api/skills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Department configuration, persona/role management, 141 skill playbook loading</w:t>
            </w:r>
          </w:p>
        </w:tc>
      </w:tr>
      <w:tr>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Knowledge and data</w:t>
            </w:r>
          </w:p>
        </w:tc>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/api/data-sources, /api/datasets, /api/knowledge-packs</w:t>
            </w:r>
          </w:p>
        </w:tc>
        <w:tc>
          <w:tcPr>
            <w:tcW w:type="dxa" w:w="4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ADRS pipeline, dataset management, sector knowledge pack ingestion and retrieval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External integrations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/api/integrations, /api/connectors, /api/external-agents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Integration management, connector registry, inbound orchestration API</w:t>
            </w:r>
          </w:p>
        </w:tc>
      </w:tr>
      <w:tr>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Communications</w:t>
            </w:r>
          </w:p>
        </w:tc>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/api/email, /api/omnisignal</w:t>
            </w:r>
          </w:p>
        </w:tc>
        <w:tc>
          <w:tcPr>
            <w:tcW w:type="dxa" w:w="4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Mailjet send/receive, social publish across platforms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Scheduling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/api/schedules, /api/calendar</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Cron job management, iCal integration, activity planning</w:t>
            </w:r>
          </w:p>
        </w:tc>
      </w:tr>
      <w:tr>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Payments</w:t>
            </w:r>
          </w:p>
        </w:tc>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/api/payments</w:t>
            </w:r>
          </w:p>
        </w:tc>
        <w:tc>
          <w:tcPr>
            <w:tcW w:type="dxa" w:w="4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Stripe (global) + Paynow Zimbabwe (local) — both live and tested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Governance and quality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/api/governance, /api/quality, /api/audit</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Policy governance (superadmin), quality checking, audit logging</w:t>
            </w:r>
          </w:p>
        </w:tc>
      </w:tr>
      <w:tr>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Platform management</w:t>
            </w:r>
          </w:p>
        </w:tc>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/api/models, /api/cost, /api/users, /api/auth, /api/onboarding</w:t>
            </w:r>
          </w:p>
        </w:tc>
        <w:tc>
          <w:tcPr>
            <w:tcW w:type="dxa" w:w="4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Model management, cost dashboard, user admin, authentication, onboarding flow</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Agent tooling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/api/skill-forge, /api/orchestrate, /api/executor, /api/primitives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Skill generation, mission orchestration, agent execution, primitive tool calls</w:t>
            </w:r>
          </w:p>
        </w:tc>
      </w:tr>
      <w:tr>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Utilities</w:t>
            </w:r>
          </w:p>
        </w:tc>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/api/uploads, /api/repos, /api/stt, /api/feedback, /api/exports, /api/templates</w:t>
            </w:r>
          </w:p>
        </w:tc>
        <w:tc>
          <w:tcPr>
            <w:tcW w:type="dxa" w:w="4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File uploads, GitHub repo management, speech-to-text, feedback, data export, templates</w:t>
            </w:r>
          </w:p>
        </w:tc>
      </w:tr>
    </w:tbl>
    <w:p>
      <w:pPr>
        <w:spacing w:after="60" w:before="60"/>
      </w:pPr>
      <w:r>
        <w:t xml:space="preserve"/>
      </w:r>
    </w:p>
    <w:p>
      <w:pPr>
        <w:pStyle w:val="Heading2"/>
        <w:spacing w:after="120" w:before="280"/>
      </w:pPr>
      <w:r>
        <w:rPr>
          <w:rFonts w:ascii="Arial" w:cs="Arial" w:eastAsia="Arial" w:hAnsi="Arial"/>
          <w:b/>
          <w:bCs/>
          <w:color w:val="1D6FA4"/>
          <w:sz w:val="26"/>
          <w:szCs w:val="26"/>
        </w:rPr>
        <w:t xml:space="preserve">4.2 Agent Primitives (~90 Live Tool Calls)</w:t>
      </w:r>
    </w:p>
    <w:p>
      <w:pPr>
        <w:spacing w:after="80" w:before="80"/>
      </w:pPr>
      <w:r>
        <w:rPr>
          <w:rFonts w:ascii="Arial" w:cs="Arial" w:eastAsia="Arial" w:hAnsi="Arial"/>
          <w:color w:val="111111"/>
          <w:sz w:val="22"/>
          <w:szCs w:val="22"/>
        </w:rPr>
        <w:t xml:space="preserve">These are the tools digital workers call through HERMES. Every primitive listed is implemented with real handlers — not planned.</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Namespace</w:t>
            </w:r>
          </w:p>
        </w:tc>
        <w:tc>
          <w:tcPr>
            <w:tcW w:type="dxa" w:w="42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Primitives</w:t>
            </w:r>
          </w:p>
        </w:tc>
        <w:tc>
          <w:tcPr>
            <w:tcW w:type="dxa" w:w="30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vault.*</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search, read, list, write, edit, append, create_zettel, find_by_tag, scan_docs, write_pdf</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w:t>
            </w:r>
          </w:p>
        </w:tc>
      </w:tr>
      <w:tr>
        <w:tc>
          <w:tcPr>
            <w:tcW w:type="dxa" w:w="1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filesystem.*</w:t>
            </w:r>
          </w:p>
        </w:tc>
        <w:tc>
          <w:tcPr>
            <w:tcW w:type="dxa" w:w="4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list_external, read_external, find_in, extract_zip, import_to_vault (all through assertSafeExternalPath)</w:t>
            </w:r>
          </w:p>
        </w:tc>
        <w:tc>
          <w:tcPr>
            <w:tcW w:type="dxa" w:w="3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web.*</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fetch, scrape, interact, firecrawl, search (3-tier: fetch → Playwright → Firecrawl)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(Firecrawl dormant — key not set)</w:t>
            </w:r>
          </w:p>
        </w:tc>
      </w:tr>
      <w:tr>
        <w:tc>
          <w:tcPr>
            <w:tcW w:type="dxa" w:w="1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github.*</w:t>
            </w:r>
          </w:p>
        </w:tc>
        <w:tc>
          <w:tcPr>
            <w:tcW w:type="dxa" w:w="4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list_repos, read_repo, list_branches, get_file, create_issue, comment, update, request_review, list_issues</w:t>
            </w:r>
          </w:p>
        </w:tc>
        <w:tc>
          <w:tcPr>
            <w:tcW w:type="dxa" w:w="3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(Octokit)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db.*</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list_sources, list_tables, describe_table, query, write, schema</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w:t>
            </w:r>
          </w:p>
        </w:tc>
      </w:tr>
      <w:tr>
        <w:tc>
          <w:tcPr>
            <w:tcW w:type="dxa" w:w="1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research.*</w:t>
            </w:r>
          </w:p>
        </w:tc>
        <w:tc>
          <w:tcPr>
            <w:tcW w:type="dxa" w:w="4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research.deep, research.multiperspective</w:t>
            </w:r>
          </w:p>
        </w:tc>
        <w:tc>
          <w:tcPr>
            <w:tcW w:type="dxa" w:w="3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comms.*</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email.send (multi-recipient + attachments via Mailjet), slack.post, telegram.post, discord.post, msteams.post, googlechat.post, webhook.post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(Mailjet); others wired, env-gated</w:t>
            </w:r>
          </w:p>
        </w:tc>
      </w:tr>
      <w:tr>
        <w:tc>
          <w:tcPr>
            <w:tcW w:type="dxa" w:w="1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payments.*</w:t>
            </w:r>
          </w:p>
        </w:tc>
        <w:tc>
          <w:tcPr>
            <w:tcW w:type="dxa" w:w="4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payment.link (Stripe), payment.paynow_link, payment.paynow_poll, payment.status, payment.list (Paynow Zimbabwe)</w:t>
            </w:r>
          </w:p>
        </w:tc>
        <w:tc>
          <w:tcPr>
            <w:tcW w:type="dxa" w:w="3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Both live and tested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media.*</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media.tts, media.video, media.music, media.avatar_video, media.avatars, media.voices (MiniMax + HeyGen)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Dormant — API keys not set</w:t>
            </w:r>
          </w:p>
        </w:tc>
      </w:tr>
      <w:tr>
        <w:tc>
          <w:tcPr>
            <w:tcW w:type="dxa" w:w="1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org.*</w:t>
            </w:r>
          </w:p>
        </w:tc>
        <w:tc>
          <w:tcPr>
            <w:tcW w:type="dxa" w:w="4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org.lookup, org.escalation_path, org.peers, org.reports, users.list, users.lookup, human.request (HITL pause/resume)</w:t>
            </w:r>
          </w:p>
        </w:tc>
        <w:tc>
          <w:tcPr>
            <w:tcW w:type="dxa" w:w="3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quality.*</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quality.check, security.scan, peer.review, peer.delegate, hermes.delegate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w:t>
            </w:r>
          </w:p>
        </w:tc>
      </w:tr>
      <w:tr>
        <w:tc>
          <w:tcPr>
            <w:tcW w:type="dxa" w:w="1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knowledge.*</w:t>
            </w:r>
          </w:p>
        </w:tc>
        <w:tc>
          <w:tcPr>
            <w:tcW w:type="dxa" w:w="4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knowledge.graph_query (graphify CLI), data.publish, data.list_datasets, company.department_data</w:t>
            </w:r>
          </w:p>
        </w:tc>
        <w:tc>
          <w:tcPr>
            <w:tcW w:type="dxa" w:w="3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memory.*</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memory.note, memory.recall, memory.search, calendar.activity, calendar.plan_day, calendar.read_today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w:t>
            </w:r>
          </w:p>
        </w:tc>
      </w:tr>
      <w:tr>
        <w:tc>
          <w:tcPr>
            <w:tcW w:type="dxa" w:w="1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skills.*</w:t>
            </w:r>
          </w:p>
        </w:tc>
        <w:tc>
          <w:tcPr>
            <w:tcW w:type="dxa" w:w="4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skill.list, skill.load, skill.suggest, skill.draft, skill.fetch_remote</w:t>
            </w:r>
          </w:p>
        </w:tc>
        <w:tc>
          <w:tcPr>
            <w:tcW w:type="dxa" w:w="3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misc.*</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code.exec, doc.ocr, connector.list/describe/call, clock.now, inbox.read_unread, orchestration.plan, integration.list, browser.harness_exec</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(browser.harness_exec gated)</w:t>
            </w:r>
          </w:p>
        </w:tc>
      </w:tr>
    </w:tbl>
    <w:p>
      <w:pPr>
        <w:spacing w:after="60" w:before="60"/>
      </w:pPr>
      <w:r>
        <w:t xml:space="preserve"/>
      </w:r>
    </w:p>
    <w:p>
      <w:pPr>
        <w:pStyle w:val="Heading2"/>
        <w:spacing w:after="120" w:before="280"/>
      </w:pPr>
      <w:r>
        <w:rPr>
          <w:rFonts w:ascii="Arial" w:cs="Arial" w:eastAsia="Arial" w:hAnsi="Arial"/>
          <w:b/>
          <w:bCs/>
          <w:color w:val="1D6FA4"/>
          <w:sz w:val="26"/>
          <w:szCs w:val="26"/>
        </w:rPr>
        <w:t xml:space="preserve">4.3 Skill Playbooks — 141 Department Playbooks</w:t>
      </w:r>
    </w:p>
    <w:p>
      <w:pPr>
        <w:spacing w:after="80" w:before="80"/>
      </w:pPr>
      <w:r>
        <w:rPr>
          <w:rFonts w:ascii="Arial" w:cs="Arial" w:eastAsia="Arial" w:hAnsi="Arial"/>
          <w:color w:val="111111"/>
          <w:sz w:val="22"/>
          <w:szCs w:val="22"/>
        </w:rPr>
        <w:t xml:space="preserve">141 .md skill playbooks cover every major organisational department. Each playbook is a structured agent persona — role definition, task scope, output format, quality criteria. Playbooks are loaded via SKILL_KEYWORDS regex matching — verified no orphans in last audit.</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Department Coverage</w:t>
            </w:r>
          </w:p>
        </w:tc>
        <w:tc>
          <w:tcPr>
            <w:tcW w:type="dxa" w:w="62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Example Skills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Engineering</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BRD, RFP, user stories, RAID log, technical spec, architecture review, code review, PR management</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Finance</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Reconciliation, management accounts, budget analysis, donor financial reporting, expense review</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Sales and business development</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Proposal writing, pipeline management, customer research, competitive analysis</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HR and people</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Job description writing, interview guides, onboarding documentation, performance review frameworks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Operations</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SOP writing, process mapping, project status reporting, risk register</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Communications and marketing</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Content strategy, social media planning, press releases, crisis communications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Support and customer service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Ticket classification, response drafting, escalation routing, FAQ generation</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Design</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Design brief, user research synthesis, usability report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Legal and compliance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Contract review checklist, regulatory mapping, compliance report drafting</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Grant writing and fundraising</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Opportunity research, proposal drafting, donor reporting, impact narrative</w:t>
            </w:r>
          </w:p>
        </w:tc>
      </w:tr>
    </w:tbl>
    <w:p>
      <w:pPr>
        <w:spacing w:after="60" w:before="60"/>
      </w:pPr>
      <w:r>
        <w:t xml:space="preserve"/>
      </w:r>
    </w:p>
    <w:p>
      <w:pPr>
        <w:pStyle w:val="Heading2"/>
        <w:spacing w:after="120" w:before="280"/>
      </w:pPr>
      <w:r>
        <w:rPr>
          <w:rFonts w:ascii="Arial" w:cs="Arial" w:eastAsia="Arial" w:hAnsi="Arial"/>
          <w:b/>
          <w:bCs/>
          <w:color w:val="1D6FA4"/>
          <w:sz w:val="26"/>
          <w:szCs w:val="26"/>
        </w:rPr>
        <w:t xml:space="preserve">4.4 Integration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00"/>
      </w:tblGrid>
      <w:tr>
        <w:tc>
          <w:tcPr>
            <w:tcW w:type="dxa" w:w="24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Integration</w:t>
            </w:r>
          </w:p>
        </w:tc>
        <w:tc>
          <w:tcPr>
            <w:tcW w:type="dxa" w:w="14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52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Ollama (local inference)</w:t>
            </w:r>
          </w:p>
        </w:tc>
        <w:tc>
          <w:tcPr>
            <w:tcW w:type="dxa" w:w="14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Live</w:t>
            </w:r>
          </w:p>
        </w:tc>
        <w:tc>
          <w:tcPr>
            <w:tcW w:type="dxa" w:w="5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Always-on local LLM — planning, synthesis, extraction profiles. Primary path. No data leaves organisation.</w:t>
            </w:r>
          </w:p>
        </w:tc>
      </w:tr>
      <w:tr>
        <w:tc>
          <w:tcPr>
            <w:tcW w:type="dxa" w:w="2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OpenRouter (paid cloud)</w:t>
            </w:r>
          </w:p>
        </w:tc>
        <w:tc>
          <w:tcPr>
            <w:tcW w:type="dxa" w:w="14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Live</w:t>
            </w:r>
          </w:p>
        </w:tc>
        <w:tc>
          <w:tcPr>
            <w:tcW w:type="dxa" w:w="5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Circuit-breaker + billing-exhaustion fallback to Ollama. Claude/Anthropic (Fable 5 + Sonnet 5/Haiku 4.5) cost-tiered.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GitHub (Octokit)</w:t>
            </w:r>
          </w:p>
        </w:tc>
        <w:tc>
          <w:tcPr>
            <w:tcW w:type="dxa" w:w="14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Live</w:t>
            </w:r>
          </w:p>
        </w:tc>
        <w:tc>
          <w:tcPr>
            <w:tcW w:type="dxa" w:w="5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Vault sync, issue creation, PR review requests, repo read — full read+write live</w:t>
            </w:r>
          </w:p>
        </w:tc>
      </w:tr>
      <w:tr>
        <w:tc>
          <w:tcPr>
            <w:tcW w:type="dxa" w:w="2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Mailjet</w:t>
            </w:r>
          </w:p>
        </w:tc>
        <w:tc>
          <w:tcPr>
            <w:tcW w:type="dxa" w:w="14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Live</w:t>
            </w:r>
          </w:p>
        </w:tc>
        <w:tc>
          <w:tcPr>
            <w:tcW w:type="dxa" w:w="5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Sole sanctioned outbound email path. Real attachments + multi-recipient. Live and tested.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Paynow Zimbabwe</w:t>
            </w:r>
          </w:p>
        </w:tc>
        <w:tc>
          <w:tcPr>
            <w:tcW w:type="dxa" w:w="14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Live</w:t>
            </w:r>
          </w:p>
        </w:tc>
        <w:tc>
          <w:tcPr>
            <w:tcW w:type="dxa" w:w="5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payment.paynow_link + payment.paynow_poll live. Zimbabwe-specific local payment rail.</w:t>
            </w:r>
          </w:p>
        </w:tc>
      </w:tr>
      <w:tr>
        <w:tc>
          <w:tcPr>
            <w:tcW w:type="dxa" w:w="2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Stripe</w:t>
            </w:r>
          </w:p>
        </w:tc>
        <w:tc>
          <w:tcPr>
            <w:tcW w:type="dxa" w:w="14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Live</w:t>
            </w:r>
          </w:p>
        </w:tc>
        <w:tc>
          <w:tcPr>
            <w:tcW w:type="dxa" w:w="5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payment.link, payment.status, payment.list, webhook with raw-body verification live.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Finance System push ingest</w:t>
            </w:r>
          </w:p>
        </w:tc>
        <w:tc>
          <w:tcPr>
            <w:tcW w:type="dxa" w:w="14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Live</w:t>
            </w:r>
          </w:p>
        </w:tc>
        <w:tc>
          <w:tcPr>
            <w:tcW w:type="dxa" w:w="5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/api/public — live-tested 200 response.</w:t>
            </w:r>
          </w:p>
        </w:tc>
      </w:tr>
      <w:tr>
        <w:tc>
          <w:tcPr>
            <w:tcW w:type="dxa" w:w="2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graphify, browser-harness, caveman</w:t>
            </w:r>
          </w:p>
        </w:tc>
        <w:tc>
          <w:tcPr>
            <w:tcW w:type="dxa" w:w="14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Live</w:t>
            </w:r>
          </w:p>
        </w:tc>
        <w:tc>
          <w:tcPr>
            <w:tcW w:type="dxa" w:w="5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CLI-shell-out primitives shipped in repo.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Shona/Ndebele chat support</w:t>
            </w:r>
          </w:p>
        </w:tc>
        <w:tc>
          <w:tcPr>
            <w:tcW w:type="dxa" w:w="14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Live</w:t>
            </w:r>
          </w:p>
        </w:tc>
        <w:tc>
          <w:tcPr>
            <w:tcW w:type="dxa" w:w="5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Glossary-based — no external API. Live in chat interface.</w:t>
            </w:r>
          </w:p>
        </w:tc>
      </w:tr>
      <w:tr>
        <w:tc>
          <w:tcPr>
            <w:tcW w:type="dxa" w:w="2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MiniMax (LLM+TTS+video+music)</w:t>
            </w:r>
          </w:p>
        </w:tc>
        <w:tc>
          <w:tcPr>
            <w:tcW w:type="dxa" w:w="1400"/>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tcPr>
          <w:p>
            <w:r>
              <w:rPr>
                <w:rFonts w:ascii="Arial" w:cs="Arial" w:eastAsia="Arial" w:hAnsi="Arial"/>
                <w:b/>
                <w:bCs/>
                <w:color w:val="111111"/>
                <w:sz w:val="18"/>
                <w:szCs w:val="18"/>
              </w:rPr>
              <w:t xml:space="preserve">Dormant</w:t>
            </w:r>
          </w:p>
        </w:tc>
        <w:tc>
          <w:tcPr>
            <w:tcW w:type="dxa" w:w="5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MINIMAX_API_KEY not set. Code complete. One env var from live.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HeyGen (avatar video)</w:t>
            </w:r>
          </w:p>
        </w:tc>
        <w:tc>
          <w:tcPr>
            <w:tcW w:type="dxa" w:w="1400"/>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tcPr>
          <w:p>
            <w:r>
              <w:rPr>
                <w:rFonts w:ascii="Arial" w:cs="Arial" w:eastAsia="Arial" w:hAnsi="Arial"/>
                <w:b/>
                <w:bCs/>
                <w:color w:val="111111"/>
                <w:sz w:val="18"/>
                <w:szCs w:val="18"/>
              </w:rPr>
              <w:t xml:space="preserve">Dormant</w:t>
            </w:r>
          </w:p>
        </w:tc>
        <w:tc>
          <w:tcPr>
            <w:tcW w:type="dxa" w:w="5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HEYGEN_API_KEY not set. Code complete. One env var from live.</w:t>
            </w:r>
          </w:p>
        </w:tc>
      </w:tr>
      <w:tr>
        <w:tc>
          <w:tcPr>
            <w:tcW w:type="dxa" w:w="2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Firecrawl (3rd-tier scrape)</w:t>
            </w:r>
          </w:p>
        </w:tc>
        <w:tc>
          <w:tcPr>
            <w:tcW w:type="dxa" w:w="1400"/>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tcPr>
          <w:p>
            <w:r>
              <w:rPr>
                <w:rFonts w:ascii="Arial" w:cs="Arial" w:eastAsia="Arial" w:hAnsi="Arial"/>
                <w:b/>
                <w:bCs/>
                <w:color w:val="111111"/>
                <w:sz w:val="18"/>
                <w:szCs w:val="18"/>
              </w:rPr>
              <w:t xml:space="preserve">Dormant</w:t>
            </w:r>
          </w:p>
        </w:tc>
        <w:tc>
          <w:tcPr>
            <w:tcW w:type="dxa" w:w="5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FIRECRAWL_API_KEY not set. Silently skipped in fallback chain.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Brave tab-read (CDP)</w:t>
            </w:r>
          </w:p>
        </w:tc>
        <w:tc>
          <w:tcPr>
            <w:tcW w:type="dxa" w:w="1400"/>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tcPr>
          <w:p>
            <w:r>
              <w:rPr>
                <w:rFonts w:ascii="Arial" w:cs="Arial" w:eastAsia="Arial" w:hAnsi="Arial"/>
                <w:b/>
                <w:bCs/>
                <w:color w:val="111111"/>
                <w:sz w:val="18"/>
                <w:szCs w:val="18"/>
              </w:rPr>
              <w:t xml:space="preserve">Dormant</w:t>
            </w:r>
          </w:p>
        </w:tc>
        <w:tc>
          <w:tcPr>
            <w:tcW w:type="dxa" w:w="5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Needs manual --remote-debugging-port=9222 Chrome launch flag.</w:t>
            </w:r>
          </w:p>
        </w:tc>
      </w:tr>
      <w:tr>
        <w:tc>
          <w:tcPr>
            <w:tcW w:type="dxa" w:w="2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browser-harness</w:t>
            </w:r>
          </w:p>
        </w:tc>
        <w:tc>
          <w:tcPr>
            <w:tcW w:type="dxa" w:w="1400"/>
            <w:tcBorders>
              <w:top w:val="single" w:color="CCCCCC" w:sz="1"/>
              <w:left w:val="single" w:color="CCCCCC" w:sz="1"/>
              <w:bottom w:val="single" w:color="CCCCCC" w:sz="1"/>
              <w:right w:val="single" w:color="CCCCCC" w:sz="1"/>
            </w:tcBorders>
            <w:shd w:fill="FFF2CC" w:val="clear"/>
            <w:tcMar>
              <w:top w:type="dxa" w:w="90"/>
              <w:left w:type="dxa" w:w="130"/>
              <w:bottom w:type="dxa" w:w="90"/>
              <w:right w:type="dxa" w:w="130"/>
            </w:tcMar>
          </w:tcPr>
          <w:p>
            <w:r>
              <w:rPr>
                <w:rFonts w:ascii="Arial" w:cs="Arial" w:eastAsia="Arial" w:hAnsi="Arial"/>
                <w:b/>
                <w:bCs/>
                <w:color w:val="111111"/>
                <w:sz w:val="18"/>
                <w:szCs w:val="18"/>
              </w:rPr>
              <w:t xml:space="preserve">Dormant</w:t>
            </w:r>
          </w:p>
        </w:tc>
        <w:tc>
          <w:tcPr>
            <w:tcW w:type="dxa" w:w="5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Needs one manual chrome://inspect click — never completed.</w:t>
            </w:r>
          </w:p>
        </w:tc>
      </w:tr>
    </w:tbl>
    <w:p>
      <w:r>
        <w:br w:type="page"/>
      </w:r>
    </w:p>
    <w:p>
      <w:pPr>
        <w:pStyle w:val="Heading1"/>
        <w:spacing w:after="180" w:before="360"/>
      </w:pPr>
      <w:r>
        <w:rPr>
          <w:rFonts w:ascii="Arial" w:cs="Arial" w:eastAsia="Arial" w:hAnsi="Arial"/>
          <w:b/>
          <w:bCs/>
          <w:color w:val="0D2137"/>
          <w:sz w:val="34"/>
          <w:szCs w:val="34"/>
        </w:rPr>
        <w:t xml:space="preserve">5. Deployable Digital Departments</w:t>
      </w:r>
    </w:p>
    <w:p>
      <w:pPr>
        <w:spacing w:after="80" w:before="80"/>
      </w:pPr>
      <w:r>
        <w:rPr>
          <w:rFonts w:ascii="Arial" w:cs="Arial" w:eastAsia="Arial" w:hAnsi="Arial"/>
          <w:color w:val="111111"/>
          <w:sz w:val="22"/>
          <w:szCs w:val="22"/>
        </w:rPr>
        <w:t xml:space="preserve">Based on the 141 live skill playbooks and ~90 agent primitives, the following departments are deployable today or with minimal configuration. Each department is a coordinated team of digital workers, each with a defined role, tool access, and policy constraint context.</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400"/>
        <w:gridCol w:w="1400"/>
      </w:tblGrid>
      <w:tr>
        <w:tc>
          <w:tcPr>
            <w:tcW w:type="dxa" w:w="18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Department</w:t>
            </w:r>
          </w:p>
        </w:tc>
        <w:tc>
          <w:tcPr>
            <w:tcW w:type="dxa" w:w="22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Digital Workers</w:t>
            </w:r>
          </w:p>
        </w:tc>
        <w:tc>
          <w:tcPr>
            <w:tcW w:type="dxa" w:w="22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Connects To</w:t>
            </w:r>
          </w:p>
        </w:tc>
        <w:tc>
          <w:tcPr>
            <w:tcW w:type="dxa" w:w="24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Policy Guardrails</w:t>
            </w:r>
          </w:p>
        </w:tc>
        <w:tc>
          <w:tcPr>
            <w:tcW w:type="dxa" w:w="14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Communications &amp; Marketing (Digital Force)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Strategist, Writer, Designer, Publisher, Monitor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Social APIs, media library, CRM, Mailjet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Brand guidelines, content policy, approval hierarchy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Prototype live</w:t>
            </w:r>
          </w:p>
        </w:tc>
      </w:tr>
      <w:tr>
        <w:tc>
          <w:tcPr>
            <w:tcW w:type="dxa" w:w="1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Research &amp; Intelligence</w:t>
            </w:r>
          </w:p>
        </w:tc>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Researcher, Analyst, Synthesiser, Reporter</w:t>
            </w:r>
          </w:p>
        </w:tc>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Vault, web, DB, document stores</w:t>
            </w:r>
          </w:p>
        </w:tc>
        <w:tc>
          <w:tcPr>
            <w:tcW w:type="dxa" w:w="2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Data classification, citation standards, confidentiality</w:t>
            </w:r>
          </w:p>
        </w:tc>
        <w:tc>
          <w:tcPr>
            <w:tcW w:type="dxa" w:w="1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Primitives live — template needed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Finance &amp; Reporting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Data Reader, Analyst, Report Writer, Compliance Checker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DB (accounting, ERP, payroll), Paynow, Stripe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Financial policy, audit rules, approval thresholds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Primitives live — template needed</w:t>
            </w:r>
          </w:p>
        </w:tc>
      </w:tr>
      <w:tr>
        <w:tc>
          <w:tcPr>
            <w:tcW w:type="dxa" w:w="1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Customer Service</w:t>
            </w:r>
          </w:p>
        </w:tc>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Intake, Classifier, Responder, Escalation, Logger</w:t>
            </w:r>
          </w:p>
        </w:tc>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CRM, ticketing, knowledge base, Mailjet</w:t>
            </w:r>
          </w:p>
        </w:tc>
        <w:tc>
          <w:tcPr>
            <w:tcW w:type="dxa" w:w="2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Response policy, escalation matrix, SLA</w:t>
            </w:r>
          </w:p>
        </w:tc>
        <w:tc>
          <w:tcPr>
            <w:tcW w:type="dxa" w:w="1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Primitives live — template needed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Grant Writing &amp; Fundraising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Opportunity Researcher, Proposal Writer, Reviewer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Vault, project DB, donor CRM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Organisational mandate, donor compliance, budget policy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Playbooks live — orchestration needed</w:t>
            </w:r>
          </w:p>
        </w:tc>
      </w:tr>
      <w:tr>
        <w:tc>
          <w:tcPr>
            <w:tcW w:type="dxa" w:w="1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Compliance &amp; Governance</w:t>
            </w:r>
          </w:p>
        </w:tc>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Policy Monitor, Checker, Documenter, Alerter</w:t>
            </w:r>
          </w:p>
        </w:tc>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Regulatory DBs, policy store, vault</w:t>
            </w:r>
          </w:p>
        </w:tc>
        <w:tc>
          <w:tcPr>
            <w:tcW w:type="dxa" w:w="2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Regulatory framework, audit schedule</w:t>
            </w:r>
          </w:p>
        </w:tc>
        <w:tc>
          <w:tcPr>
            <w:tcW w:type="dxa" w:w="1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Primitives live — guardrail engine needed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HR &amp; Talent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Recruiter, Screener, Scheduler, Onboarder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HRIS, calendar, Mailjet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Recruitment policy, equal opportunity, DPA</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Playbooks live — orchestration needed</w:t>
            </w:r>
          </w:p>
        </w:tc>
      </w:tr>
      <w:tr>
        <w:tc>
          <w:tcPr>
            <w:tcW w:type="dxa" w:w="1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IT &amp; DevOps</w:t>
            </w:r>
          </w:p>
        </w:tc>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Code Reviewer, Issue Manager, Doc Writer, Release Notifier</w:t>
            </w:r>
          </w:p>
        </w:tc>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GitHub (Octokit), CI/CD, vault</w:t>
            </w:r>
          </w:p>
        </w:tc>
        <w:tc>
          <w:tcPr>
            <w:tcW w:type="dxa" w:w="2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Code review policy, security standards, release approval</w:t>
            </w:r>
          </w:p>
        </w:tc>
        <w:tc>
          <w:tcPr>
            <w:tcW w:type="dxa" w:w="1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Fully wired — most complete after Digital Force</w:t>
            </w:r>
          </w:p>
        </w:tc>
      </w:tr>
    </w:tbl>
    <w:p>
      <w:r>
        <w:br w:type="page"/>
      </w:r>
    </w:p>
    <w:p>
      <w:pPr>
        <w:pStyle w:val="Heading1"/>
        <w:spacing w:after="180" w:before="360"/>
      </w:pPr>
      <w:r>
        <w:rPr>
          <w:rFonts w:ascii="Arial" w:cs="Arial" w:eastAsia="Arial" w:hAnsi="Arial"/>
          <w:b/>
          <w:bCs/>
          <w:color w:val="0D2137"/>
          <w:sz w:val="34"/>
          <w:szCs w:val="34"/>
        </w:rPr>
        <w:t xml:space="preserve">6. Technical Architecture</w:t>
      </w:r>
    </w:p>
    <w:p>
      <w:pPr>
        <w:pStyle w:val="Heading2"/>
        <w:spacing w:after="120" w:before="280"/>
      </w:pPr>
      <w:r>
        <w:rPr>
          <w:rFonts w:ascii="Arial" w:cs="Arial" w:eastAsia="Arial" w:hAnsi="Arial"/>
          <w:b/>
          <w:bCs/>
          <w:color w:val="1D6FA4"/>
          <w:sz w:val="26"/>
          <w:szCs w:val="26"/>
        </w:rPr>
        <w:t xml:space="preserve">6.1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Backend</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Node.js / TypeScript, Express — 28 routers, lib/ (85 files of business logic), routes/ (46 files)</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Frontend</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Next.js 14 + React + TypeScript — 37 pages, components/, local-first at 127.0.0.1:7470 (server :7471)</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Agent orchestration</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LangGraph multi-agent via the EXECUTOR — multi-mode agent runner handling inter-agent communication, HITL gates, and action logging</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Primary inference</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Ollama (local, always-on) — planning/synthesis/extraction profiles. No data leaves organisation by default.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Cloud inference (opt-in)</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OpenRouter with circuit-breaker; Claude/Anthropic (Fable 5 + Sonnet 5 / Haiku 4.5) cost-tiered; billing-exhaustion fallback to Ollama</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Vector store / RAG</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Qdrant — organisation-isolated collections. HNSW indexing. Snapshot export for portability.</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Relational DB</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PostgreSQL — users, organisations, job definitions, audit logs, billing, connector configs. Alembic migrations.</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Cache / state</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Redis — agent working memory, session state, job queues. Ephemeral; persisted to PostgreSQL at mission completion.</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Secrets</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.neuroworks encrypted secrets store — all credentials stored encrypted, never logged, referenced by name in agent context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Executor profile</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Currently set to clawbot (.neuroworks/executor.json); Hermes parked — executor switchable by config</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Skill system</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141 .md playbooks loaded via SKILL_KEYWORDS regex matching. skill.list/load/suggest/draft/fetch_remote live.</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Payment rails</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Stripe (global) + Paynow Zimbabwe (local) — both live. Only platform with a Zimbabwean local payment rail.</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Local language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Shona and Ndebele — glossary-based chat support live. LLM prompt templates in development (Gap D01).</w:t>
            </w:r>
          </w:p>
        </w:tc>
      </w:tr>
    </w:tbl>
    <w:p>
      <w:pPr>
        <w:spacing w:after="60" w:before="60"/>
      </w:pPr>
      <w:r>
        <w:t xml:space="preserve"/>
      </w:r>
    </w:p>
    <w:p>
      <w:pPr>
        <w:pStyle w:val="Heading2"/>
        <w:spacing w:after="120" w:before="280"/>
      </w:pPr>
      <w:r>
        <w:rPr>
          <w:rFonts w:ascii="Arial" w:cs="Arial" w:eastAsia="Arial" w:hAnsi="Arial"/>
          <w:b/>
          <w:bCs/>
          <w:color w:val="1D6FA4"/>
          <w:sz w:val="26"/>
          <w:szCs w:val="26"/>
        </w:rPr>
        <w:t xml:space="preserve">6.2 Data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Vault (main-brain)</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Local git repository. Schema: _clawbot/ (pipeline output), 2-Permanent/ (curated knowledge), _sessions/ (session audit logs), _context/ (domain context), _policy/ (policy documents). Version-controlled via git. Never pushed to external cloud by default.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Connected databases</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Live db.* primitives: list_sources, list_tables, describe_table, query, write, schema. Supports PostgreSQL, MySQL, SQLite, Excel/CSV. Write operations require HITL approval.</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Knowledge packs</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/api/knowledge-packs route live. ADRS pipeline for ingestion. Sector packs to be curated (Gap D02).</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Portability</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Vault: standard markdown. Qdrant: snapshot export. PostgreSQL: standard pg_dump. All data exportable without proprietary tooling.</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Production path</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Local mode: 127.0.0.1:7470/7471. Production: cloud object storage (S3-compatible) for vault sync, managed Qdrant/PostgreSQL, Redis cluster. Configuration-only change — no code changes required.</w:t>
            </w:r>
          </w:p>
        </w:tc>
      </w:tr>
    </w:tbl>
    <w:p>
      <w:r>
        <w:br w:type="page"/>
      </w:r>
    </w:p>
    <w:p>
      <w:pPr>
        <w:pStyle w:val="Heading1"/>
        <w:spacing w:after="180" w:before="360"/>
      </w:pPr>
      <w:r>
        <w:rPr>
          <w:rFonts w:ascii="Arial" w:cs="Arial" w:eastAsia="Arial" w:hAnsi="Arial"/>
          <w:b/>
          <w:bCs/>
          <w:color w:val="0D2137"/>
          <w:sz w:val="34"/>
          <w:szCs w:val="34"/>
        </w:rPr>
        <w:t xml:space="preserve">7. Remaining Gaps — What the Grant Funds</w:t>
      </w:r>
    </w:p>
    <w:p>
      <w:pPr>
        <w:spacing w:after="80" w:before="80"/>
      </w:pPr>
      <w:r>
        <w:rPr>
          <w:rFonts w:ascii="Arial" w:cs="Arial" w:eastAsia="Arial" w:hAnsi="Arial"/>
          <w:color w:val="111111"/>
          <w:sz w:val="22"/>
          <w:szCs w:val="22"/>
        </w:rPr>
        <w:t xml:space="preserve">The platform is substantially built. The following four gaps are what stand between the current prototype and a submission-ready, adjudication-scoring product. These are the specific items the AI Grand Challenge grant will fund.</w:t>
      </w:r>
    </w:p>
    <w:p>
      <w:pPr>
        <w:spacing w:after="60" w:before="60"/>
      </w:pPr>
      <w:r>
        <w:t xml:space="preserve"/>
      </w:r>
    </w:p>
    <w:p>
      <w:pPr>
        <w:pBdr>
          <w:left w:val="single" w:color="E6A800" w:sz="16" w:space="4"/>
        </w:pBdr>
        <w:shd w:fill="FFF2CC" w:val="clear"/>
        <w:spacing w:after="140" w:before="140"/>
        <w:ind w:left="360" w:right="360"/>
      </w:pPr>
      <w:r>
        <w:rPr>
          <w:rFonts w:ascii="Arial" w:cs="Arial" w:eastAsia="Arial" w:hAnsi="Arial"/>
          <w:b/>
          <w:bCs/>
          <w:i/>
          <w:iCs/>
          <w:color w:val="0D2137"/>
          <w:sz w:val="22"/>
          <w:szCs w:val="22"/>
        </w:rPr>
        <w:t xml:space="preserve">All ~90 agent primitives, 28 API routes, 141 skill playbooks, and core integrations are already implemented. The remaining gaps are configuration, content, and one new engine — not foundational architecture.</w:t>
      </w:r>
    </w:p>
    <w:p>
      <w:pPr>
        <w:spacing w:after="60" w:before="60"/>
      </w:pPr>
      <w:r>
        <w:t xml:space="preserve"/>
      </w:r>
    </w:p>
    <w:p>
      <w:pPr>
        <w:pStyle w:val="Heading2"/>
        <w:spacing w:after="120" w:before="280"/>
      </w:pPr>
      <w:r>
        <w:rPr>
          <w:rFonts w:ascii="Arial" w:cs="Arial" w:eastAsia="Arial" w:hAnsi="Arial"/>
          <w:b/>
          <w:bCs/>
          <w:color w:val="1D6FA4"/>
          <w:sz w:val="26"/>
          <w:szCs w:val="26"/>
        </w:rPr>
        <w:t xml:space="preserve">Gap 1 — Zimbabwe Demand Framing Embedded in the Product (Stream B, Weeks 1–3)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Current state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The platform works but presents as a generic multi-agent system. The onboarding route (/api/onboarding) exists. Shona/Ndebele glossary support is live. Sector selection and local framing are not yet in the UI flow.</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What is needed</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1. Sector selection at onboarding: Tourism &amp; Hospitality, Agriculture, NGO &amp; Civil Society, Health, Government, IT &amp; Tech, Informal Trade &amp; SME Retail, Custom. 2. Language selection: English, Shona, Ndebele — wired to existing i18n foundation. 3. Personalised dashboard: sector determines featured department templates, active knowledge packs, suggested connections. 4. Zimbabwe Context status panel in Mission Control: active sector pack, active policy documents, connected systems, compute mode (local/cloud), DPA compliance indicator.</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Why this matters for adjudication</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Demand framing is the first adjudication filter. The framing must exist inside the product — not only in submission documents.</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Effort</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Stream B — 1 to 3 weeks. Builds on existing onboarding route and Shona/Ndebele foundation.</w:t>
            </w:r>
          </w:p>
        </w:tc>
      </w:tr>
    </w:tbl>
    <w:p>
      <w:pPr>
        <w:spacing w:after="60" w:before="60"/>
      </w:pPr>
      <w:r>
        <w:t xml:space="preserve"/>
      </w:r>
    </w:p>
    <w:p>
      <w:pPr>
        <w:pStyle w:val="Heading2"/>
        <w:spacing w:after="120" w:before="280"/>
      </w:pPr>
      <w:r>
        <w:rPr>
          <w:rFonts w:ascii="Arial" w:cs="Arial" w:eastAsia="Arial" w:hAnsi="Arial"/>
          <w:b/>
          <w:bCs/>
          <w:color w:val="1D6FA4"/>
          <w:sz w:val="26"/>
          <w:szCs w:val="26"/>
        </w:rPr>
        <w:t xml:space="preserve">Gap 2 — LLM-Based Policy Guardrail Extraction Engine (Stream C, Weeks 3–4)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Current state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/api/governance exists (superadmin). quality.check and security.scan primitives exist. The extraction engine that turns uploaded policy documents into enforced agent constraints does not yet exist.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What is needed</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1. Policy ingestion pipeline: operator uploads PDF/Word/text. LLM (Ollama locally) processes document into structured constraint set: what agents may do, may not do, must do, what data they may expose. 2. Constraint review UI: extracted constraints displayed for operator review, annotation, and confirmation before activation. Hard vs soft constraint marking. 3. Constraint injection: active constraints injected into agent system prompts. 4. HITL gate constraint check: proposed action checked against active constraints before presenting for approval. 5. Policy Management page: upload, version, activate/deactivate, view constraints, resolve conflicts.</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Why this matters for adjudication</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Policy-governed agent behaviour is the decisive differentiator for institutional and government customers. It is also the evidence of responsible AI deployment required for a strong Track 3 score.</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Effort</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Stream C — 2 weeks. Most complex of the four gaps. Uses existing Ollama integration and /api/governance route as foundation.</w:t>
            </w:r>
          </w:p>
        </w:tc>
      </w:tr>
    </w:tbl>
    <w:p>
      <w:pPr>
        <w:spacing w:after="60" w:before="60"/>
      </w:pPr>
      <w:r>
        <w:t xml:space="preserve"/>
      </w:r>
    </w:p>
    <w:p>
      <w:pPr>
        <w:pStyle w:val="Heading2"/>
        <w:spacing w:after="120" w:before="280"/>
      </w:pPr>
      <w:r>
        <w:rPr>
          <w:rFonts w:ascii="Arial" w:cs="Arial" w:eastAsia="Arial" w:hAnsi="Arial"/>
          <w:b/>
          <w:bCs/>
          <w:color w:val="1D6FA4"/>
          <w:sz w:val="26"/>
          <w:szCs w:val="26"/>
        </w:rPr>
        <w:t xml:space="preserve">Gap 3 — Shona/Ndebele LLM Prompt Templates (Stream D, Weeks 5–6)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Current state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Shona and Ndebele glossary-based chat support is live. No LLM prompt templates exist for local-language agent content generation. Agents generate English output only.</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What is needed</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1. Language parameter in all department agent system prompts — Writer, Responder, Summariser, Report Writer agents generate in Shona or Ndebele when language is set. 2. Language toggle in department configuration and mission brief UI. 3. Shona and Ndebele prompt template libraries for Communications, Customer Service, and Grant Writing departments. 4. Quality flag mechanism in Mission Control for operators to flag local-language outputs for improvement. 5. Native speaker review process defined and documented.</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Why this matters for adjudication</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NeuroWorks is the only AI workforce platform that works in Shona and Ndebele. This is a unique, un-replicable market differentiator that adjudicators will recognise immediately.</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Effort</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Stream D — 2 weeks. Builds on existing Shona/Ndebele glossary foundation and existing LLM inference pipeline.</w:t>
            </w:r>
          </w:p>
        </w:tc>
      </w:tr>
    </w:tbl>
    <w:p>
      <w:pPr>
        <w:spacing w:after="60" w:before="60"/>
      </w:pPr>
      <w:r>
        <w:t xml:space="preserve"/>
      </w:r>
    </w:p>
    <w:p>
      <w:pPr>
        <w:pStyle w:val="Heading2"/>
        <w:spacing w:after="120" w:before="280"/>
      </w:pPr>
      <w:r>
        <w:rPr>
          <w:rFonts w:ascii="Arial" w:cs="Arial" w:eastAsia="Arial" w:hAnsi="Arial"/>
          <w:b/>
          <w:bCs/>
          <w:color w:val="1D6FA4"/>
          <w:sz w:val="26"/>
          <w:szCs w:val="26"/>
        </w:rPr>
        <w:t xml:space="preserve">Gap 4 — Zimbabwe Sector Knowledge Packs (Stream D, Weeks 5–6)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Current state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/api/knowledge-packs route is live. ADRS ingestion pipeline exists. No pre-loaded Zimbabwean sector knowledge exists — agents operate on generic knowledge without local grounding.</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What is needed</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1. Curated baseline knowledge packs for five sectors: Tourism &amp; Hospitality, Agriculture &amp; Agribusiness, NGO &amp; Civil Society, Health &amp; Community Services, Government &amp; Public Services. 2. Each pack: sector terminology, regulatory reference summary (Zimbabwe Acts and SI references), common document types and formats, cultural calendar, example mission briefs, and common policy document templates. 3. Ingest as shared Qdrant collections (not organisation-specific). 4. Wire to sector selection in onboarding. 5. Knowledge Pack browser in NeuroWorks with last-updated dates.</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Why this matters for adjudication</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Without local knowledge, agents produce generic Western outputs. Sector packs are what ground digital workers in Zimbabwean organisational reality — the difference between a generic AI chatbot and a platform built for this market.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Effort</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Stream D — 2 weeks, running parallel to Gap 3. Uses existing /api/knowledge-packs and ADRS pipeline.</w:t>
            </w:r>
          </w:p>
        </w:tc>
      </w:tr>
    </w:tbl>
    <w:p>
      <w:pPr>
        <w:spacing w:after="60" w:before="60"/>
      </w:pPr>
      <w:r>
        <w:t xml:space="preserve"/>
      </w:r>
    </w:p>
    <w:p>
      <w:pPr>
        <w:pStyle w:val="Heading2"/>
        <w:spacing w:after="120" w:before="280"/>
      </w:pPr>
      <w:r>
        <w:rPr>
          <w:rFonts w:ascii="Arial" w:cs="Arial" w:eastAsia="Arial" w:hAnsi="Arial"/>
          <w:b/>
          <w:bCs/>
          <w:color w:val="1D6FA4"/>
          <w:sz w:val="26"/>
          <w:szCs w:val="26"/>
        </w:rPr>
        <w:t xml:space="preserve">7.1 Remaining Gap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800"/>
        <w:gridCol w:w="800"/>
        <w:gridCol w:w="2600"/>
      </w:tblGrid>
      <w:tr>
        <w:tc>
          <w:tcPr>
            <w:tcW w:type="dxa" w:w="34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8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Stream</w:t>
            </w:r>
          </w:p>
        </w:tc>
        <w:tc>
          <w:tcPr>
            <w:tcW w:type="dxa" w:w="8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Weeks</w:t>
            </w:r>
          </w:p>
        </w:tc>
        <w:tc>
          <w:tcPr>
            <w:tcW w:type="dxa" w:w="26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Uses existing</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ZW demand framing in product (onboarding UX + sector/language selection)</w:t>
            </w:r>
          </w:p>
        </w:tc>
        <w:tc>
          <w:tcPr>
            <w:tcW w:type="dxa" w:w="1400"/>
            <w:tcBorders>
              <w:top w:val="single" w:color="CCCCCC" w:sz="1"/>
              <w:left w:val="single" w:color="CCCCCC" w:sz="1"/>
              <w:bottom w:val="single" w:color="CCCCCC" w:sz="1"/>
              <w:right w:val="single" w:color="CCCCCC" w:sz="1"/>
            </w:tcBorders>
            <w:shd w:fill="FCE4D6" w:val="clear"/>
            <w:tcMar>
              <w:top w:type="dxa" w:w="90"/>
              <w:left w:type="dxa" w:w="130"/>
              <w:bottom w:type="dxa" w:w="90"/>
              <w:right w:type="dxa" w:w="130"/>
            </w:tcMar>
          </w:tcPr>
          <w:p>
            <w:r>
              <w:rPr>
                <w:rFonts w:ascii="Arial" w:cs="Arial" w:eastAsia="Arial" w:hAnsi="Arial"/>
                <w:b/>
                <w:bCs/>
                <w:color w:val="111111"/>
                <w:sz w:val="18"/>
                <w:szCs w:val="18"/>
              </w:rPr>
              <w:t xml:space="preserve">Not started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B</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/api/onboarding, Shona/Ndebele foundation</w:t>
            </w:r>
          </w:p>
        </w:tc>
      </w:tr>
      <w:tr>
        <w:tc>
          <w:tcPr>
            <w:tcW w:type="dxa" w:w="3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LLM policy guardrail extraction engine</w:t>
            </w:r>
          </w:p>
        </w:tc>
        <w:tc>
          <w:tcPr>
            <w:tcW w:type="dxa" w:w="1400"/>
            <w:tcBorders>
              <w:top w:val="single" w:color="CCCCCC" w:sz="1"/>
              <w:left w:val="single" w:color="CCCCCC" w:sz="1"/>
              <w:bottom w:val="single" w:color="CCCCCC" w:sz="1"/>
              <w:right w:val="single" w:color="CCCCCC" w:sz="1"/>
            </w:tcBorders>
            <w:shd w:fill="FCE4D6" w:val="clear"/>
            <w:tcMar>
              <w:top w:type="dxa" w:w="90"/>
              <w:left w:type="dxa" w:w="130"/>
              <w:bottom w:type="dxa" w:w="90"/>
              <w:right w:type="dxa" w:w="130"/>
            </w:tcMar>
          </w:tcPr>
          <w:p>
            <w:r>
              <w:rPr>
                <w:rFonts w:ascii="Arial" w:cs="Arial" w:eastAsia="Arial" w:hAnsi="Arial"/>
                <w:b/>
                <w:bCs/>
                <w:color w:val="111111"/>
                <w:sz w:val="18"/>
                <w:szCs w:val="18"/>
              </w:rPr>
              <w:t xml:space="preserve">Not started</w:t>
            </w:r>
          </w:p>
        </w:tc>
        <w:tc>
          <w:tcPr>
            <w:tcW w:type="dxa" w:w="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w:t>
            </w:r>
          </w:p>
        </w:tc>
        <w:tc>
          <w:tcPr>
            <w:tcW w:type="dxa" w:w="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3–4</w:t>
            </w:r>
          </w:p>
        </w:tc>
        <w:tc>
          <w:tcPr>
            <w:tcW w:type="dxa" w:w="2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/api/governance, quality.check, Ollama</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Shona/Ndebele LLM agent prompt templates</w:t>
            </w:r>
          </w:p>
        </w:tc>
        <w:tc>
          <w:tcPr>
            <w:tcW w:type="dxa" w:w="1400"/>
            <w:tcBorders>
              <w:top w:val="single" w:color="CCCCCC" w:sz="1"/>
              <w:left w:val="single" w:color="CCCCCC" w:sz="1"/>
              <w:bottom w:val="single" w:color="CCCCCC" w:sz="1"/>
              <w:right w:val="single" w:color="CCCCCC" w:sz="1"/>
            </w:tcBorders>
            <w:shd w:fill="FCE4D6" w:val="clear"/>
            <w:tcMar>
              <w:top w:type="dxa" w:w="90"/>
              <w:left w:type="dxa" w:w="130"/>
              <w:bottom w:type="dxa" w:w="90"/>
              <w:right w:type="dxa" w:w="130"/>
            </w:tcMar>
          </w:tcPr>
          <w:p>
            <w:r>
              <w:rPr>
                <w:rFonts w:ascii="Arial" w:cs="Arial" w:eastAsia="Arial" w:hAnsi="Arial"/>
                <w:b/>
                <w:bCs/>
                <w:color w:val="111111"/>
                <w:sz w:val="18"/>
                <w:szCs w:val="18"/>
              </w:rPr>
              <w:t xml:space="preserve">Not started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5–6</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Glossary base, LLM inference pipeline</w:t>
            </w:r>
          </w:p>
        </w:tc>
      </w:tr>
      <w:tr>
        <w:tc>
          <w:tcPr>
            <w:tcW w:type="dxa" w:w="3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Zimbabwe sector knowledge packs (5 sectors)</w:t>
            </w:r>
          </w:p>
        </w:tc>
        <w:tc>
          <w:tcPr>
            <w:tcW w:type="dxa" w:w="1400"/>
            <w:tcBorders>
              <w:top w:val="single" w:color="CCCCCC" w:sz="1"/>
              <w:left w:val="single" w:color="CCCCCC" w:sz="1"/>
              <w:bottom w:val="single" w:color="CCCCCC" w:sz="1"/>
              <w:right w:val="single" w:color="CCCCCC" w:sz="1"/>
            </w:tcBorders>
            <w:shd w:fill="FCE4D6" w:val="clear"/>
            <w:tcMar>
              <w:top w:type="dxa" w:w="90"/>
              <w:left w:type="dxa" w:w="130"/>
              <w:bottom w:type="dxa" w:w="90"/>
              <w:right w:type="dxa" w:w="130"/>
            </w:tcMar>
          </w:tcPr>
          <w:p>
            <w:r>
              <w:rPr>
                <w:rFonts w:ascii="Arial" w:cs="Arial" w:eastAsia="Arial" w:hAnsi="Arial"/>
                <w:b/>
                <w:bCs/>
                <w:color w:val="111111"/>
                <w:sz w:val="18"/>
                <w:szCs w:val="18"/>
              </w:rPr>
              <w:t xml:space="preserve">Not started</w:t>
            </w:r>
          </w:p>
        </w:tc>
        <w:tc>
          <w:tcPr>
            <w:tcW w:type="dxa" w:w="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D</w:t>
            </w:r>
          </w:p>
        </w:tc>
        <w:tc>
          <w:tcPr>
            <w:tcW w:type="dxa" w:w="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5–6</w:t>
            </w:r>
          </w:p>
        </w:tc>
        <w:tc>
          <w:tcPr>
            <w:tcW w:type="dxa" w:w="2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/api/knowledge-packs, ADRS pipeline, Qdrant</w:t>
            </w:r>
          </w:p>
        </w:tc>
      </w:tr>
    </w:tbl>
    <w:p>
      <w:pPr>
        <w:spacing w:after="60" w:before="60"/>
      </w:pPr>
      <w:r>
        <w:t xml:space="preserve"/>
      </w:r>
    </w:p>
    <w:p>
      <w:pPr>
        <w:pBdr>
          <w:left w:val="single" w:color="E6A800" w:sz="16" w:space="4"/>
        </w:pBdr>
        <w:shd w:fill="FFF2CC" w:val="clear"/>
        <w:spacing w:after="140" w:before="140"/>
        <w:ind w:left="360" w:right="360"/>
      </w:pPr>
      <w:r>
        <w:rPr>
          <w:rFonts w:ascii="Arial" w:cs="Arial" w:eastAsia="Arial" w:hAnsi="Arial"/>
          <w:b/>
          <w:bCs/>
          <w:i/>
          <w:iCs/>
          <w:color w:val="0D2137"/>
          <w:sz w:val="22"/>
          <w:szCs w:val="22"/>
        </w:rPr>
        <w:t xml:space="preserve">Streams E and F (cost monitoring extensions, mobile responsiveness, ethics framework documentation, pilot plan, compliance documentation) are post-submission delivery items — not blockers for Track 3 adjudication scoring.</w:t>
      </w:r>
    </w:p>
    <w:p>
      <w:r>
        <w:br w:type="page"/>
      </w:r>
    </w:p>
    <w:p>
      <w:pPr>
        <w:pStyle w:val="Heading1"/>
        <w:spacing w:after="180" w:before="360"/>
      </w:pPr>
      <w:r>
        <w:rPr>
          <w:rFonts w:ascii="Arial" w:cs="Arial" w:eastAsia="Arial" w:hAnsi="Arial"/>
          <w:b/>
          <w:bCs/>
          <w:color w:val="0D2137"/>
          <w:sz w:val="34"/>
          <w:szCs w:val="34"/>
        </w:rPr>
        <w:t xml:space="preserve">8. Delivery Plan — Grand Challenge Week</w:t>
      </w:r>
    </w:p>
    <w:p>
      <w:pPr>
        <w:spacing w:after="80" w:before="80"/>
      </w:pPr>
      <w:r>
        <w:rPr>
          <w:rFonts w:ascii="Arial" w:cs="Arial" w:eastAsia="Arial" w:hAnsi="Arial"/>
          <w:color w:val="111111"/>
          <w:sz w:val="22"/>
          <w:szCs w:val="22"/>
        </w:rPr>
        <w:t xml:space="preserve">The six-day residential programme runs 27 July to 1 August 2026. The platform's substantial existing build means the team can use the programme days for integration, demonstration preparation, and pilot validation rather than foundational development. The four remaining gaps above are targeted for completion in Weeks 1–6 leading up to the Grand Challenge.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c>
          <w:tcPr>
            <w:tcW w:type="dxa" w:w="20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Focus</w:t>
            </w:r>
          </w:p>
        </w:tc>
        <w:tc>
          <w:tcPr>
            <w:tcW w:type="dxa" w:w="48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NeuroWorks Specific Activity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Day 1 — Mon 27 July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Opening and orientation</w:t>
            </w:r>
          </w:p>
        </w:tc>
        <w:tc>
          <w:tcPr>
            <w:tcW w:type="dxa" w:w="4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Team briefs on platform architecture; confirm adjudication scoring against our track TOR; identify any last-minute evidence gaps</w:t>
            </w:r>
          </w:p>
        </w:tc>
      </w:tr>
      <w:tr>
        <w:tc>
          <w:tcPr>
            <w:tcW w:type="dxa" w:w="2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Day 2 — Tue 28 July</w:t>
            </w:r>
          </w:p>
        </w:tc>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Business and problem refinement</w:t>
            </w:r>
          </w:p>
        </w:tc>
        <w:tc>
          <w:tcPr>
            <w:tcW w:type="dxa" w:w="4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Refine demand statement for the three most impacted groups; confirm Paynow Zimbabwe as proof of local integration; validate sector knowledge pack content with coaches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Day 3 — Wed 29 July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Technical clinics</w:t>
            </w:r>
          </w:p>
        </w:tc>
        <w:tc>
          <w:tcPr>
            <w:tcW w:type="dxa" w:w="4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Technical clinic: demonstrate live db.* primitives, Mailjet email send, GitHub issue creation, Paynow payment flow, and Ollama local inference — all with real handlers. Policy guardrail demo if Gap 2 complete.</w:t>
            </w:r>
          </w:p>
        </w:tc>
      </w:tr>
      <w:tr>
        <w:tc>
          <w:tcPr>
            <w:tcW w:type="dxa" w:w="2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Day 4 — Thu 30 July</w:t>
            </w:r>
          </w:p>
        </w:tc>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Pitch and evidence prep</w:t>
            </w:r>
          </w:p>
        </w:tc>
        <w:tc>
          <w:tcPr>
            <w:tcW w:type="dxa" w:w="4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Finalise pitch deck; prepare live demos; assemble evidence pack (route list, primitive list, skill count, integration test results); confirm milestone schedule for grant contract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Day 5 — Fri 31 July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Pitches and adjudication</w:t>
            </w:r>
          </w:p>
        </w:tc>
        <w:tc>
          <w:tcPr>
            <w:tcW w:type="dxa" w:w="4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15-minute pitch + live demo: show real agent completing a mission (Communications or IT/DevOps dept), HITL approval gate, audit log, and Shona language output if Gap 3 complete</w:t>
            </w:r>
          </w:p>
        </w:tc>
      </w:tr>
      <w:tr>
        <w:tc>
          <w:tcPr>
            <w:tcW w:type="dxa" w:w="2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Day 6 — Sat 1 Aug</w:t>
            </w:r>
          </w:p>
        </w:tc>
        <w:tc>
          <w:tcPr>
            <w:tcW w:type="dxa" w:w="2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Moderation and closing</w:t>
            </w:r>
          </w:p>
        </w:tc>
        <w:tc>
          <w:tcPr>
            <w:tcW w:type="dxa" w:w="4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Top team confirmation; contracting brief; post-Grand-Challenge pathway discussion with POTRAZ incubation team</w:t>
            </w:r>
          </w:p>
        </w:tc>
      </w:tr>
    </w:tbl>
    <w:p>
      <w:r>
        <w:br w:type="page"/>
      </w:r>
    </w:p>
    <w:p>
      <w:pPr>
        <w:pStyle w:val="Heading1"/>
        <w:spacing w:after="180" w:before="360"/>
      </w:pPr>
      <w:r>
        <w:rPr>
          <w:rFonts w:ascii="Arial" w:cs="Arial" w:eastAsia="Arial" w:hAnsi="Arial"/>
          <w:b/>
          <w:bCs/>
          <w:color w:val="0D2137"/>
          <w:sz w:val="34"/>
          <w:szCs w:val="34"/>
        </w:rPr>
        <w:t xml:space="preserve">9. Grant Allocation and Milestone Plan</w:t>
      </w:r>
    </w:p>
    <w:p>
      <w:pPr>
        <w:spacing w:after="80" w:before="80"/>
      </w:pPr>
      <w:r>
        <w:rPr>
          <w:rFonts w:ascii="Arial" w:cs="Arial" w:eastAsia="Arial" w:hAnsi="Arial"/>
          <w:color w:val="111111"/>
          <w:sz w:val="22"/>
          <w:szCs w:val="22"/>
        </w:rPr>
        <w:t xml:space="preserve">The Development track grant envelope allocates USD 10,000 to the 1st-placed team, USD 8,000 to 2nd, USD 6,000 to 3rd, USD 5,000 to 4th, and USD 3,000 to 5th. The platform's current build strength positions it for a top-3 placement. The following plan assumes a 1st-place allocation of USD 10,000 and is designed to be viable at any Development track allocation.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600"/>
        <w:gridCol w:w="1200"/>
      </w:tblGrid>
      <w:tr>
        <w:tc>
          <w:tcPr>
            <w:tcW w:type="dxa" w:w="24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Milestone</w:t>
            </w:r>
          </w:p>
        </w:tc>
        <w:tc>
          <w:tcPr>
            <w:tcW w:type="dxa" w:w="38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Deliverable</w:t>
            </w:r>
          </w:p>
        </w:tc>
        <w:tc>
          <w:tcPr>
            <w:tcW w:type="dxa" w:w="16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 of Grant</w:t>
            </w:r>
          </w:p>
        </w:tc>
        <w:tc>
          <w:tcPr>
            <w:tcW w:type="dxa" w:w="12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M1 — Contract signing</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Revised workplan, budget, milestone schedule, banking details submitted. Gap 1 (ZW onboarding UX) live in staging.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40% (~USD 4,000)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Week 1 post-Grand Challenge</w:t>
            </w:r>
          </w:p>
        </w:tc>
      </w:tr>
      <w:tr>
        <w:tc>
          <w:tcPr>
            <w:tcW w:type="dxa" w:w="2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M2 — First milestone verification</w:t>
            </w:r>
          </w:p>
        </w:tc>
        <w:tc>
          <w:tcPr>
            <w:tcW w:type="dxa" w:w="3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Gap 2 (Policy guardrail engine) live and demonstrated with a real policy document. Gap 3 (Shona/Ndebele prompts) live with native speaker quality review completed. Gap 4 (5 sector knowledge packs) ingested and active.</w:t>
            </w:r>
          </w:p>
        </w:tc>
        <w:tc>
          <w:tcPr>
            <w:tcW w:type="dxa" w:w="1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60% (~USD 6,000)</w:t>
            </w:r>
          </w:p>
        </w:tc>
        <w:tc>
          <w:tcPr>
            <w:tcW w:type="dxa" w:w="1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Week 6 post-Grand Challenge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Post-M2 — Pilot launch</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10–20 pilot organisations onboarded in Mutare and Harare. First pilot case study (non-technical operator) documented. Performance metrics dashboard live.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Funded by M2 release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Weeks 7–12 post-Grand Challenge</w:t>
            </w:r>
          </w:p>
        </w:tc>
      </w:tr>
    </w:tbl>
    <w:p>
      <w:pPr>
        <w:spacing w:after="60" w:before="60"/>
      </w:pPr>
      <w:r>
        <w:t xml:space="preserve"/>
      </w:r>
    </w:p>
    <w:p>
      <w:pPr>
        <w:pStyle w:val="Heading2"/>
        <w:spacing w:after="120" w:before="280"/>
      </w:pPr>
      <w:r>
        <w:rPr>
          <w:rFonts w:ascii="Arial" w:cs="Arial" w:eastAsia="Arial" w:hAnsi="Arial"/>
          <w:b/>
          <w:bCs/>
          <w:color w:val="1D6FA4"/>
          <w:sz w:val="26"/>
          <w:szCs w:val="26"/>
        </w:rPr>
        <w:t xml:space="preserve">9.1 Budget Allocation (USD 10,000)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000"/>
      </w:tblGrid>
      <w:tr>
        <w:tc>
          <w:tcPr>
            <w:tcW w:type="dxa" w:w="36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Line item</w:t>
            </w:r>
          </w:p>
        </w:tc>
        <w:tc>
          <w:tcPr>
            <w:tcW w:type="dxa" w:w="14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Amount</w:t>
            </w:r>
          </w:p>
        </w:tc>
        <w:tc>
          <w:tcPr>
            <w:tcW w:type="dxa" w:w="40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Justification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Gap 1 — Onboarding UX development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USD 1,500</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Sector/language selection UI, dashboard personalisation, Zimbabwe Context panel, i18n wiring</w:t>
            </w:r>
          </w:p>
        </w:tc>
      </w:tr>
      <w:tr>
        <w:tc>
          <w:tcPr>
            <w:tcW w:type="dxa" w:w="3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Gap 2 — Policy guardrail engine</w:t>
            </w:r>
          </w:p>
        </w:tc>
        <w:tc>
          <w:tcPr>
            <w:tcW w:type="dxa" w:w="1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USD 2,500</w:t>
            </w:r>
          </w:p>
        </w:tc>
        <w:tc>
          <w:tcPr>
            <w:tcW w:type="dxa" w:w="4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LLM extraction pipeline, constraint review UI, HITL gate integration, policy management page — most engineering-intensive gap</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Gap 3 — Shona/Ndebele prompt templates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USD 1,000</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Prompt template library development + native speaker review engagement for quality validation</w:t>
            </w:r>
          </w:p>
        </w:tc>
      </w:tr>
      <w:tr>
        <w:tc>
          <w:tcPr>
            <w:tcW w:type="dxa" w:w="3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Gap 4 — Sector knowledge pack curation</w:t>
            </w:r>
          </w:p>
        </w:tc>
        <w:tc>
          <w:tcPr>
            <w:tcW w:type="dxa" w:w="1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USD 1,500</w:t>
            </w:r>
          </w:p>
        </w:tc>
        <w:tc>
          <w:tcPr>
            <w:tcW w:type="dxa" w:w="4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Research, curation, and ingestion of five Zimbabwe sector knowledge packs with regulatory references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Pilot programme — 10-20 organisations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USD 2,000</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Operator onboarding support, WhatsApp support channel, feedback collection, case study documentation</w:t>
            </w:r>
          </w:p>
        </w:tc>
      </w:tr>
      <w:tr>
        <w:tc>
          <w:tcPr>
            <w:tcW w:type="dxa" w:w="3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Infrastructure and hosting (6 months)</w:t>
            </w:r>
          </w:p>
        </w:tc>
        <w:tc>
          <w:tcPr>
            <w:tcW w:type="dxa" w:w="14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USD 1,000</w:t>
            </w:r>
          </w:p>
        </w:tc>
        <w:tc>
          <w:tcPr>
            <w:tcW w:type="dxa" w:w="40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Managed Qdrant, PostgreSQL, Redis for hosted pilot deployment; domain and SSL; monitoring</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Contingency (10%)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USD 500</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API key costs (MiniMax, Firecrawl activation), hardware for organisations needing GPU compute</w:t>
            </w:r>
          </w:p>
        </w:tc>
      </w:tr>
    </w:tbl>
    <w:p>
      <w:r>
        <w:br w:type="page"/>
      </w:r>
    </w:p>
    <w:p>
      <w:pPr>
        <w:pStyle w:val="Heading1"/>
        <w:spacing w:after="180" w:before="360"/>
      </w:pPr>
      <w:r>
        <w:rPr>
          <w:rFonts w:ascii="Arial" w:cs="Arial" w:eastAsia="Arial" w:hAnsi="Arial"/>
          <w:b/>
          <w:bCs/>
          <w:color w:val="0D2137"/>
          <w:sz w:val="34"/>
          <w:szCs w:val="34"/>
        </w:rPr>
        <w:t xml:space="preserve">10. Post-Grand-Challenge Pathway</w:t>
      </w:r>
    </w:p>
    <w:p>
      <w:pPr>
        <w:pStyle w:val="Heading2"/>
        <w:spacing w:after="120" w:before="280"/>
      </w:pPr>
      <w:r>
        <w:rPr>
          <w:rFonts w:ascii="Arial" w:cs="Arial" w:eastAsia="Arial" w:hAnsi="Arial"/>
          <w:b/>
          <w:bCs/>
          <w:color w:val="1D6FA4"/>
          <w:sz w:val="26"/>
          <w:szCs w:val="26"/>
        </w:rPr>
        <w:t xml:space="preserve">10.1 Pilot Phase (Months 1–3)</w:t>
      </w:r>
    </w:p>
    <w:p>
      <w:pPr>
        <w:pStyle w:val="ListParagraph"/>
        <w:numPr>
          <w:ilvl w:val="0"/>
          <w:numId w:val="2"/>
        </w:numPr>
        <w:spacing w:after="40" w:before="40"/>
      </w:pPr>
      <w:r>
        <w:rPr>
          <w:rFonts w:ascii="Arial" w:cs="Arial" w:eastAsia="Arial" w:hAnsi="Arial"/>
          <w:color w:val="111111"/>
          <w:sz w:val="22"/>
          <w:szCs w:val="22"/>
        </w:rPr>
        <w:t xml:space="preserve">Deploy Communications Department (Digital Force) as the first department with 10–20 pilot organisations across the three most impacted groups</w:t>
      </w:r>
    </w:p>
    <w:p>
      <w:pPr>
        <w:pStyle w:val="ListParagraph"/>
        <w:numPr>
          <w:ilvl w:val="0"/>
          <w:numId w:val="2"/>
        </w:numPr>
        <w:spacing w:after="40" w:before="40"/>
      </w:pPr>
      <w:r>
        <w:rPr>
          <w:rFonts w:ascii="Arial" w:cs="Arial" w:eastAsia="Arial" w:hAnsi="Arial"/>
          <w:color w:val="111111"/>
          <w:sz w:val="22"/>
          <w:szCs w:val="22"/>
        </w:rPr>
        <w:t xml:space="preserve">Sector mix: 5 SMEs (tourism, agriculture, informal trade), 3 NGOs, 2 government-adjacent institutions, 1 health facility or cooperative</w:t>
      </w:r>
    </w:p>
    <w:p>
      <w:pPr>
        <w:pStyle w:val="ListParagraph"/>
        <w:numPr>
          <w:ilvl w:val="0"/>
          <w:numId w:val="2"/>
        </w:numPr>
        <w:spacing w:after="40" w:before="40"/>
      </w:pPr>
      <w:r>
        <w:rPr>
          <w:rFonts w:ascii="Arial" w:cs="Arial" w:eastAsia="Arial" w:hAnsi="Arial"/>
          <w:color w:val="111111"/>
          <w:sz w:val="22"/>
          <w:szCs w:val="22"/>
        </w:rPr>
        <w:t xml:space="preserve">Success criteria: missions completed per week, HITL approval rate, operator satisfaction score, at least one non-technical operator case study</w:t>
      </w:r>
    </w:p>
    <w:p>
      <w:pPr>
        <w:pStyle w:val="ListParagraph"/>
        <w:numPr>
          <w:ilvl w:val="0"/>
          <w:numId w:val="2"/>
        </w:numPr>
        <w:spacing w:after="40" w:before="40"/>
      </w:pPr>
      <w:r>
        <w:rPr>
          <w:rFonts w:ascii="Arial" w:cs="Arial" w:eastAsia="Arial" w:hAnsi="Arial"/>
          <w:color w:val="111111"/>
          <w:sz w:val="22"/>
          <w:szCs w:val="22"/>
        </w:rPr>
        <w:t xml:space="preserve">Activate MiniMax (TTS + video) and Firecrawl (enhanced web research) by setting API keys — both code-complete and dormant</w:t>
      </w:r>
    </w:p>
    <w:p>
      <w:pPr>
        <w:pStyle w:val="ListParagraph"/>
        <w:numPr>
          <w:ilvl w:val="0"/>
          <w:numId w:val="2"/>
        </w:numPr>
        <w:spacing w:after="40" w:before="40"/>
      </w:pPr>
      <w:r>
        <w:rPr>
          <w:rFonts w:ascii="Arial" w:cs="Arial" w:eastAsia="Arial" w:hAnsi="Arial"/>
          <w:color w:val="111111"/>
          <w:sz w:val="22"/>
          <w:szCs w:val="22"/>
        </w:rPr>
        <w:t xml:space="preserve">Complete browser-harness one-time Chrome setup for enhanced web automation capability</w:t>
      </w:r>
    </w:p>
    <w:p>
      <w:pPr>
        <w:spacing w:after="60" w:before="60"/>
      </w:pPr>
      <w:r>
        <w:t xml:space="preserve"/>
      </w:r>
    </w:p>
    <w:p>
      <w:pPr>
        <w:pStyle w:val="Heading2"/>
        <w:spacing w:after="120" w:before="280"/>
      </w:pPr>
      <w:r>
        <w:rPr>
          <w:rFonts w:ascii="Arial" w:cs="Arial" w:eastAsia="Arial" w:hAnsi="Arial"/>
          <w:b/>
          <w:bCs/>
          <w:color w:val="1D6FA4"/>
          <w:sz w:val="26"/>
          <w:szCs w:val="26"/>
        </w:rPr>
        <w:t xml:space="preserve">10.2 Platform Expansion (Months 3–9)</w:t>
      </w:r>
    </w:p>
    <w:p>
      <w:pPr>
        <w:pStyle w:val="ListParagraph"/>
        <w:numPr>
          <w:ilvl w:val="0"/>
          <w:numId w:val="2"/>
        </w:numPr>
        <w:spacing w:after="40" w:before="40"/>
      </w:pPr>
      <w:r>
        <w:rPr>
          <w:rFonts w:ascii="Arial" w:cs="Arial" w:eastAsia="Arial" w:hAnsi="Arial"/>
          <w:color w:val="111111"/>
          <w:sz w:val="22"/>
          <w:szCs w:val="22"/>
        </w:rPr>
        <w:t xml:space="preserve">Launch as hosted SaaS at locally affordable pricing — Growth tier at USD 45/month, Institutional tier at USD 120/month</w:t>
      </w:r>
    </w:p>
    <w:p>
      <w:pPr>
        <w:pStyle w:val="ListParagraph"/>
        <w:numPr>
          <w:ilvl w:val="0"/>
          <w:numId w:val="2"/>
        </w:numPr>
        <w:spacing w:after="40" w:before="40"/>
      </w:pPr>
      <w:r>
        <w:rPr>
          <w:rFonts w:ascii="Arial" w:cs="Arial" w:eastAsia="Arial" w:hAnsi="Arial"/>
          <w:color w:val="111111"/>
          <w:sz w:val="22"/>
          <w:szCs w:val="22"/>
        </w:rPr>
        <w:t xml:space="preserve">Activate Research, Finance, Customer Service, and Compliance departments as production deployments</w:t>
      </w:r>
    </w:p>
    <w:p>
      <w:pPr>
        <w:pStyle w:val="ListParagraph"/>
        <w:numPr>
          <w:ilvl w:val="0"/>
          <w:numId w:val="2"/>
        </w:numPr>
        <w:spacing w:after="40" w:before="40"/>
      </w:pPr>
      <w:r>
        <w:rPr>
          <w:rFonts w:ascii="Arial" w:cs="Arial" w:eastAsia="Arial" w:hAnsi="Arial"/>
          <w:color w:val="111111"/>
          <w:sz w:val="22"/>
          <w:szCs w:val="22"/>
        </w:rPr>
        <w:t xml:space="preserve">Onboard first institutional government pilot — at least one ministry or parastatal</w:t>
      </w:r>
    </w:p>
    <w:p>
      <w:pPr>
        <w:pStyle w:val="ListParagraph"/>
        <w:numPr>
          <w:ilvl w:val="0"/>
          <w:numId w:val="2"/>
        </w:numPr>
        <w:spacing w:after="40" w:before="40"/>
      </w:pPr>
      <w:r>
        <w:rPr>
          <w:rFonts w:ascii="Arial" w:cs="Arial" w:eastAsia="Arial" w:hAnsi="Arial"/>
          <w:color w:val="111111"/>
          <w:sz w:val="22"/>
          <w:szCs w:val="22"/>
        </w:rPr>
        <w:t xml:space="preserve">Apply for POTRAZ incubation programme formal track; ICT sector investor linkage</w:t>
      </w:r>
    </w:p>
    <w:p>
      <w:pPr>
        <w:pStyle w:val="ListParagraph"/>
        <w:numPr>
          <w:ilvl w:val="0"/>
          <w:numId w:val="2"/>
        </w:numPr>
        <w:spacing w:after="40" w:before="40"/>
      </w:pPr>
      <w:r>
        <w:rPr>
          <w:rFonts w:ascii="Arial" w:cs="Arial" w:eastAsia="Arial" w:hAnsi="Arial"/>
          <w:color w:val="111111"/>
          <w:sz w:val="22"/>
          <w:szCs w:val="22"/>
        </w:rPr>
        <w:t xml:space="preserve">ZCHPC partnership for shared high-performance local GPU compute for institutions without their own hardware</w:t>
      </w:r>
    </w:p>
    <w:p>
      <w:pPr>
        <w:spacing w:after="60" w:before="60"/>
      </w:pPr>
      <w:r>
        <w:t xml:space="preserve"/>
      </w:r>
    </w:p>
    <w:p>
      <w:pPr>
        <w:pStyle w:val="Heading2"/>
        <w:spacing w:after="120" w:before="280"/>
      </w:pPr>
      <w:r>
        <w:rPr>
          <w:rFonts w:ascii="Arial" w:cs="Arial" w:eastAsia="Arial" w:hAnsi="Arial"/>
          <w:b/>
          <w:bCs/>
          <w:color w:val="1D6FA4"/>
          <w:sz w:val="26"/>
          <w:szCs w:val="26"/>
        </w:rPr>
        <w:t xml:space="preserve">10.3 Scale (Months 9–24)</w:t>
      </w:r>
    </w:p>
    <w:p>
      <w:pPr>
        <w:pStyle w:val="ListParagraph"/>
        <w:numPr>
          <w:ilvl w:val="0"/>
          <w:numId w:val="2"/>
        </w:numPr>
        <w:spacing w:after="40" w:before="40"/>
      </w:pPr>
      <w:r>
        <w:rPr>
          <w:rFonts w:ascii="Arial" w:cs="Arial" w:eastAsia="Arial" w:hAnsi="Arial"/>
          <w:color w:val="111111"/>
          <w:sz w:val="22"/>
          <w:szCs w:val="22"/>
        </w:rPr>
        <w:t xml:space="preserve">SADC regional rollout — Zambia, Mozambique, Tanzania — with country-specific language and regulatory context packs</w:t>
      </w:r>
    </w:p>
    <w:p>
      <w:pPr>
        <w:pStyle w:val="ListParagraph"/>
        <w:numPr>
          <w:ilvl w:val="0"/>
          <w:numId w:val="2"/>
        </w:numPr>
        <w:spacing w:after="40" w:before="40"/>
      </w:pPr>
      <w:r>
        <w:rPr>
          <w:rFonts w:ascii="Arial" w:cs="Arial" w:eastAsia="Arial" w:hAnsi="Arial"/>
          <w:color w:val="111111"/>
          <w:sz w:val="22"/>
          <w:szCs w:val="22"/>
        </w:rPr>
        <w:t xml:space="preserve">Enterprise and on-premise licensing for sovereign government deployments</w:t>
      </w:r>
    </w:p>
    <w:p>
      <w:pPr>
        <w:pStyle w:val="ListParagraph"/>
        <w:numPr>
          <w:ilvl w:val="0"/>
          <w:numId w:val="2"/>
        </w:numPr>
        <w:spacing w:after="40" w:before="40"/>
      </w:pPr>
      <w:r>
        <w:rPr>
          <w:rFonts w:ascii="Arial" w:cs="Arial" w:eastAsia="Arial" w:hAnsi="Arial"/>
          <w:color w:val="111111"/>
          <w:sz w:val="22"/>
          <w:szCs w:val="22"/>
        </w:rPr>
        <w:t xml:space="preserve">Connector and department template marketplace for the Zimbabwean and SADC developer ecosystem</w:t>
      </w:r>
    </w:p>
    <w:p>
      <w:pPr>
        <w:pStyle w:val="ListParagraph"/>
        <w:numPr>
          <w:ilvl w:val="0"/>
          <w:numId w:val="2"/>
        </w:numPr>
        <w:spacing w:after="40" w:before="40"/>
      </w:pPr>
      <w:r>
        <w:rPr>
          <w:rFonts w:ascii="Arial" w:cs="Arial" w:eastAsia="Arial" w:hAnsi="Arial"/>
          <w:color w:val="111111"/>
          <w:sz w:val="22"/>
          <w:szCs w:val="22"/>
        </w:rPr>
        <w:t xml:space="preserve">SkillForge marketplace — organisations share and sell custom connectors and department templates built on the platform</w:t>
      </w:r>
    </w:p>
    <w:p>
      <w:r>
        <w:br w:type="page"/>
      </w:r>
    </w:p>
    <w:p>
      <w:pPr>
        <w:pStyle w:val="Heading1"/>
        <w:spacing w:after="180" w:before="360"/>
      </w:pPr>
      <w:r>
        <w:rPr>
          <w:rFonts w:ascii="Arial" w:cs="Arial" w:eastAsia="Arial" w:hAnsi="Arial"/>
          <w:b/>
          <w:bCs/>
          <w:color w:val="0D2137"/>
          <w:sz w:val="34"/>
          <w:szCs w:val="34"/>
        </w:rPr>
        <w:t xml:space="preserve">11.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Organisation</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AiiA — Autonomous Intelligence &amp; Innovation Agency</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Technical team</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RUBIEM Developers</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Backend expertise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Node.js / TypeScript, Express, LangGraph, Ollama, OpenRouter, Claude/Anthropic API integration, PostgreSQL, Redis, Qdrant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Frontend expertise</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Next.js 14, React, TypeScript — 37-page production console</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Integration expertise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GitHub Octokit, Mailjet, Stripe, Paynow Zimbabwe, Playwright, graphify, browser-harness</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AI/ML expertise</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Multi-agent orchestration (LangGraph), RAG (Qdrant), local LLM inference (Ollama), prompt engineering, skill playbook design</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Local market credibility</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Paynow Zimbabwe integration live and tested — demonstrates active engagement with the Zimbabwean payment infrastructure, not a generic platform applied to Zimbabwe after the fact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Current prototype status</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28 live API routers, ~90 agent primitives, 141 skill playbooks, all integrations wired (core live, others dormant pending API keys). No scaffolding stubs — real handlers behind every route.</w:t>
            </w:r>
          </w:p>
        </w:tc>
      </w:tr>
    </w:tbl>
    <w:p>
      <w:r>
        <w:br w:type="page"/>
      </w:r>
    </w:p>
    <w:p>
      <w:pPr>
        <w:pStyle w:val="Heading1"/>
        <w:spacing w:after="180" w:before="360"/>
      </w:pPr>
      <w:r>
        <w:rPr>
          <w:rFonts w:ascii="Arial" w:cs="Arial" w:eastAsia="Arial" w:hAnsi="Arial"/>
          <w:b/>
          <w:bCs/>
          <w:color w:val="0D2137"/>
          <w:sz w:val="34"/>
          <w:szCs w:val="34"/>
        </w:rPr>
        <w:t xml:space="preserve">12. Evidence Pack Summary</w:t>
      </w:r>
    </w:p>
    <w:p>
      <w:pPr>
        <w:spacing w:after="80" w:before="80"/>
      </w:pPr>
      <w:r>
        <w:rPr>
          <w:rFonts w:ascii="Arial" w:cs="Arial" w:eastAsia="Arial" w:hAnsi="Arial"/>
          <w:color w:val="111111"/>
          <w:sz w:val="22"/>
          <w:szCs w:val="22"/>
        </w:rPr>
        <w:t xml:space="preserve">The following evidence will be available for adjudicator review at the Grand Challenge.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00"/>
      </w:tblGrid>
      <w:tr>
        <w:tc>
          <w:tcPr>
            <w:tcW w:type="dxa" w:w="28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Evidence item</w:t>
            </w:r>
          </w:p>
        </w:tc>
        <w:tc>
          <w:tcPr>
            <w:tcW w:type="dxa" w:w="16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Format</w:t>
            </w:r>
          </w:p>
        </w:tc>
        <w:tc>
          <w:tcPr>
            <w:tcW w:type="dxa" w:w="46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What it proves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API route demonstration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demo — Postman or NeuroWorks console</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28 routes with real handlers — not scaffolding stubs</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Agent primitive execution</w:t>
            </w:r>
          </w:p>
        </w:tc>
        <w:tc>
          <w:tcPr>
            <w:tcW w:type="dxa" w:w="1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demo — task execution showing tool call chain</w:t>
            </w:r>
          </w:p>
        </w:tc>
        <w:tc>
          <w:tcPr>
            <w:tcW w:type="dxa" w:w="4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~90 primitives functional; HITL gate operational; audit log recording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GitHub integration (Octokit)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demo — create GitHub issue from agent mission</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Full read+write GitHub integration live</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Mailjet email send</w:t>
            </w:r>
          </w:p>
        </w:tc>
        <w:tc>
          <w:tcPr>
            <w:tcW w:type="dxa" w:w="1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demo — agent sends real email with attachment</w:t>
            </w:r>
          </w:p>
        </w:tc>
        <w:tc>
          <w:tcPr>
            <w:tcW w:type="dxa" w:w="4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Organisational email integration — sole sanctioned outbound path</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Paynow Zimbabwe integration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demo or test receipt</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Local Zimbabwean payment rail — live and tested. Proves platform is built for this market.</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Stripe payment flow</w:t>
            </w:r>
          </w:p>
        </w:tc>
        <w:tc>
          <w:tcPr>
            <w:tcW w:type="dxa" w:w="1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demo or test receipt</w:t>
            </w:r>
          </w:p>
        </w:tc>
        <w:tc>
          <w:tcPr>
            <w:tcW w:type="dxa" w:w="4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Global payment rail for subscription billing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Ollama local inference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demo — agent mission using local model</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Local-first data sovereignty in operation — no data sent to cloud</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Shona/Ndebele chat</w:t>
            </w:r>
          </w:p>
        </w:tc>
        <w:tc>
          <w:tcPr>
            <w:tcW w:type="dxa" w:w="1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demo — conversation in Shona</w:t>
            </w:r>
          </w:p>
        </w:tc>
        <w:tc>
          <w:tcPr>
            <w:tcW w:type="dxa" w:w="4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Local language support — live and functional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141 skill playbooks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File count + skill.list API call</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Department coverage across all major organisational functions</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DB connector (db.*)</w:t>
            </w:r>
          </w:p>
        </w:tc>
        <w:tc>
          <w:tcPr>
            <w:tcW w:type="dxa" w:w="1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demo — agent queries a connected PostgreSQL database</w:t>
            </w:r>
          </w:p>
        </w:tc>
        <w:tc>
          <w:tcPr>
            <w:tcW w:type="dxa" w:w="4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Live system connectivity — not simulated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Audit log</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/api/audit route</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Every agent action recorded — responsible AI evidence</w:t>
            </w:r>
          </w:p>
        </w:tc>
      </w:tr>
      <w:tr>
        <w:tc>
          <w:tcPr>
            <w:tcW w:type="dxa" w:w="28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Cost dashboard</w:t>
            </w:r>
          </w:p>
        </w:tc>
        <w:tc>
          <w:tcPr>
            <w:tcW w:type="dxa" w:w="1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/api/cost route</w:t>
            </w:r>
          </w:p>
        </w:tc>
        <w:tc>
          <w:tcPr>
            <w:tcW w:type="dxa" w:w="4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Compute cost monitoring — responsible deployment evidence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Codebase repository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GitHub — RUBIEM-DEVELOPERS-REPO</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3 repositories: main-brain, clawbot, Digital-Force — complete and navigable</w:t>
            </w:r>
          </w:p>
        </w:tc>
      </w:tr>
    </w:tbl>
    <w:p>
      <w:pPr>
        <w:pBdr>
          <w:bottom w:val="single" w:color="1D6FA4" w:sz="6" w:space="1"/>
        </w:pBdr>
        <w:spacing w:after="200" w:before="200"/>
      </w:pPr>
      <w:r>
        <w:t xml:space="preserve"/>
      </w:r>
    </w:p>
    <w:p>
      <w:pPr>
        <w:pStyle w:val="Heading1"/>
        <w:spacing w:after="180" w:before="360"/>
      </w:pPr>
      <w:r>
        <w:rPr>
          <w:rFonts w:ascii="Arial" w:cs="Arial" w:eastAsia="Arial" w:hAnsi="Arial"/>
          <w:b/>
          <w:bCs/>
          <w:color w:val="0D2137"/>
          <w:sz w:val="34"/>
          <w:szCs w:val="34"/>
        </w:rPr>
        <w:t xml:space="preserve">Appendix A — Mandatory Track 3 Output Checklist</w:t>
      </w:r>
    </w:p>
    <w:p>
      <w:pPr>
        <w:spacing w:after="80" w:before="80"/>
      </w:pPr>
      <w:r>
        <w:rPr>
          <w:rFonts w:ascii="Arial" w:cs="Arial" w:eastAsia="Arial" w:hAnsi="Arial"/>
          <w:color w:val="111111"/>
          <w:sz w:val="22"/>
          <w:szCs w:val="22"/>
        </w:rPr>
        <w:t xml:space="preserve">The following table maps every mandatory Track 3 Development output requirement from the AI Grand Challenge concept note to the current submission.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c>
          <w:tcPr>
            <w:tcW w:type="dxa" w:w="36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Required Output</w:t>
            </w:r>
          </w:p>
        </w:tc>
        <w:tc>
          <w:tcPr>
            <w:tcW w:type="dxa" w:w="12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4200"/>
            <w:tcBorders>
              <w:top w:val="single" w:color="CCCCCC" w:sz="1"/>
              <w:left w:val="single" w:color="CCCCCC" w:sz="1"/>
              <w:bottom w:val="single" w:color="CCCCCC" w:sz="1"/>
              <w:right w:val="single" w:color="CCCCCC" w:sz="1"/>
            </w:tcBorders>
            <w:shd w:fill="0D2137" w:val="clear"/>
            <w:tcMar>
              <w:top w:type="dxa" w:w="90"/>
              <w:left w:type="dxa" w:w="130"/>
              <w:bottom w:type="dxa" w:w="90"/>
              <w:right w:type="dxa" w:w="130"/>
            </w:tcMar>
          </w:tcPr>
          <w:p>
            <w:r>
              <w:rPr>
                <w:rFonts w:ascii="Arial" w:cs="Arial" w:eastAsia="Arial" w:hAnsi="Arial"/>
                <w:b/>
                <w:bCs/>
                <w:color w:val="FFFFFF"/>
                <w:sz w:val="20"/>
                <w:szCs w:val="20"/>
              </w:rPr>
              <w:t xml:space="preserve">Evidence / Location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Product proposal or working prototype</w:t>
            </w:r>
          </w:p>
        </w:tc>
        <w:tc>
          <w:tcPr>
            <w:tcW w:type="dxa" w:w="12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Built</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Working multi-agent prototype — 28 routes, ~90 primitives, 141 playbooks, Digital Force communications department live</w:t>
            </w:r>
          </w:p>
        </w:tc>
      </w:tr>
      <w:tr>
        <w:tc>
          <w:tcPr>
            <w:tcW w:type="dxa" w:w="3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Technical architecture</w:t>
            </w:r>
          </w:p>
        </w:tc>
        <w:tc>
          <w:tcPr>
            <w:tcW w:type="dxa" w:w="12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Built</w:t>
            </w:r>
          </w:p>
        </w:tc>
        <w:tc>
          <w:tcPr>
            <w:tcW w:type="dxa" w:w="4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Section 6 of this proposal + codebase: server/src/ (index.ts, lib/ 85 files, routes/ 46 files)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Dataset statement</w:t>
            </w:r>
          </w:p>
        </w:tc>
        <w:tc>
          <w:tcPr>
            <w:tcW w:type="dxa" w:w="12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Built</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Section 6.2 — vault, connected DB, knowledge packs, AI-generated outputs all documented with lawful basis</w:t>
            </w:r>
          </w:p>
        </w:tc>
      </w:tr>
      <w:tr>
        <w:tc>
          <w:tcPr>
            <w:tcW w:type="dxa" w:w="3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User interface or API plan</w:t>
            </w:r>
          </w:p>
        </w:tc>
        <w:tc>
          <w:tcPr>
            <w:tcW w:type="dxa" w:w="12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Built</w:t>
            </w:r>
          </w:p>
        </w:tc>
        <w:tc>
          <w:tcPr>
            <w:tcW w:type="dxa" w:w="4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37-page Next.js console live. /api/v1/dispatch inbound orchestration API for external integration.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Business model</w:t>
            </w:r>
          </w:p>
        </w:tc>
        <w:tc>
          <w:tcPr>
            <w:tcW w:type="dxa" w:w="12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Built</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Business Model document (separate) — 8 customer segments, SaaS tiers, local/cloud compute split billing</w:t>
            </w:r>
          </w:p>
        </w:tc>
      </w:tr>
      <w:tr>
        <w:tc>
          <w:tcPr>
            <w:tcW w:type="dxa" w:w="3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Risk note</w:t>
            </w:r>
          </w:p>
        </w:tc>
        <w:tc>
          <w:tcPr>
            <w:tcW w:type="dxa" w:w="12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Built</w:t>
            </w:r>
          </w:p>
        </w:tc>
        <w:tc>
          <w:tcPr>
            <w:tcW w:type="dxa" w:w="4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Risk Note document (separate) — system connection risks, policy guardrail risks, integration risks, AI/ethical risks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Pitch deck</w:t>
            </w:r>
          </w:p>
        </w:tc>
        <w:tc>
          <w:tcPr>
            <w:tcW w:type="dxa" w:w="1200"/>
            <w:tcBorders>
              <w:top w:val="single" w:color="CCCCCC" w:sz="1"/>
              <w:left w:val="single" w:color="CCCCCC" w:sz="1"/>
              <w:bottom w:val="single" w:color="CCCCCC" w:sz="1"/>
              <w:right w:val="single" w:color="CCCCCC" w:sz="1"/>
            </w:tcBorders>
            <w:shd w:fill="FCE4D6" w:val="clear"/>
            <w:tcMar>
              <w:top w:type="dxa" w:w="90"/>
              <w:left w:type="dxa" w:w="130"/>
              <w:bottom w:type="dxa" w:w="90"/>
              <w:right w:type="dxa" w:w="130"/>
            </w:tcMar>
          </w:tcPr>
          <w:p>
            <w:r>
              <w:rPr>
                <w:rFonts w:ascii="Arial" w:cs="Arial" w:eastAsia="Arial" w:hAnsi="Arial"/>
                <w:b/>
                <w:bCs/>
                <w:color w:val="111111"/>
                <w:sz w:val="18"/>
                <w:szCs w:val="18"/>
              </w:rPr>
              <w:t xml:space="preserve">Not started</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To be produced in Days 4–5 of Grand Challenge week</w:t>
            </w:r>
          </w:p>
        </w:tc>
      </w:tr>
      <w:tr>
        <w:tc>
          <w:tcPr>
            <w:tcW w:type="dxa" w:w="3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Data architecture and storage note</w:t>
            </w:r>
          </w:p>
        </w:tc>
        <w:tc>
          <w:tcPr>
            <w:tcW w:type="dxa" w:w="12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Built</w:t>
            </w:r>
          </w:p>
        </w:tc>
        <w:tc>
          <w:tcPr>
            <w:tcW w:type="dxa" w:w="4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Section 6.2 — vault (git), Qdrant, PostgreSQL, Redis, portability, production migration path</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Synthetic or augmented data statement</w:t>
            </w:r>
          </w:p>
        </w:tc>
        <w:tc>
          <w:tcPr>
            <w:tcW w:type="dxa" w:w="12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Built</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All AI-generated outputs labelled as AI-generated in Mission Control and exported documents</w:t>
            </w:r>
          </w:p>
        </w:tc>
      </w:tr>
      <w:tr>
        <w:tc>
          <w:tcPr>
            <w:tcW w:type="dxa" w:w="36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Edge AI statement</w:t>
            </w:r>
          </w:p>
        </w:tc>
        <w:tc>
          <w:tcPr>
            <w:tcW w:type="dxa" w:w="12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Built</w:t>
            </w:r>
          </w:p>
        </w:tc>
        <w:tc>
          <w:tcPr>
            <w:tcW w:type="dxa" w:w="4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18"/>
                <w:szCs w:val="18"/>
              </w:rPr>
              <w:t xml:space="preserve">Not applicable — cloud/local hybrid architecture, not edge deployment. Confirmed explicitly.</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Asset and licence register</w:t>
            </w:r>
          </w:p>
        </w:tc>
        <w:tc>
          <w:tcPr>
            <w:tcW w:type="dxa" w:w="1200"/>
            <w:tcBorders>
              <w:top w:val="single" w:color="CCCCCC" w:sz="1"/>
              <w:left w:val="single" w:color="CCCCCC" w:sz="1"/>
              <w:bottom w:val="single" w:color="CCCCCC" w:sz="1"/>
              <w:right w:val="single" w:color="CCCCCC" w:sz="1"/>
            </w:tcBorders>
            <w:shd w:fill="E2EFDA" w:val="clear"/>
            <w:tcMar>
              <w:top w:type="dxa" w:w="90"/>
              <w:left w:type="dxa" w:w="130"/>
              <w:bottom w:type="dxa" w:w="90"/>
              <w:right w:type="dxa" w:w="130"/>
            </w:tcMar>
          </w:tcPr>
          <w:p>
            <w:r>
              <w:rPr>
                <w:rFonts w:ascii="Arial" w:cs="Arial" w:eastAsia="Arial" w:hAnsi="Arial"/>
                <w:b/>
                <w:bCs/>
                <w:color w:val="111111"/>
                <w:sz w:val="18"/>
                <w:szCs w:val="18"/>
              </w:rPr>
              <w:t xml:space="preserve">Built</w:t>
            </w:r>
          </w:p>
        </w:tc>
        <w:tc>
          <w:tcPr>
            <w:tcW w:type="dxa" w:w="4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8"/>
                <w:szCs w:val="18"/>
              </w:rPr>
              <w:t xml:space="preserve">Asset &amp; Licence Register document (separate) — all components, models, APIs, foreground IP declared</w:t>
            </w:r>
          </w:p>
        </w:tc>
      </w:tr>
    </w:tbl>
    <w:p>
      <w:pPr>
        <w:spacing w:after="60" w:before="60"/>
      </w:pPr>
      <w:r>
        <w:t xml:space="preserve"/>
      </w:r>
    </w:p>
    <w:p>
      <w:pPr>
        <w:pStyle w:val="Heading1"/>
        <w:spacing w:after="180" w:before="360"/>
      </w:pPr>
      <w:r>
        <w:rPr>
          <w:rFonts w:ascii="Arial" w:cs="Arial" w:eastAsia="Arial" w:hAnsi="Arial"/>
          <w:b/>
          <w:bCs/>
          <w:color w:val="0D2137"/>
          <w:sz w:val="34"/>
          <w:szCs w:val="34"/>
        </w:rPr>
        <w:t xml:space="preserve">Appendix B — Intellectual Property 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Background IP (pre-existing)</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Remains with AiiA / RUBIEM Developers. All code, architecture, and skills created before the Grand Challenge.</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Foreground IP (created during/for Grand Challenge)</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Remains with AiiA / RUBIEM Developers. POTRAZ receives a non-exclusive, royalty-free right to evaluate, demonstrate, report on, showcase, and pilot for public-interest purposes.</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clawbot pipeline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MIT licence — open-source community release planned post-Grand-Challenge.</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POTRAZ usage rights</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Non-exclusive, royalty-free right to evaluate, demonstrate, report on, showcase, and where appropriate pilot submitted outputs for public-interest purposes. Commercial use, procurement, or institutional adoption requires a separate agreement.</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Cloud model data</w:t>
            </w:r>
          </w:p>
        </w:tc>
        <w:tc>
          <w:tcPr>
            <w:tcW w:type="dxa" w:w="6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20"/>
                <w:szCs w:val="20"/>
              </w:rPr>
              <w:t xml:space="preserve">OpenRouter and cloud API usage is operator opt-in and logged. OpenAI API data is not used for training by default under current API policy.</w:t>
            </w:r>
          </w:p>
        </w:tc>
      </w:tr>
      <w:tr>
        <w:tc>
          <w:tcPr>
            <w:tcW w:type="dxa" w:w="2800"/>
            <w:tcBorders>
              <w:top w:val="single" w:color="CCCCCC" w:sz="1"/>
              <w:left w:val="single" w:color="CCCCCC" w:sz="1"/>
              <w:bottom w:val="single" w:color="CCCCCC" w:sz="1"/>
              <w:right w:val="single" w:color="CCCCCC" w:sz="1"/>
            </w:tcBorders>
            <w:shd w:fill="D6E9F8" w:val="clear"/>
            <w:tcMar>
              <w:top w:type="dxa" w:w="90"/>
              <w:left w:type="dxa" w:w="130"/>
              <w:bottom w:type="dxa" w:w="90"/>
              <w:right w:type="dxa" w:w="130"/>
            </w:tcMar>
          </w:tcPr>
          <w:p>
            <w:r>
              <w:rPr>
                <w:rFonts w:ascii="Arial" w:cs="Arial" w:eastAsia="Arial" w:hAnsi="Arial"/>
                <w:b/>
                <w:bCs/>
                <w:color w:val="1A3F5C"/>
                <w:sz w:val="20"/>
                <w:szCs w:val="20"/>
              </w:rPr>
              <w:t xml:space="preserve">Sector knowledge packs</w:t>
            </w:r>
          </w:p>
        </w:tc>
        <w:tc>
          <w:tcPr>
            <w:tcW w:type="dxa" w:w="6200"/>
            <w:tcBorders>
              <w:top w:val="single" w:color="CCCCCC" w:sz="1"/>
              <w:left w:val="single" w:color="CCCCCC" w:sz="1"/>
              <w:bottom w:val="single" w:color="CCCCCC" w:sz="1"/>
              <w:right w:val="single" w:color="CCCCCC" w:sz="1"/>
            </w:tcBorders>
            <w:shd w:fill="EEF6FC" w:val="clear"/>
            <w:tcMar>
              <w:top w:type="dxa" w:w="90"/>
              <w:left w:type="dxa" w:w="130"/>
              <w:bottom w:type="dxa" w:w="90"/>
              <w:right w:type="dxa" w:w="130"/>
            </w:tcMar>
          </w:tcPr>
          <w:p>
            <w:r>
              <w:rPr>
                <w:rFonts w:ascii="Arial" w:cs="Arial" w:eastAsia="Arial" w:hAnsi="Arial"/>
                <w:b w:val="false"/>
                <w:bCs w:val="false"/>
                <w:color w:val="111111"/>
                <w:sz w:val="20"/>
                <w:szCs w:val="20"/>
              </w:rPr>
              <w:t xml:space="preserve">To be released under Creative Commons Attribution terms to contribute to Zimbabwe's national AI data infrastructure.</w:t>
            </w:r>
          </w:p>
        </w:tc>
      </w:tr>
    </w:tbl>
    <w:p>
      <w:pPr>
        <w:pBdr>
          <w:bottom w:val="single" w:color="1D6FA4" w:sz="6" w:space="1"/>
        </w:pBdr>
        <w:spacing w:after="200" w:before="200"/>
      </w:pPr>
      <w:r>
        <w:t xml:space="preserve"/>
      </w:r>
    </w:p>
    <w:p>
      <w:pPr>
        <w:spacing w:after="60" w:before="60"/>
      </w:pPr>
      <w:r>
        <w:t xml:space="preserve"/>
      </w:r>
    </w:p>
    <w:p>
      <w:pPr>
        <w:spacing w:after="200" w:before="200"/>
        <w:jc w:val="center"/>
      </w:pPr>
      <w:r>
        <w:rPr>
          <w:rFonts w:ascii="Arial" w:cs="Arial" w:eastAsia="Arial" w:hAnsi="Arial"/>
          <w:b/>
          <w:bCs/>
          <w:color w:val="888888"/>
          <w:sz w:val="22"/>
          <w:szCs w:val="22"/>
        </w:rPr>
        <w:t xml:space="preserve">END OF PROPOSAL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2026-07-09T08:03:40.900Z</dcterms:created>
  <dcterms:modified xsi:type="dcterms:W3CDTF">2026-07-09T08:03:40.912Z</dcterms:modified>
</cp:coreProperties>
</file>

<file path=docProps/custom.xml><?xml version="1.0" encoding="utf-8"?>
<Properties xmlns="http://schemas.openxmlformats.org/officeDocument/2006/custom-properties" xmlns:vt="http://schemas.openxmlformats.org/officeDocument/2006/docPropsVTypes"/>
</file>