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pPr>
      <w:r>
        <w:t xml:space="preserve"/>
      </w:r>
    </w:p>
    <w:p>
      <w:pPr>
        <w:spacing w:after="120" w:before="0"/>
        <w:jc w:val="center"/>
      </w:pPr>
      <w:r>
        <w:rPr>
          <w:rFonts w:ascii="Arial" w:cs="Arial" w:eastAsia="Arial" w:hAnsi="Arial"/>
          <w:b/>
          <w:bCs/>
          <w:color w:val="0D2137"/>
          <w:sz w:val="72"/>
          <w:szCs w:val="72"/>
        </w:rPr>
        <w:t xml:space="preserve">NeuroWorks</w:t>
      </w:r>
    </w:p>
    <w:p>
      <w:pPr>
        <w:spacing w:after="80" w:before="0"/>
        <w:jc w:val="center"/>
      </w:pPr>
      <w:r>
        <w:rPr>
          <w:rFonts w:ascii="Arial" w:cs="Arial" w:eastAsia="Arial" w:hAnsi="Arial"/>
          <w:i/>
          <w:iCs/>
          <w:color w:val="1D6FA4"/>
          <w:sz w:val="28"/>
          <w:szCs w:val="28"/>
        </w:rPr>
        <w:t xml:space="preserve">An AI Digital Workforce for Zimbabwean Organisations</w:t>
      </w:r>
    </w:p>
    <w:p>
      <w:pPr>
        <w:spacing w:after="60" w:before="0"/>
        <w:jc w:val="center"/>
      </w:pPr>
      <w:r>
        <w:rPr>
          <w:rFonts w:ascii="Arial" w:cs="Arial" w:eastAsia="Arial" w:hAnsi="Arial"/>
          <w:color w:val="1A3F5C"/>
          <w:sz w:val="22"/>
          <w:szCs w:val="22"/>
        </w:rPr>
        <w:t xml:space="preserve">AI Grand Challenge 2026  —  Track 3: Development</w:t>
      </w:r>
    </w:p>
    <w:p>
      <w:pPr>
        <w:spacing w:after="40" w:before="0"/>
        <w:jc w:val="center"/>
      </w:pPr>
      <w:r>
        <w:rPr>
          <w:rFonts w:ascii="Arial" w:cs="Arial" w:eastAsia="Arial" w:hAnsi="Arial"/>
          <w:color w:val="666666"/>
          <w:sz w:val="20"/>
          <w:szCs w:val="20"/>
        </w:rPr>
        <w:t xml:space="preserve">RUBIEM Developers  –  AiiA (Autonomous Intelligence &amp; Innovation Agency)</w:t>
      </w:r>
    </w:p>
    <w:p>
      <w:pPr>
        <w:spacing w:after="200" w:before="0"/>
        <w:jc w:val="center"/>
      </w:pPr>
      <w:r>
        <w:rPr>
          <w:rFonts w:ascii="Arial" w:cs="Arial" w:eastAsia="Arial" w:hAnsi="Arial"/>
          <w:color w:val="666666"/>
          <w:sz w:val="20"/>
          <w:szCs w:val="20"/>
        </w:rPr>
        <w:t xml:space="preserve">11 July 2026  ·  Mutare, Zimbabwe</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Track</w:t>
            </w:r>
          </w:p>
        </w:tc>
        <w:tc>
          <w:tcPr>
            <w:tcW w:type="dxa" w:w="6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9"/>
                <w:szCs w:val="19"/>
              </w:rPr>
              <w:t xml:space="preserve">Track 3: Development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Product</w:t>
            </w:r>
          </w:p>
        </w:tc>
        <w:tc>
          <w:tcPr>
            <w:tcW w:type="dxa" w:w="6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9"/>
                <w:szCs w:val="19"/>
              </w:rPr>
              <w:t xml:space="preserve">NeuroWorks — AI digital workforce platform</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Lead innovator</w:t>
            </w:r>
          </w:p>
        </w:tc>
        <w:tc>
          <w:tcPr>
            <w:tcW w:type="dxa" w:w="6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9"/>
                <w:szCs w:val="19"/>
              </w:rPr>
              <w:t xml:space="preserve">AiiA / RUBIEM Developers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Repository</w:t>
            </w:r>
          </w:p>
        </w:tc>
        <w:tc>
          <w:tcPr>
            <w:tcW w:type="dxa" w:w="6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9"/>
                <w:szCs w:val="19"/>
              </w:rPr>
              <w:t xml:space="preserve">github.com/RUBIEM-DEVELOPERS-REPO/neuroworks (public)</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Grant requested</w:t>
            </w:r>
          </w:p>
        </w:tc>
        <w:tc>
          <w:tcPr>
            <w:tcW w:type="dxa" w:w="6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9"/>
                <w:szCs w:val="19"/>
              </w:rPr>
              <w:t xml:space="preserve">Development Track 1st place — USD 10,000</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Demo</w:t>
            </w:r>
          </w:p>
        </w:tc>
        <w:tc>
          <w:tcPr>
            <w:tcW w:type="dxa" w:w="6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9"/>
                <w:szCs w:val="19"/>
              </w:rPr>
              <w:t xml:space="preserve">Live demonstration available on Day 5 (Friday 31 July)</w:t>
            </w:r>
          </w:p>
        </w:tc>
      </w:tr>
    </w:tbl>
    <w:p>
      <w:r>
        <w:br w:type="page"/>
      </w:r>
    </w:p>
    <w:p>
      <w:pPr>
        <w:pStyle w:val="Heading1"/>
        <w:spacing w:after="200" w:before="400"/>
      </w:pPr>
      <w:r>
        <w:rPr>
          <w:rFonts w:ascii="Arial" w:cs="Arial" w:eastAsia="Arial" w:hAnsi="Arial"/>
          <w:b/>
          <w:bCs/>
          <w:color w:val="0D2137"/>
          <w:sz w:val="30"/>
          <w:szCs w:val="30"/>
        </w:rPr>
        <w:t xml:space="preserve">Section 1 — Problem Definition and Strategic Alignment</w:t>
      </w:r>
    </w:p>
    <w:p>
      <w:pPr>
        <w:pStyle w:val="Heading2"/>
        <w:spacing w:after="120" w:before="280"/>
      </w:pPr>
      <w:r>
        <w:rPr>
          <w:rFonts w:ascii="Arial" w:cs="Arial" w:eastAsia="Arial" w:hAnsi="Arial"/>
          <w:b/>
          <w:bCs/>
          <w:color w:val="1D6FA4"/>
          <w:sz w:val="24"/>
          <w:szCs w:val="24"/>
        </w:rPr>
        <w:t xml:space="preserve">The problem we are solving</w:t>
      </w:r>
    </w:p>
    <w:p>
      <w:pPr>
        <w:spacing w:after="100" w:before="100"/>
        <w:contextualSpacing/>
      </w:pPr>
      <w:r>
        <w:rPr>
          <w:rFonts w:ascii="Arial" w:cs="Arial" w:eastAsia="Arial" w:hAnsi="Arial"/>
          <w:color w:val="111111"/>
          <w:sz w:val="22"/>
          <w:szCs w:val="22"/>
        </w:rPr>
        <w:t xml:space="preserve">Zimbabwe's organisations are running on people who are doing too many jobs at once. A reconciliation desk at a fintech, a field-reporting team at an agricultural NGO, an admin office at a rural school, a procurement unit at a local authority — in every one of these settings, one or two people are doing work that should be spread across five. They are not failing because they lack skill or commitment. They are failing because the volume of knowledge work — the researching, drafting, querying, coordinating, reporting — simply exceeds what any reasonable number of affordable hires can cover.</w:t>
      </w:r>
    </w:p>
    <w:p>
      <w:pPr>
        <w:spacing w:after="60" w:before="60"/>
      </w:pPr>
      <w:r>
        <w:t xml:space="preserve"/>
      </w:r>
    </w:p>
    <w:p>
      <w:pPr>
        <w:spacing w:after="100" w:before="100"/>
        <w:contextualSpacing/>
      </w:pPr>
      <w:r>
        <w:rPr>
          <w:rFonts w:ascii="Arial" w:cs="Arial" w:eastAsia="Arial" w:hAnsi="Arial"/>
          <w:color w:val="111111"/>
          <w:sz w:val="22"/>
          <w:szCs w:val="22"/>
        </w:rPr>
        <w:t xml:space="preserve">The consequence is not abstract. Reports arrive late. Compliance obligations get missed. When staff leave, institutional knowledge leaves with them. Data sits in a database nobody has time to query. Customer queries stack up. This is the daily cost of the organisational capacity gap — and it compounds year on year in every sector we have looked at.</w:t>
      </w:r>
    </w:p>
    <w:p>
      <w:pPr>
        <w:spacing w:after="60" w:before="60"/>
      </w:pPr>
      <w:r>
        <w:t xml:space="preserve"/>
      </w:r>
    </w:p>
    <w:p>
      <w:pPr>
        <w:spacing w:after="100" w:before="100"/>
        <w:contextualSpacing/>
      </w:pPr>
      <w:r>
        <w:rPr>
          <w:rFonts w:ascii="Arial" w:cs="Arial" w:eastAsia="Arial" w:hAnsi="Arial"/>
          <w:color w:val="111111"/>
          <w:sz w:val="22"/>
          <w:szCs w:val="22"/>
        </w:rPr>
        <w:t xml:space="preserve">NeuroWorks addresses this directly. It deploys AI digital workers — not tools, not chatbots, not dashboards — that take a briefed goal, plan how to achieve it, call whatever tools they need, check every consequential action against the organisation's own policies, and pause for a human to approve before anything goes out into the world. The human stays in control. The workers do the work.</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Who it is for</w:t>
      </w:r>
    </w:p>
    <w:p>
      <w:pPr>
        <w:spacing w:after="100" w:before="100"/>
        <w:contextualSpacing/>
      </w:pPr>
      <w:r>
        <w:rPr>
          <w:rFonts w:ascii="Arial" w:cs="Arial" w:eastAsia="Arial" w:hAnsi="Arial"/>
          <w:color w:val="111111"/>
          <w:sz w:val="22"/>
          <w:szCs w:val="22"/>
        </w:rPr>
        <w:t xml:space="preserve">NeuroWorks is an operational tool, not a consumer product. It is built for the people who currently do this work by hand: a fintech's reconciliation desk, an agricultural NGO's field team, a school's admin office, a public-sector procurement unit, a tourism operator's booking desk. The 12 built-in sector context packs name the intended Zimbabwe-market users precisely, with real institutional detail rather than placeholder text.</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Sector</w:t>
            </w:r>
          </w:p>
        </w:tc>
        <w:tc>
          <w:tcPr>
            <w:tcW w:type="dxa" w:w="69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Who specifically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Finance and fintech</w:t>
            </w:r>
          </w:p>
        </w:tc>
        <w:tc>
          <w:tcPr>
            <w:tcW w:type="dxa" w:w="6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Reconciliation desks, agent-network managers working within the RBZ framework, EcoCash and OneMoney mobile money infrastructure</w:t>
            </w:r>
          </w:p>
        </w:tc>
      </w:tr>
      <w:tr>
        <w:tc>
          <w:tcPr>
            <w:tcW w:type="dxa" w:w="2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Agriculture</w:t>
            </w:r>
          </w:p>
        </w:tc>
        <w:tc>
          <w:tcPr>
            <w:tcW w:type="dxa" w:w="6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Field-reporting teams and input-financing coordinators on Pfumvudza/Intwasa (the government smallholder programme) and GMB-linked operations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Health</w:t>
            </w:r>
          </w:p>
        </w:tc>
        <w:tc>
          <w:tcPr>
            <w:tcW w:type="dxa" w:w="6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Community health worker coordinators and stock-out analysts at MOHCC-aligned facilities running DHIS2</w:t>
            </w:r>
          </w:p>
        </w:tc>
      </w:tr>
      <w:tr>
        <w:tc>
          <w:tcPr>
            <w:tcW w:type="dxa" w:w="2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Education</w:t>
            </w:r>
          </w:p>
        </w:tc>
        <w:tc>
          <w:tcPr>
            <w:tcW w:type="dxa" w:w="6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Admin offices and reporting staff at ZIMSEC-affiliated institutions and schools on the 2-7-4-2-4 curriculum structure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Tourism</w:t>
            </w:r>
          </w:p>
        </w:tc>
        <w:tc>
          <w:tcPr>
            <w:tcW w:type="dxa" w:w="6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Booking desks and destination-intelligence teams working with ZTA and the UNIVISA/KAZA cross-border scheme</w:t>
            </w:r>
          </w:p>
        </w:tc>
      </w:tr>
      <w:tr>
        <w:tc>
          <w:tcPr>
            <w:tcW w:type="dxa" w:w="2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Public services</w:t>
            </w:r>
          </w:p>
        </w:tc>
        <w:tc>
          <w:tcPr>
            <w:tcW w:type="dxa" w:w="6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Procurement compliance and records management under PRAZ, devolution-agenda departments, and ZIMRA</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Informal economy and retail</w:t>
            </w:r>
          </w:p>
        </w:tc>
        <w:tc>
          <w:tcPr>
            <w:tcW w:type="dxa" w:w="6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Market operators at Mbare Musika and kopje trading, managing dual USD/ZWL pricing and high-density delivery logistics</w:t>
            </w:r>
          </w:p>
        </w:tc>
      </w:tr>
      <w:tr>
        <w:tc>
          <w:tcPr>
            <w:tcW w:type="dxa" w:w="2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Development and NGO</w:t>
            </w:r>
          </w:p>
        </w:tc>
        <w:tc>
          <w:tcPr>
            <w:tcW w:type="dxa" w:w="6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Grant-reporting and donor-coordination staff working to WFP, WHO, UNICEF, and UNDP reporting cadences</w:t>
            </w:r>
          </w:p>
        </w:tc>
      </w:tr>
    </w:tbl>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45309" w:sz="4"/>
              <w:left w:val="single" w:color="B45309" w:sz="20"/>
              <w:bottom w:val="single" w:color="B45309" w:sz="4"/>
              <w:right w:val="none" w:color="FFFFFF" w:sz="0"/>
            </w:tcBorders>
            <w:shd w:fill="FFF2CC" w:val="clear"/>
            <w:tcMar>
              <w:top w:type="dxa" w:w="140"/>
              <w:left w:type="dxa" w:w="240"/>
              <w:bottom w:type="dxa" w:w="140"/>
              <w:right w:type="dxa" w:w="240"/>
            </w:tcMar>
          </w:tcPr>
          <w:p>
            <w:pPr>
              <w:spacing w:after="60" w:before="0"/>
            </w:pPr>
            <w:r>
              <w:rPr>
                <w:rFonts w:ascii="Arial" w:cs="Arial" w:eastAsia="Arial" w:hAnsi="Arial"/>
                <w:b/>
                <w:bCs/>
                <w:color w:val="B45309"/>
                <w:sz w:val="20"/>
                <w:szCs w:val="20"/>
              </w:rPr>
              <w:t xml:space="preserve">Where we are not claiming coverage</w:t>
            </w:r>
          </w:p>
          <w:p>
            <w:pPr>
              <w:spacing w:after="0" w:before="0"/>
            </w:pPr>
            <w:r>
              <w:rPr>
                <w:rFonts w:ascii="Arial" w:cs="Arial" w:eastAsia="Arial" w:hAnsi="Arial"/>
                <w:color w:val="111111"/>
                <w:sz w:val="21"/>
                <w:szCs w:val="21"/>
              </w:rPr>
              <w:t xml:space="preserve">Three of the Grand Challenge's named priority sectors — fisheries, future skills, and energy — do not have a dedicated sector pack today. This is stated plainly rather than stretched to fit.</w:t>
            </w:r>
          </w:p>
        </w:tc>
      </w:tr>
    </w:tbl>
    <w:p>
      <w:pPr>
        <w:spacing w:after="60" w:before="60"/>
      </w:pPr>
      <w:r>
        <w:t xml:space="preserve"/>
      </w:r>
    </w:p>
    <w:p>
      <w:pPr>
        <w:pStyle w:val="Heading2"/>
        <w:spacing w:after="120" w:before="280"/>
      </w:pPr>
      <w:r>
        <w:rPr>
          <w:rFonts w:ascii="Arial" w:cs="Arial" w:eastAsia="Arial" w:hAnsi="Arial"/>
          <w:b/>
          <w:bCs/>
          <w:color w:val="1D6FA4"/>
          <w:sz w:val="24"/>
          <w:szCs w:val="24"/>
        </w:rPr>
        <w:t xml:space="preserve">What makes this an AI problem and not a hiring problem</w:t>
      </w:r>
    </w:p>
    <w:p>
      <w:pPr>
        <w:spacing w:after="100" w:before="100"/>
        <w:contextualSpacing/>
      </w:pPr>
      <w:r>
        <w:rPr>
          <w:rFonts w:ascii="Arial" w:cs="Arial" w:eastAsia="Arial" w:hAnsi="Arial"/>
          <w:color w:val="111111"/>
          <w:sz w:val="22"/>
          <w:szCs w:val="22"/>
        </w:rPr>
        <w:t xml:space="preserve">The tasks these workers perform — synthesising multiple data sources into a coherent report, interpreting a policy document and checking whether a proposed action complies with it, drafting correspondence that reflects the organisation's voice and context, running a natural-language query across 24 database tables and returning something a non-technical manager can read — are not reducible to a lookup table or a rule engine. They require language understanding, context retention across multiple steps, and adaptive planning. A traditional system can answer “does this record match this pattern.” It cannot answer “review these tables, draft the reconciliation summary, check it against our financial policy, and route it to the right person in the right format.” That is the gap AI closes here.</w:t>
      </w:r>
    </w:p>
    <w:p>
      <w:pPr>
        <w:spacing w:after="60" w:before="60"/>
      </w:pPr>
      <w:r>
        <w:t xml:space="preserve"/>
      </w:r>
    </w:p>
    <w:p>
      <w:pPr>
        <w:spacing w:after="100" w:before="100"/>
        <w:contextualSpacing/>
      </w:pPr>
      <w:r>
        <w:rPr>
          <w:rFonts w:ascii="Arial" w:cs="Arial" w:eastAsia="Arial" w:hAnsi="Arial"/>
          <w:color w:val="111111"/>
          <w:sz w:val="22"/>
          <w:szCs w:val="22"/>
        </w:rPr>
        <w:t xml:space="preserve">The baseline comparison is explicit. Without NeuroWorks, the reconciliation desk operator writes their own SQL, exports the result, formats it by hand, drafts the email, checks the policy binder, and sends it. With NeuroWorks, they brief the goal once, approve the output, and send. The cognitive load reduction is real and measurable — we have one live pilot database already connected and running tasks against it as of 11 July 2026.</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Data sovereignty — why local-first matters here specifically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1D6FA4" w:sz="4"/>
              <w:left w:val="single" w:color="1D6FA4" w:sz="20"/>
              <w:bottom w:val="single" w:color="1D6FA4" w:sz="4"/>
              <w:right w:val="none" w:color="FFFFFF" w:sz="0"/>
            </w:tcBorders>
            <w:shd w:fill="D6E9F8" w:val="clear"/>
            <w:tcMar>
              <w:top w:type="dxa" w:w="140"/>
              <w:left w:type="dxa" w:w="240"/>
              <w:bottom w:type="dxa" w:w="140"/>
              <w:right w:type="dxa" w:w="240"/>
            </w:tcMar>
          </w:tcPr>
          <w:p>
            <w:pPr>
              <w:spacing w:after="0" w:before="0"/>
            </w:pPr>
            <w:r>
              <w:rPr>
                <w:rFonts w:ascii="Arial" w:cs="Arial" w:eastAsia="Arial" w:hAnsi="Arial"/>
                <w:color w:val="111111"/>
                <w:sz w:val="21"/>
                <w:szCs w:val="21"/>
              </w:rPr>
              <w:t xml:space="preserve">NeuroWorks runs on a local, open-weight model (Ollama) by default. Zero API keys are required to start. No organisational data leaves the machine unless an operator explicitly routes a specific task to a cloud model. This is not a special offline mode — it is the default posture. Measured across a real 10-day operating window: 62.7% of all LLM calls were served free and locally, with no data leaving the machine.</w:t>
            </w:r>
          </w:p>
        </w:tc>
      </w:tr>
    </w:tbl>
    <w:p>
      <w:pPr>
        <w:spacing w:after="60" w:before="60"/>
      </w:pPr>
      <w:r>
        <w:t xml:space="preserve"/>
      </w:r>
    </w:p>
    <w:p>
      <w:pPr>
        <w:spacing w:after="100" w:before="100"/>
        <w:contextualSpacing/>
      </w:pPr>
      <w:r>
        <w:rPr>
          <w:rFonts w:ascii="Arial" w:cs="Arial" w:eastAsia="Arial" w:hAnsi="Arial"/>
          <w:color w:val="111111"/>
          <w:sz w:val="22"/>
          <w:szCs w:val="22"/>
        </w:rPr>
        <w:t xml:space="preserve">For public institutions, this is not a nice-to-have. It is the condition under which they can seriously consider an AI tool at all. Data processed on the institution's own hardware, under local models, with no mandatory foreign-cloud transmission, stays within the institution's legal jurisdiction and control. That is the architecture NeuroWorks offers by default — not as a compliance claim, but as a structural reality.</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Strategic alignment — specific, not generic</w:t>
      </w:r>
    </w:p>
    <w:p>
      <w:pPr>
        <w:spacing w:after="100" w:before="100"/>
        <w:contextualSpacing/>
      </w:pPr>
      <w:r>
        <w:rPr>
          <w:rFonts w:ascii="Arial" w:cs="Arial" w:eastAsia="Arial" w:hAnsi="Arial"/>
          <w:color w:val="111111"/>
          <w:sz w:val="22"/>
          <w:szCs w:val="22"/>
        </w:rPr>
        <w:t xml:space="preserve">The checklist warns that ‘this product supports Zimbabwe's development’ is not sufficient alignment, and that warning is right. What follows names the specific initiatives and pillars and is honest about where the fit is real versus where it would be a stretch.</w:t>
      </w:r>
    </w:p>
    <w:p>
      <w:pPr>
        <w:spacing w:after="60" w:before="60"/>
      </w:pPr>
      <w:r>
        <w:t xml:space="preserve"/>
      </w:r>
    </w:p>
    <w:p>
      <w:pPr>
        <w:spacing w:after="80" w:before="200"/>
      </w:pPr>
      <w:r>
        <w:rPr>
          <w:rFonts w:ascii="Arial" w:cs="Arial" w:eastAsia="Arial" w:hAnsi="Arial"/>
          <w:b/>
          <w:bCs/>
          <w:color w:val="1A3F5C"/>
          <w:sz w:val="22"/>
          <w:szCs w:val="22"/>
        </w:rPr>
        <w:t xml:space="preserve">National AI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00"/>
      </w:tblGrid>
      <w:tr>
        <w:tc>
          <w:tcPr>
            <w:tcW w:type="dxa" w:w="28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Priority</w:t>
            </w:r>
          </w:p>
        </w:tc>
        <w:tc>
          <w:tcPr>
            <w:tcW w:type="dxa" w:w="12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Fit</w:t>
            </w:r>
          </w:p>
        </w:tc>
        <w:tc>
          <w:tcPr>
            <w:tcW w:type="dxa" w:w="55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What actually supports this claim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Sovereign AI infrastructure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Direct</w:t>
            </w:r>
          </w:p>
        </w:tc>
        <w:tc>
          <w:tcPr>
            <w:tcW w:type="dxa" w:w="5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default install runs on Ollama with zero API keys and zero mandatory dependency on a foreign cloud provider. An institution can run NeuroWorks with its data never leaving its own machine. This is the default, not a special mode.</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MSME and informal economy inclusion</w:t>
            </w:r>
          </w:p>
        </w:tc>
        <w:tc>
          <w:tcPr>
            <w:tcW w:type="dxa" w:w="1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Direct</w:t>
            </w:r>
          </w:p>
        </w:tc>
        <w:tc>
          <w:tcPr>
            <w:tcW w:type="dxa" w:w="55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retail sector pack targets informal-market operators specifically — Mbare Musika, kopje trading, dual-pricing logistics. Native Paynow Zimbabwe integration means a small operator can collect digital payments without building payment infrastructure from scratch.</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Public sector efficiency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Direct</w:t>
            </w:r>
          </w:p>
        </w:tc>
        <w:tc>
          <w:tcPr>
            <w:tcW w:type="dxa" w:w="5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public-sector pack names PRAZ procurement compliance and citizen-facing turnaround times specifically. The governance engine blocks a non-compliant action before it executes, not after — which is the accountability layer a public institution needs before it can trust an AI tool for real decisions.</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National data assets</w:t>
            </w:r>
          </w:p>
        </w:tc>
        <w:tc>
          <w:tcPr>
            <w:tcW w:type="dxa" w:w="1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Partial</w:t>
            </w:r>
          </w:p>
        </w:tc>
        <w:tc>
          <w:tcPr>
            <w:tcW w:type="dxa" w:w="55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ADRS provenance pipeline builds governed, hash-verified datasets at institutional scale. Today it operates at single-operator scale, not as national infrastructure. A real capability, not yet a deployed national asset. Stated honestly rather than overstated.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AI skills development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Not claimed</w:t>
            </w:r>
          </w:p>
        </w:tc>
        <w:tc>
          <w:tcPr>
            <w:tcW w:type="dxa" w:w="5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NeuroWorks is a tool operators use, not a training or upskilling product. No attempt is made to stretch this fit.</w:t>
            </w:r>
          </w:p>
        </w:tc>
      </w:tr>
    </w:tbl>
    <w:p>
      <w:pPr>
        <w:spacing w:after="60" w:before="60"/>
      </w:pPr>
      <w:r>
        <w:t xml:space="preserve"/>
      </w:r>
    </w:p>
    <w:p>
      <w:pPr>
        <w:spacing w:after="80" w:before="200"/>
      </w:pPr>
      <w:r>
        <w:rPr>
          <w:rFonts w:ascii="Arial" w:cs="Arial" w:eastAsia="Arial" w:hAnsi="Arial"/>
          <w:b/>
          <w:bCs/>
          <w:color w:val="1A3F5C"/>
          <w:sz w:val="22"/>
          <w:szCs w:val="22"/>
        </w:rPr>
        <w:t xml:space="preserve">NDS2 pillars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300"/>
      </w:tblGrid>
      <w:tr>
        <w:tc>
          <w:tcPr>
            <w:tcW w:type="dxa" w:w="30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Pillar</w:t>
            </w:r>
          </w:p>
        </w:tc>
        <w:tc>
          <w:tcPr>
            <w:tcW w:type="dxa" w:w="12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Fit</w:t>
            </w:r>
          </w:p>
        </w:tc>
        <w:tc>
          <w:tcPr>
            <w:tcW w:type="dxa" w:w="53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How</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Pillar 3 — Governance and Institutions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Direct</w:t>
            </w:r>
          </w:p>
        </w:tc>
        <w:tc>
          <w:tcPr>
            <w:tcW w:type="dxa" w:w="5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An operator uploads their policy documents. The governance engine extracts the rules, displays them for review, and then actually enforces them — blocking a non-compliant action before it executes, not logging it afterward. This is the strongest single institutional-alignment claim in the whole product, and it is backed by working code.</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Pillar 1 — Economic Growth and Stability</w:t>
            </w:r>
          </w:p>
        </w:tc>
        <w:tc>
          <w:tcPr>
            <w:tcW w:type="dxa" w:w="1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Direct</w:t>
            </w:r>
          </w:p>
        </w:tc>
        <w:tc>
          <w:tcPr>
            <w:tcW w:type="dxa" w:w="53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Real productivity gains in fintech, agriculture, tourism, and public services — actual reconciliation, reporting, and correspondence done faster — not development sentiment.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Pillar 2 — Social Development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Partial</w:t>
            </w:r>
          </w:p>
        </w:tc>
        <w:tc>
          <w:tcPr>
            <w:tcW w:type="dxa" w:w="5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health pack's community-health-worker coordination and the education pack's admin support touch social outcomes indirectly, through operator efficiency rather than a direct citizen-facing service.</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Pillars 4 and 5</w:t>
            </w:r>
          </w:p>
        </w:tc>
        <w:tc>
          <w:tcPr>
            <w:tcW w:type="dxa" w:w="1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Not claimed</w:t>
            </w:r>
          </w:p>
        </w:tc>
        <w:tc>
          <w:tcPr>
            <w:tcW w:type="dxa" w:w="53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No feature of NeuroWorks addresses infrastructure, utilities, environment, or climate directly. Forcing a connection here would be exactly the generic-claim pattern that should be avoided.</w:t>
            </w:r>
          </w:p>
        </w:tc>
      </w:tr>
    </w:tbl>
    <w:p>
      <w:pPr>
        <w:spacing w:after="60" w:before="60"/>
      </w:pPr>
      <w:r>
        <w:t xml:space="preserve"/>
      </w:r>
    </w:p>
    <w:p>
      <w:pPr>
        <w:spacing w:after="100" w:before="100"/>
        <w:contextualSpacing/>
      </w:pPr>
      <w:r>
        <w:rPr>
          <w:rFonts w:ascii="Arial" w:cs="Arial" w:eastAsia="Arial" w:hAnsi="Arial"/>
          <w:color w:val="111111"/>
          <w:sz w:val="22"/>
          <w:szCs w:val="22"/>
        </w:rPr>
        <w:t xml:space="preserve">On Vision 2030 and Heritage-Based Education 5.0: there is a modest, honest connection. Education 5.0's emphasis on innovation and technology is broadly consistent with an AI tool built for a Zimbabwean education admin office, but no formal programme integration exists. It is not stretched further than that.</w:t>
      </w:r>
    </w:p>
    <w:p>
      <w:r>
        <w:br w:type="page"/>
      </w:r>
    </w:p>
    <w:p>
      <w:pPr>
        <w:pStyle w:val="Heading1"/>
        <w:spacing w:after="200" w:before="400"/>
      </w:pPr>
      <w:r>
        <w:rPr>
          <w:rFonts w:ascii="Arial" w:cs="Arial" w:eastAsia="Arial" w:hAnsi="Arial"/>
          <w:b/>
          <w:bCs/>
          <w:color w:val="0D2137"/>
          <w:sz w:val="30"/>
          <w:szCs w:val="30"/>
        </w:rPr>
        <w:t xml:space="preserve">Section 2 — Technical Design and Product Logic</w:t>
      </w:r>
    </w:p>
    <w:p>
      <w:pPr>
        <w:pStyle w:val="Heading2"/>
        <w:spacing w:after="120" w:before="280"/>
      </w:pPr>
      <w:r>
        <w:rPr>
          <w:rFonts w:ascii="Arial" w:cs="Arial" w:eastAsia="Arial" w:hAnsi="Arial"/>
          <w:b/>
          <w:bCs/>
          <w:color w:val="1D6FA4"/>
          <w:sz w:val="24"/>
          <w:szCs w:val="24"/>
        </w:rPr>
        <w:t xml:space="preserve">How the system works</w:t>
      </w:r>
    </w:p>
    <w:p>
      <w:pPr>
        <w:spacing w:after="100" w:before="100"/>
        <w:contextualSpacing/>
      </w:pPr>
      <w:r>
        <w:rPr>
          <w:rFonts w:ascii="Arial" w:cs="Arial" w:eastAsia="Arial" w:hAnsi="Arial"/>
          <w:color w:val="111111"/>
          <w:sz w:val="22"/>
          <w:szCs w:val="22"/>
        </w:rPr>
        <w:t xml:space="preserve">The architecture has three layers. At the bottom are tools: databases, email, GitHub, payment systems, file stores. In the middle is HERMES, the tool-governance layer — an allowlisted set of approximately 90 primitives that defines precisely what agents are and are not permitted to do. At the top are the digital workers themselves: LLM-powered agents that receive a goal, form a plan, and call the tools they need through HERMES. Workers call tools. Workers are not tools. That distinction matters.</w:t>
      </w:r>
    </w:p>
    <w:p>
      <w:pPr>
        <w:spacing w:after="60" w:before="60"/>
      </w:pPr>
      <w:r>
        <w:t xml:space="preserve"/>
      </w:r>
    </w:p>
    <w:p>
      <w:pPr>
        <w:spacing w:after="100" w:before="100"/>
        <w:contextualSpacing/>
      </w:pPr>
      <w:r>
        <w:rPr>
          <w:rFonts w:ascii="Arial" w:cs="Arial" w:eastAsia="Arial" w:hAnsi="Arial"/>
          <w:color w:val="111111"/>
          <w:sz w:val="22"/>
          <w:szCs w:val="22"/>
        </w:rPr>
        <w:t xml:space="preserve">When a worker is dispatched on a mission, it reasons about what steps are needed, calls the appropriate primitives in sequence, and pauses at any consequential step — sending an email, writing to a database, creating a GitHub issue — for a human to review and approve. The audit log captures every tool call, every decision point, every approval. Nothing consequential happens without a human in the loop.</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2E7D32" w:sz="4"/>
              <w:left w:val="single" w:color="2E7D32" w:sz="20"/>
              <w:bottom w:val="single" w:color="2E7D32" w:sz="4"/>
              <w:right w:val="none" w:color="FFFFFF" w:sz="0"/>
            </w:tcBorders>
            <w:shd w:fill="E2EFDA" w:val="clear"/>
            <w:tcMar>
              <w:top w:type="dxa" w:w="140"/>
              <w:left w:type="dxa" w:w="240"/>
              <w:bottom w:type="dxa" w:w="140"/>
              <w:right w:type="dxa" w:w="240"/>
            </w:tcMar>
          </w:tcPr>
          <w:p>
            <w:pPr>
              <w:spacing w:after="60" w:before="0"/>
            </w:pPr>
            <w:r>
              <w:rPr>
                <w:rFonts w:ascii="Arial" w:cs="Arial" w:eastAsia="Arial" w:hAnsi="Arial"/>
                <w:b/>
                <w:bCs/>
                <w:color w:val="2E7D32"/>
                <w:sz w:val="20"/>
                <w:szCs w:val="20"/>
              </w:rPr>
              <w:t xml:space="preserve">What is actually built and running right now</w:t>
            </w:r>
          </w:p>
          <w:p>
            <w:pPr>
              <w:spacing w:after="0" w:before="0"/>
            </w:pPr>
            <w:r>
              <w:rPr>
                <w:rFonts w:ascii="Arial" w:cs="Arial" w:eastAsia="Arial" w:hAnsi="Arial"/>
                <w:color w:val="111111"/>
                <w:sz w:val="21"/>
                <w:szCs w:val="21"/>
              </w:rPr>
              <w:t xml:space="preserve">28 live API routers, all with real handlers and no scaffolding stubs. Approximately 90 agent primitives across 12 namespaces. 141 skill playbooks covering every major organisational department. Two published datasets with verifiable root hashes. One production PostgreSQL database connected and live. Paynow Zimbabwe and Mailjet both live-tested. 118 tests passing. Meaningful Git commit history across the full development arc.</w:t>
            </w:r>
          </w:p>
        </w:tc>
      </w:tr>
    </w:tbl>
    <w:p>
      <w:pPr>
        <w:spacing w:after="60" w:before="60"/>
      </w:pPr>
      <w:r>
        <w:t xml:space="preserve"/>
      </w:r>
    </w:p>
    <w:p>
      <w:pPr>
        <w:pStyle w:val="Heading2"/>
        <w:spacing w:after="120" w:before="280"/>
      </w:pPr>
      <w:r>
        <w:rPr>
          <w:rFonts w:ascii="Arial" w:cs="Arial" w:eastAsia="Arial" w:hAnsi="Arial"/>
          <w:b/>
          <w:bCs/>
          <w:color w:val="1D6FA4"/>
          <w:sz w:val="24"/>
          <w:szCs w:val="24"/>
        </w:rPr>
        <w:t xml:space="preserve">The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Backend</w:t>
            </w:r>
          </w:p>
        </w:tc>
        <w:tc>
          <w:tcPr>
            <w:tcW w:type="dxa" w:w="6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9"/>
                <w:szCs w:val="19"/>
              </w:rPr>
              <w:t xml:space="preserve">Node.js and TypeScript, Express — 28 routers, 85 business-logic files in lib/, 46 route handlers in routes/. Every route has a real handler behind it.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Frontend</w:t>
            </w:r>
          </w:p>
        </w:tc>
        <w:tc>
          <w:tcPr>
            <w:tcW w:type="dxa" w:w="6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9"/>
                <w:szCs w:val="19"/>
              </w:rPr>
              <w:t xml:space="preserve">Next.js 14, React, TypeScript — 37 pages covering the operator console, Mission Control, Knowledge Packs browser, cost dashboard, and governance policy manager.</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Agent orchestration</w:t>
            </w:r>
          </w:p>
        </w:tc>
        <w:tc>
          <w:tcPr>
            <w:tcW w:type="dxa" w:w="6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9"/>
                <w:szCs w:val="19"/>
              </w:rPr>
              <w:t xml:space="preserve">LangGraph multi-agent framework via the EXECUTOR — handles inter-agent communication, HITL gate management, and audit logging on every action taken.</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Local inference</w:t>
            </w:r>
          </w:p>
        </w:tc>
        <w:tc>
          <w:tcPr>
            <w:tcW w:type="dxa" w:w="6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9"/>
                <w:szCs w:val="19"/>
              </w:rPr>
              <w:t xml:space="preserve">Ollama, always on, zero API key required. This is the default inference path for planning, synthesis, and extraction. No data leaves the machine when this path is active.</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Cloud inference</w:t>
            </w:r>
          </w:p>
        </w:tc>
        <w:tc>
          <w:tcPr>
            <w:tcW w:type="dxa" w:w="6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9"/>
                <w:szCs w:val="19"/>
              </w:rPr>
              <w:t xml:space="preserve">OpenRouter with a circuit breaker and billing-exhaustion fallback to Ollama. Claude and Anthropic models cost-tiered. Opt-in only — the planner escalates to cloud when task complexity genuinely demands it, not by default.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Vector store</w:t>
            </w:r>
          </w:p>
        </w:tc>
        <w:tc>
          <w:tcPr>
            <w:tcW w:type="dxa" w:w="6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9"/>
                <w:szCs w:val="19"/>
              </w:rPr>
              <w:t xml:space="preserve">Qdrant for RAG across all knowledge packs and vault content. Organisation-isolated collections. HNSW indexing. Snapshot export for data portability.</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Relational database</w:t>
            </w:r>
          </w:p>
        </w:tc>
        <w:tc>
          <w:tcPr>
            <w:tcW w:type="dxa" w:w="6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9"/>
                <w:szCs w:val="19"/>
              </w:rPr>
              <w:t xml:space="preserve">PostgreSQL for users, organisations, job definitions, audit logs, billing, and connector configurations.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Session state</w:t>
            </w:r>
          </w:p>
        </w:tc>
        <w:tc>
          <w:tcPr>
            <w:tcW w:type="dxa" w:w="6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9"/>
                <w:szCs w:val="19"/>
              </w:rPr>
              <w:t xml:space="preserve">Redis for agent working memory and job queues. Ephemeral during execution; persisted to PostgreSQL on mission completion.</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Secrets management</w:t>
            </w:r>
          </w:p>
        </w:tc>
        <w:tc>
          <w:tcPr>
            <w:tcW w:type="dxa" w:w="6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9"/>
                <w:szCs w:val="19"/>
              </w:rPr>
              <w:t xml:space="preserve">AES-256-GCM encrypted .neuroworks secrets store. Credentials are never logged. Every vault write is scanned for secret patterns before it touches disk — live-tested against a planted fake token and detected in under a millisecond.</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Payments</w:t>
            </w:r>
          </w:p>
        </w:tc>
        <w:tc>
          <w:tcPr>
            <w:tcW w:type="dxa" w:w="6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9"/>
                <w:szCs w:val="19"/>
              </w:rPr>
              <w:t xml:space="preserve">Stripe for global billing and Paynow Zimbabwe for local payments — both live-tested. This is the only platform in this field with a Zimbabwe-market local payment rail already wired and working.</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40"/>
              <w:bottom w:type="dxa" w:w="90"/>
              <w:right w:type="dxa" w:w="140"/>
            </w:tcMar>
          </w:tcPr>
          <w:p>
            <w:r>
              <w:rPr>
                <w:rFonts w:ascii="Arial" w:cs="Arial" w:eastAsia="Arial" w:hAnsi="Arial"/>
                <w:b/>
                <w:bCs/>
                <w:color w:val="1A3F5C"/>
                <w:sz w:val="19"/>
                <w:szCs w:val="19"/>
              </w:rPr>
              <w:t xml:space="preserve">Local language</w:t>
            </w:r>
          </w:p>
        </w:tc>
        <w:tc>
          <w:tcPr>
            <w:tcW w:type="dxa" w:w="6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9"/>
                <w:szCs w:val="19"/>
              </w:rPr>
              <w:t xml:space="preserve">Shona and Ndebele glossary-based chat support is live now. LLM prompt templates for agent content generation in local languages are in active development.</w:t>
            </w:r>
          </w:p>
        </w:tc>
      </w:tr>
    </w:tbl>
    <w:p>
      <w:pPr>
        <w:spacing w:after="60" w:before="60"/>
      </w:pPr>
      <w:r>
        <w:t xml:space="preserve"/>
      </w:r>
    </w:p>
    <w:p>
      <w:pPr>
        <w:pStyle w:val="Heading2"/>
        <w:spacing w:after="120" w:before="280"/>
      </w:pPr>
      <w:r>
        <w:rPr>
          <w:rFonts w:ascii="Arial" w:cs="Arial" w:eastAsia="Arial" w:hAnsi="Arial"/>
          <w:b/>
          <w:bCs/>
          <w:color w:val="1D6FA4"/>
          <w:sz w:val="24"/>
          <w:szCs w:val="24"/>
        </w:rPr>
        <w:t xml:space="preserve">Agent primitives — the tools workers can call</w:t>
      </w:r>
    </w:p>
    <w:p>
      <w:pPr>
        <w:spacing w:after="100" w:before="100"/>
        <w:contextualSpacing/>
      </w:pPr>
      <w:r>
        <w:rPr>
          <w:rFonts w:ascii="Arial" w:cs="Arial" w:eastAsia="Arial" w:hAnsi="Arial"/>
          <w:color w:val="111111"/>
          <w:sz w:val="22"/>
          <w:szCs w:val="22"/>
        </w:rPr>
        <w:t xml:space="preserve">The following approximately 90 primitives are what digital workers have access to through HERMES. They are not planned — they are implemented, tested, and active.</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900"/>
      </w:tblGrid>
      <w:tr>
        <w:tc>
          <w:tcPr>
            <w:tcW w:type="dxa" w:w="16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Namespace</w:t>
            </w:r>
          </w:p>
        </w:tc>
        <w:tc>
          <w:tcPr>
            <w:tcW w:type="dxa" w:w="50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What is available</w:t>
            </w:r>
          </w:p>
        </w:tc>
        <w:tc>
          <w:tcPr>
            <w:tcW w:type="dxa" w:w="29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vault</w:t>
            </w:r>
          </w:p>
        </w:tc>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Search, read, list, write, edit, append, create Zettel notes, find by tag, scan documents, write PDF</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r>
        <w:tc>
          <w:tcPr>
            <w:tcW w:type="dxa" w:w="1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db</w:t>
            </w:r>
          </w:p>
        </w:tc>
        <w:tc>
          <w:tcPr>
            <w:tcW w:type="dxa" w:w="5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List sources, list tables, describe table, query, write (human approval required before execution), schema inspection — one production PostgreSQL connected</w:t>
            </w:r>
          </w:p>
        </w:tc>
        <w:tc>
          <w:tcPr>
            <w:tcW w:type="dxa" w:w="2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web</w:t>
            </w:r>
          </w:p>
        </w:tc>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Fetch, scrape, interact, search — three-tier fallback: direct fetch, then Playwright, then Firecrawl</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r>
        <w:tc>
          <w:tcPr>
            <w:tcW w:type="dxa" w:w="1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github</w:t>
            </w:r>
          </w:p>
        </w:tc>
        <w:tc>
          <w:tcPr>
            <w:tcW w:type="dxa" w:w="5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List repos, read repo, get file, create issue, comment, update, request review, list issues — via Octokit</w:t>
            </w:r>
          </w:p>
        </w:tc>
        <w:tc>
          <w:tcPr>
            <w:tcW w:type="dxa" w:w="2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comms</w:t>
            </w:r>
          </w:p>
        </w:tc>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Email send via Mailjet with attachments and multiple recipients. Slack, Telegram, Discord, MS Teams, Google Chat posting, webhook dispatch</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Mailjet live; others environment-gated</w:t>
            </w:r>
          </w:p>
        </w:tc>
      </w:tr>
      <w:tr>
        <w:tc>
          <w:tcPr>
            <w:tcW w:type="dxa" w:w="1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payments</w:t>
            </w:r>
          </w:p>
        </w:tc>
        <w:tc>
          <w:tcPr>
            <w:tcW w:type="dxa" w:w="5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Stripe payment link, Paynow Zimbabwe link and poll, payment status, payment list</w:t>
            </w:r>
          </w:p>
        </w:tc>
        <w:tc>
          <w:tcPr>
            <w:tcW w:type="dxa" w:w="2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Both live and tested</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research</w:t>
            </w:r>
          </w:p>
        </w:tc>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Deep research, multi-perspective research</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r>
        <w:tc>
          <w:tcPr>
            <w:tcW w:type="dxa" w:w="1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quality</w:t>
            </w:r>
          </w:p>
        </w:tc>
        <w:tc>
          <w:tcPr>
            <w:tcW w:type="dxa" w:w="5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Quality check, security scan, peer review, peer delegate, Hermes delegate</w:t>
            </w:r>
          </w:p>
        </w:tc>
        <w:tc>
          <w:tcPr>
            <w:tcW w:type="dxa" w:w="2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org</w:t>
            </w:r>
          </w:p>
        </w:tc>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Organisation lookup, escalation path, human request for HITL pause and resume</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r>
        <w:tc>
          <w:tcPr>
            <w:tcW w:type="dxa" w:w="1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knowledge</w:t>
            </w:r>
          </w:p>
        </w:tc>
        <w:tc>
          <w:tcPr>
            <w:tcW w:type="dxa" w:w="5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Knowledge graph query via graphify, data publish, dataset listing, department data retrieval</w:t>
            </w:r>
          </w:p>
        </w:tc>
        <w:tc>
          <w:tcPr>
            <w:tcW w:type="dxa" w:w="2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memory</w:t>
            </w:r>
          </w:p>
        </w:tc>
        <w:tc>
          <w:tcPr>
            <w:tcW w:type="dxa" w:w="5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Note, recall, search, calendar activity, day planning, read today</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r>
        <w:tc>
          <w:tcPr>
            <w:tcW w:type="dxa" w:w="1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skills</w:t>
            </w:r>
          </w:p>
        </w:tc>
        <w:tc>
          <w:tcPr>
            <w:tcW w:type="dxa" w:w="5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List, load, suggest, draft, and fetch remote skill playbooks — 141 playbooks active</w:t>
            </w:r>
          </w:p>
        </w:tc>
        <w:tc>
          <w:tcPr>
            <w:tcW w:type="dxa" w:w="2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w:t>
            </w:r>
          </w:p>
        </w:tc>
      </w:tr>
    </w:tbl>
    <w:p>
      <w:pPr>
        <w:spacing w:after="60" w:before="60"/>
      </w:pPr>
      <w:r>
        <w:t xml:space="preserve"/>
      </w:r>
    </w:p>
    <w:p>
      <w:pPr>
        <w:pStyle w:val="Heading2"/>
        <w:spacing w:after="120" w:before="280"/>
      </w:pPr>
      <w:r>
        <w:rPr>
          <w:rFonts w:ascii="Arial" w:cs="Arial" w:eastAsia="Arial" w:hAnsi="Arial"/>
          <w:b/>
          <w:bCs/>
          <w:color w:val="1D6FA4"/>
          <w:sz w:val="24"/>
          <w:szCs w:val="24"/>
        </w:rPr>
        <w:t xml:space="preserve">The data pipeline — ADRS</w:t>
      </w:r>
    </w:p>
    <w:p>
      <w:pPr>
        <w:spacing w:after="100" w:before="100"/>
        <w:contextualSpacing/>
      </w:pPr>
      <w:r>
        <w:rPr>
          <w:rFonts w:ascii="Arial" w:cs="Arial" w:eastAsia="Arial" w:hAnsi="Arial"/>
          <w:color w:val="111111"/>
          <w:sz w:val="22"/>
          <w:szCs w:val="22"/>
        </w:rPr>
        <w:t xml:space="preserve">Every dataset published through NeuroWorks passes through a seven-stage pipeline: normalisation, cryptographic hashing (SHA-256 per record, a Merkle-style root hash per batch), confidence scoring from zero to one on field completeness, a human review queue for low-confidence records, entity resolution, publishing to four machine-ready artifact formats, and automatic vault indexing so agents can retrieve the data like any other knowledge.</w:t>
      </w:r>
    </w:p>
    <w:p>
      <w:pPr>
        <w:spacing w:after="60" w:before="60"/>
      </w:pPr>
      <w:r>
        <w:t xml:space="preserve"/>
      </w:r>
    </w:p>
    <w:p>
      <w:pPr>
        <w:spacing w:after="100" w:before="100"/>
        <w:contextualSpacing/>
      </w:pPr>
      <w:r>
        <w:rPr>
          <w:rFonts w:ascii="Arial" w:cs="Arial" w:eastAsia="Arial" w:hAnsi="Arial"/>
          <w:color w:val="111111"/>
          <w:sz w:val="22"/>
          <w:szCs w:val="22"/>
        </w:rPr>
        <w:t xml:space="preserve">This is how agents learn from operator data. It is not a separate training step — it is standard RAG retrieval against provenance-tracked, hash-verified artifacts. An adjudicator can request the root hash for any published dataset and recompute it against the published CSV to verify nothing was altered after publication. That verifiability exists specifically so the provenance claim can be checked, not just asserted.</w:t>
      </w:r>
    </w:p>
    <w:p>
      <w:pPr>
        <w:spacing w:after="60" w:before="60"/>
      </w:pPr>
      <w:r>
        <w:t xml:space="preserve"/>
      </w:r>
    </w:p>
    <w:p>
      <w:pPr>
        <w:spacing w:after="100" w:before="100"/>
        <w:contextualSpacing/>
      </w:pPr>
      <w:r>
        <w:rPr>
          <w:rFonts w:ascii="Arial" w:cs="Arial" w:eastAsia="Arial" w:hAnsi="Arial"/>
          <w:color w:val="111111"/>
          <w:sz w:val="22"/>
          <w:szCs w:val="22"/>
        </w:rPr>
        <w:t xml:space="preserve">Two datasets are published and queryable today. The Awesome curated-software list — 682 records, CC0 licence, root hash eb1b0fe4a363a372… — is a worked end-to-end proof of the pipeline against real third-party data. The daily reflection series is NeuroWorks publishing its own operational self-audit through the same pipeline it offers operators — a self-referential proof that the pipeline handles more than one shape of input.</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The governance engine</w:t>
      </w:r>
    </w:p>
    <w:p>
      <w:pPr>
        <w:spacing w:after="100" w:before="100"/>
        <w:contextualSpacing/>
      </w:pPr>
      <w:r>
        <w:rPr>
          <w:rFonts w:ascii="Arial" w:cs="Arial" w:eastAsia="Arial" w:hAnsi="Arial"/>
          <w:color w:val="111111"/>
          <w:sz w:val="22"/>
          <w:szCs w:val="22"/>
        </w:rPr>
        <w:t xml:space="preserve">An operator uploads their policy documents. A local LLM extracts the rules and presents them for review. The operator confirms each rule as hard (must never violate) or soft (should prefer). Confirmed rules are injected into every agent's system prompt for the relevant department and checked against every proposed action at the approval gate, before anything executes. When a rule would be violated, the gate surfaces the specific rule and blocks the action until the operator makes a deliberate decision.</w:t>
      </w:r>
    </w:p>
    <w:p>
      <w:pPr>
        <w:spacing w:after="60" w:before="60"/>
      </w:pPr>
      <w:r>
        <w:t xml:space="preserve"/>
      </w:r>
    </w:p>
    <w:p>
      <w:pPr>
        <w:spacing w:after="100" w:before="100"/>
        <w:contextualSpacing/>
      </w:pPr>
      <w:r>
        <w:rPr>
          <w:rFonts w:ascii="Arial" w:cs="Arial" w:eastAsia="Arial" w:hAnsi="Arial"/>
          <w:color w:val="111111"/>
          <w:sz w:val="22"/>
          <w:szCs w:val="22"/>
        </w:rPr>
        <w:t xml:space="preserve">This is not logging and hoping. It is pre-execution enforcement. The current implementation blocks 20 categories of consequential tool calls outright if they would violate an accepted policy. This distinction — blocked before execution versus logged after — is what makes institutional adoption possible.</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Compute environment</w:t>
      </w:r>
    </w:p>
    <w:p>
      <w:pPr>
        <w:spacing w:after="100" w:before="100"/>
        <w:contextualSpacing/>
      </w:pPr>
      <w:r>
        <w:rPr>
          <w:rFonts w:ascii="Arial" w:cs="Arial" w:eastAsia="Arial" w:hAnsi="Arial"/>
          <w:color w:val="111111"/>
          <w:sz w:val="22"/>
          <w:szCs w:val="22"/>
        </w:rPr>
        <w:t xml:space="preserve">This product does not require the ZCHPC Controlled Compute Environment. It runs on Ollama as its default inference path and a developer machine with a consumer GPU handles the 7-billion-parameter models that cover the majority of tasks. For the Grand Challenge demonstration the product will run on the team's own hardware. Cloud model routing is available for tasks that genuinely need it, with credentials held in the encrypted secrets store.</w:t>
      </w:r>
    </w:p>
    <w:p>
      <w:r>
        <w:br w:type="page"/>
      </w:r>
    </w:p>
    <w:p>
      <w:pPr>
        <w:pStyle w:val="Heading1"/>
        <w:spacing w:after="200" w:before="400"/>
      </w:pPr>
      <w:r>
        <w:rPr>
          <w:rFonts w:ascii="Arial" w:cs="Arial" w:eastAsia="Arial" w:hAnsi="Arial"/>
          <w:b/>
          <w:bCs/>
          <w:color w:val="0D2137"/>
          <w:sz w:val="30"/>
          <w:szCs w:val="30"/>
        </w:rPr>
        <w:t xml:space="preserve">Section 3 — Deliverables and Implementation Roadmap</w:t>
      </w:r>
    </w:p>
    <w:p>
      <w:pPr>
        <w:pStyle w:val="Heading2"/>
        <w:spacing w:after="120" w:before="280"/>
      </w:pPr>
      <w:r>
        <w:rPr>
          <w:rFonts w:ascii="Arial" w:cs="Arial" w:eastAsia="Arial" w:hAnsi="Arial"/>
          <w:b/>
          <w:bCs/>
          <w:color w:val="1D6FA4"/>
          <w:sz w:val="24"/>
          <w:szCs w:val="24"/>
        </w:rPr>
        <w:t xml:space="preserve">What can be demonstrated today</w:t>
      </w:r>
    </w:p>
    <w:p>
      <w:pPr>
        <w:spacing w:after="100" w:before="100"/>
        <w:contextualSpacing/>
      </w:pPr>
      <w:r>
        <w:rPr>
          <w:rFonts w:ascii="Arial" w:cs="Arial" w:eastAsia="Arial" w:hAnsi="Arial"/>
          <w:color w:val="111111"/>
          <w:sz w:val="22"/>
          <w:szCs w:val="22"/>
        </w:rPr>
        <w:t xml:space="preserve">The product is not at proposal stage. Every capability in the table below has working code behind it, a route you can hit, a test that covers it, and a demonstration that can run live at the Grand Challenge.</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3700"/>
      </w:tblGrid>
      <w:tr>
        <w:tc>
          <w:tcPr>
            <w:tcW w:type="dxa" w:w="44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Capability</w:t>
            </w:r>
          </w:p>
        </w:tc>
        <w:tc>
          <w:tcPr>
            <w:tcW w:type="dxa" w:w="14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Status</w:t>
            </w:r>
          </w:p>
        </w:tc>
        <w:tc>
          <w:tcPr>
            <w:tcW w:type="dxa" w:w="37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Where to find it or verify it</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Multi-agent orchestration</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EXECUTOR, /api/team, /api/workforce, /api/handoff</w:t>
            </w:r>
          </w:p>
        </w:tc>
      </w:tr>
      <w:tr>
        <w:tc>
          <w:tcPr>
            <w:tcW w:type="dxa" w:w="4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Approximately 90 primitives, 12 namespaces</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server/src/lib/primitives.ts and all route handlers</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141 skill playbooks, verified no orphans</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server/src/skills/ directory</w:t>
            </w:r>
          </w:p>
        </w:tc>
      </w:tr>
      <w:tr>
        <w:tc>
          <w:tcPr>
            <w:tcW w:type="dxa" w:w="4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 database connection (production PostgreSQL)</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One external production database connected read-only as of 11 July 2026</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ADRS provenance pipeline</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server/src/lib/adrs.ts — 682-record Awesome dataset published with verifiable root hash</w:t>
            </w:r>
          </w:p>
        </w:tc>
      </w:tr>
      <w:tr>
        <w:tc>
          <w:tcPr>
            <w:tcW w:type="dxa" w:w="4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Governance engine with pre-execution enforcement</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/api/governance — blocks 20 consequential call types before execution</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Quality and security gates</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quality.check, security.scan, peer.review — all active</w:t>
            </w:r>
          </w:p>
        </w:tc>
      </w:tr>
      <w:tr>
        <w:tc>
          <w:tcPr>
            <w:tcW w:type="dxa" w:w="4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Mailjet outbound email</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email.send — multi-recipient, attachments, sole sanctioned outbound path</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Paynow Zimbabwe payments</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payment.paynow_link and paynow_poll — live and tested</w:t>
            </w:r>
          </w:p>
        </w:tc>
      </w:tr>
      <w:tr>
        <w:tc>
          <w:tcPr>
            <w:tcW w:type="dxa" w:w="4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Stripe payments</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payment.link, webhook with raw-body verification — live and tested</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GitHub read and write via Octokit</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create_issue, comment, request_review — all active</w:t>
            </w:r>
          </w:p>
        </w:tc>
      </w:tr>
      <w:tr>
        <w:tc>
          <w:tcPr>
            <w:tcW w:type="dxa" w:w="4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Real-token cost tracker</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cost-tracker.ts — reads provider usage response, not a character estimate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Secret-pattern vault scanner</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security.ts — under a millisecond, live-tested on a planted fake token</w:t>
            </w:r>
          </w:p>
        </w:tc>
      </w:tr>
      <w:tr>
        <w:tc>
          <w:tcPr>
            <w:tcW w:type="dxa" w:w="4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Shona and Ndebele chat support</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Glossary-based, no external API, live in the chat interface</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118 tests passing</w:t>
            </w:r>
          </w:p>
        </w:tc>
        <w:tc>
          <w:tcPr>
            <w:tcW w:type="dxa" w:w="14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Live</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Full suite passes on npm test</w:t>
            </w:r>
          </w:p>
        </w:tc>
      </w:tr>
      <w:tr>
        <w:tc>
          <w:tcPr>
            <w:tcW w:type="dxa" w:w="4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Shona and Ndebele LLM prompt templates</w:t>
            </w:r>
          </w:p>
        </w:tc>
        <w:tc>
          <w:tcPr>
            <w:tcW w:type="dxa" w:w="1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r>
              <w:rPr>
                <w:rFonts w:ascii="Arial" w:cs="Arial" w:eastAsia="Arial" w:hAnsi="Arial"/>
                <w:b/>
                <w:bCs/>
                <w:color w:val="111111"/>
                <w:sz w:val="18"/>
                <w:szCs w:val="18"/>
              </w:rPr>
              <w:t xml:space="preserve">Not started</w:t>
            </w:r>
          </w:p>
        </w:tc>
        <w:tc>
          <w:tcPr>
            <w:tcW w:type="dxa" w:w="3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Stream D, Weeks 5 to 6</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Five Zimbabwe sector knowledge packs</w:t>
            </w:r>
          </w:p>
        </w:tc>
        <w:tc>
          <w:tcPr>
            <w:tcW w:type="dxa" w:w="1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r>
              <w:rPr>
                <w:rFonts w:ascii="Arial" w:cs="Arial" w:eastAsia="Arial" w:hAnsi="Arial"/>
                <w:b/>
                <w:bCs/>
                <w:color w:val="111111"/>
                <w:sz w:val="18"/>
                <w:szCs w:val="18"/>
              </w:rPr>
              <w:t xml:space="preserve">Not started</w:t>
            </w:r>
          </w:p>
        </w:tc>
        <w:tc>
          <w:tcPr>
            <w:tcW w:type="dxa" w:w="3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Stream D, Weeks 5 to 6</w:t>
            </w:r>
          </w:p>
        </w:tc>
      </w:tr>
      <w:tr>
        <w:tc>
          <w:tcPr>
            <w:tcW w:type="dxa" w:w="4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Sector and language onboarding UX</w:t>
            </w:r>
          </w:p>
        </w:tc>
        <w:tc>
          <w:tcPr>
            <w:tcW w:type="dxa" w:w="1400"/>
            <w:tcBorders>
              <w:top w:val="single" w:color="CCCCCC" w:sz="1"/>
              <w:left w:val="single" w:color="CCCCCC" w:sz="1"/>
              <w:bottom w:val="single" w:color="CCCCCC" w:sz="1"/>
              <w:right w:val="single" w:color="CCCCCC" w:sz="1"/>
            </w:tcBorders>
            <w:shd w:fill="FCE4D6" w:val="clear"/>
            <w:tcMar>
              <w:top w:type="dxa" w:w="90"/>
              <w:left w:type="dxa" w:w="140"/>
              <w:bottom w:type="dxa" w:w="90"/>
              <w:right w:type="dxa" w:w="140"/>
            </w:tcMar>
          </w:tcPr>
          <w:p>
            <w:r>
              <w:rPr>
                <w:rFonts w:ascii="Arial" w:cs="Arial" w:eastAsia="Arial" w:hAnsi="Arial"/>
                <w:b/>
                <w:bCs/>
                <w:color w:val="111111"/>
                <w:sz w:val="18"/>
                <w:szCs w:val="18"/>
              </w:rPr>
              <w:t xml:space="preserve">Not started</w:t>
            </w:r>
          </w:p>
        </w:tc>
        <w:tc>
          <w:tcPr>
            <w:tcW w:type="dxa" w:w="37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Stream B, Weeks 1 to 3</w:t>
            </w:r>
          </w:p>
        </w:tc>
      </w:tr>
    </w:tbl>
    <w:p>
      <w:pPr>
        <w:spacing w:after="60" w:before="60"/>
      </w:pPr>
      <w:r>
        <w:t xml:space="preserve"/>
      </w:r>
    </w:p>
    <w:p>
      <w:pPr>
        <w:pStyle w:val="Heading2"/>
        <w:spacing w:after="120" w:before="280"/>
      </w:pPr>
      <w:r>
        <w:rPr>
          <w:rFonts w:ascii="Arial" w:cs="Arial" w:eastAsia="Arial" w:hAnsi="Arial"/>
          <w:b/>
          <w:bCs/>
          <w:color w:val="1D6FA4"/>
          <w:sz w:val="24"/>
          <w:szCs w:val="24"/>
        </w:rPr>
        <w:t xml:space="preserve">The remaining gaps and what the grant funds</w:t>
      </w:r>
    </w:p>
    <w:p>
      <w:pPr>
        <w:spacing w:after="100" w:before="100"/>
        <w:contextualSpacing/>
      </w:pPr>
      <w:r>
        <w:rPr>
          <w:rFonts w:ascii="Arial" w:cs="Arial" w:eastAsia="Arial" w:hAnsi="Arial"/>
          <w:color w:val="111111"/>
          <w:sz w:val="22"/>
          <w:szCs w:val="22"/>
        </w:rPr>
        <w:t xml:space="preserve">Three streams of work cover everything that is not yet done. None of them requires new architectural foundations — each one builds directly on something that already exists and is already tested.</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800"/>
        <w:gridCol w:w="2900"/>
      </w:tblGrid>
      <w:tr>
        <w:tc>
          <w:tcPr>
            <w:tcW w:type="dxa" w:w="18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Stream</w:t>
            </w:r>
          </w:p>
        </w:tc>
        <w:tc>
          <w:tcPr>
            <w:tcW w:type="dxa" w:w="10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Weeks</w:t>
            </w:r>
          </w:p>
        </w:tc>
        <w:tc>
          <w:tcPr>
            <w:tcW w:type="dxa" w:w="38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What gets built</w:t>
            </w:r>
          </w:p>
        </w:tc>
        <w:tc>
          <w:tcPr>
            <w:tcW w:type="dxa" w:w="29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What it builds 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B — Onboarding and framing</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1 to 3</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Sector and language selection at onboarding. Personalised dashboard. Zimbabwe Context panel in Mission Control. Shona and Ndebele UI strings wired to the i18n framework.</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/api/onboarding route and Shona/Ndebele glossary foundation are both already live.</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C — Governance UI</w:t>
            </w:r>
          </w:p>
        </w:tc>
        <w:tc>
          <w:tcPr>
            <w:tcW w:type="dxa" w:w="1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3 to 4</w:t>
            </w:r>
          </w:p>
        </w:tc>
        <w:tc>
          <w:tcPr>
            <w:tcW w:type="dxa" w:w="38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Policy document upload interface. Constraint review and confirmation screen. HITL gate violation flagging in the approval UI. Policy Management page.</w:t>
            </w:r>
          </w:p>
        </w:tc>
        <w:tc>
          <w:tcPr>
            <w:tcW w:type="dxa" w:w="2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/api/governance route and the governance engine itself are already live. This stream builds the operator-facing interface on top of them.</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 — Localisation</w:t>
            </w:r>
          </w:p>
        </w:tc>
        <w:tc>
          <w:tcPr>
            <w:tcW w:type="dxa" w:w="1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5 to 6</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Shona and Ndebele LLM agent prompt templates for the Writer, Responder, Summariser, and Report Writer workers. Five Zimbabwe sector knowledge packs covering Tourism, Agriculture, NGO and Civil Society, Health, and Government.</w:t>
            </w:r>
          </w:p>
        </w:tc>
        <w:tc>
          <w:tcPr>
            <w:tcW w:type="dxa" w:w="2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/api/knowledge-packs route, ADRS pipeline, and Qdrant collections are all live. This stream fills them with Zimbabwe-specific content.</w:t>
            </w:r>
          </w:p>
        </w:tc>
      </w:tr>
    </w:tbl>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45309" w:sz="4"/>
              <w:left w:val="single" w:color="B45309" w:sz="20"/>
              <w:bottom w:val="single" w:color="B45309" w:sz="4"/>
              <w:right w:val="none" w:color="FFFFFF" w:sz="0"/>
            </w:tcBorders>
            <w:shd w:fill="FFF2CC" w:val="clear"/>
            <w:tcMar>
              <w:top w:type="dxa" w:w="140"/>
              <w:left w:type="dxa" w:w="240"/>
              <w:bottom w:type="dxa" w:w="140"/>
              <w:right w:type="dxa" w:w="240"/>
            </w:tcMar>
          </w:tcPr>
          <w:p>
            <w:pPr>
              <w:spacing w:after="60" w:before="0"/>
            </w:pPr>
            <w:r>
              <w:rPr>
                <w:rFonts w:ascii="Arial" w:cs="Arial" w:eastAsia="Arial" w:hAnsi="Arial"/>
                <w:b/>
                <w:bCs/>
                <w:color w:val="B45309"/>
                <w:sz w:val="20"/>
                <w:szCs w:val="20"/>
              </w:rPr>
              <w:t xml:space="preserve">What is not a submission blocker</w:t>
            </w:r>
          </w:p>
          <w:p>
            <w:pPr>
              <w:spacing w:after="0" w:before="0"/>
            </w:pPr>
            <w:r>
              <w:rPr>
                <w:rFonts w:ascii="Arial" w:cs="Arial" w:eastAsia="Arial" w:hAnsi="Arial"/>
                <w:color w:val="111111"/>
                <w:sz w:val="21"/>
                <w:szCs w:val="21"/>
              </w:rPr>
              <w:t xml:space="preserve">The remaining streams — mobile responsiveness audit, ethics framework documentation, pilot plan, and compliance documentation — are post-submission delivery items. They improve an already-scoring submission and are planned, but they are not what stands between the current codebase and a strong adjudication result.</w:t>
            </w:r>
          </w:p>
        </w:tc>
      </w:tr>
    </w:tbl>
    <w:p>
      <w:pPr>
        <w:spacing w:after="60" w:before="60"/>
      </w:pPr>
      <w:r>
        <w:t xml:space="preserve"/>
      </w:r>
    </w:p>
    <w:p>
      <w:pPr>
        <w:pStyle w:val="Heading2"/>
        <w:spacing w:after="120" w:before="280"/>
      </w:pPr>
      <w:r>
        <w:rPr>
          <w:rFonts w:ascii="Arial" w:cs="Arial" w:eastAsia="Arial" w:hAnsi="Arial"/>
          <w:b/>
          <w:bCs/>
          <w:color w:val="1D6FA4"/>
          <w:sz w:val="24"/>
          <w:szCs w:val="24"/>
        </w:rPr>
        <w:t xml:space="preserve">Grand Challenge week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Day</w:t>
            </w:r>
          </w:p>
        </w:tc>
        <w:tc>
          <w:tcPr>
            <w:tcW w:type="dxa" w:w="71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What we will be doing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Monday 27 July</w:t>
            </w:r>
          </w:p>
        </w:tc>
        <w:tc>
          <w:tcPr>
            <w:tcW w:type="dxa" w:w="7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Confirm the evidence pack against the TOR scorecard. Identify any last-minute gaps and address them in the coaching sessions.</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Tuesday 28 July</w:t>
            </w:r>
          </w:p>
        </w:tc>
        <w:tc>
          <w:tcPr>
            <w:tcW w:type="dxa" w:w="71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Validate the sector pack content with track coaches. Confirm Paynow Zimbabwe as the clearest Zimbabwe-market proof point in the live demonstration.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Wednesday 29 July</w:t>
            </w:r>
          </w:p>
        </w:tc>
        <w:tc>
          <w:tcPr>
            <w:tcW w:type="dxa" w:w="7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Technical clinic: live demonstration of a database query through db.*, a Mailjet email send, the Paynow payment flow, Ollama local inference, and the governance gate firing on a policy violation.</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Thursday 30 July</w:t>
            </w:r>
          </w:p>
        </w:tc>
        <w:tc>
          <w:tcPr>
            <w:tcW w:type="dxa" w:w="71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Finalise the pitch. Assemble the evidence pack including root hashes, route list, and test results. Confirm the milestone schedule for the grant contract.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Friday 31 July</w:t>
            </w:r>
          </w:p>
        </w:tc>
        <w:tc>
          <w:tcPr>
            <w:tcW w:type="dxa" w:w="7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Pitch and live demonstration: an agent completes a real mission, the HITL approval gate fires, the audit log records the action, the cost dashboard shows the per-call breakdown.</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Saturday 1 August</w:t>
            </w:r>
          </w:p>
        </w:tc>
        <w:tc>
          <w:tcPr>
            <w:tcW w:type="dxa" w:w="71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Moderation and closing. Post-Grand Challenge pathway conversation with the POTRAZ incubation team.</w:t>
            </w:r>
          </w:p>
        </w:tc>
      </w:tr>
    </w:tbl>
    <w:p>
      <w:r>
        <w:br w:type="page"/>
      </w:r>
    </w:p>
    <w:p>
      <w:pPr>
        <w:pStyle w:val="Heading1"/>
        <w:spacing w:after="200" w:before="400"/>
      </w:pPr>
      <w:r>
        <w:rPr>
          <w:rFonts w:ascii="Arial" w:cs="Arial" w:eastAsia="Arial" w:hAnsi="Arial"/>
          <w:b/>
          <w:bCs/>
          <w:color w:val="0D2137"/>
          <w:sz w:val="30"/>
          <w:szCs w:val="30"/>
        </w:rPr>
        <w:t xml:space="preserve">Section 4 — Compliance and Risk Mitigation</w:t>
      </w:r>
    </w:p>
    <w:p>
      <w:pPr>
        <w:spacing w:after="100" w:before="100"/>
        <w:contextualSpacing/>
      </w:pPr>
      <w:r>
        <w:rPr>
          <w:rFonts w:ascii="Arial" w:cs="Arial" w:eastAsia="Arial" w:hAnsi="Arial"/>
          <w:color w:val="111111"/>
          <w:sz w:val="22"/>
          <w:szCs w:val="22"/>
        </w:rPr>
        <w:t xml:space="preserve">This section is written candidly. Where a risk is mitigated, the mitigation is named and its location in the code is given so it can be checked. Where it is not yet mitigated, that is stated as plainly as the wins.</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Technical risks</w:t>
      </w:r>
    </w:p>
    <w:p>
      <w:pPr>
        <w:spacing w:after="100" w:before="100"/>
        <w:contextualSpacing/>
      </w:pPr>
      <w:r>
        <w:rPr>
          <w:rFonts w:ascii="Arial" w:cs="Arial" w:eastAsia="Arial" w:hAnsi="Arial"/>
          <w:color w:val="111111"/>
          <w:sz w:val="22"/>
          <w:szCs w:val="22"/>
        </w:rPr>
        <w:t xml:space="preserve">The hallucination risk is mitigated at three layers, not one. The synthesis prompt carries explicit anti-fabrication rules and requires the model to cite evidence inline. The quality.check primitive scores every non-trivial answer on factuality risk and triggers a rescue pass when the score is low. The peer.review primitive gets a second model's opinion on drafts that do not clear a confidence threshold. A fourth control was added specifically on 11 July 2026 after the drafting process for this very document surfaced a gap: when a data-fetch step failed, the model could answer around the gap rather than disclosing it. The fix injects an explicit data-gap notice into the synthesis prompt whenever a database query fails, so the model is forced to name what it does not have rather than work around it.</w:t>
      </w:r>
    </w:p>
    <w:p>
      <w:pPr>
        <w:spacing w:after="60" w:before="60"/>
      </w:pPr>
      <w:r>
        <w:t xml:space="preserve"/>
      </w:r>
    </w:p>
    <w:p>
      <w:pPr>
        <w:spacing w:after="100" w:before="100"/>
        <w:contextualSpacing/>
      </w:pPr>
      <w:r>
        <w:rPr>
          <w:rFonts w:ascii="Arial" w:cs="Arial" w:eastAsia="Arial" w:hAnsi="Arial"/>
          <w:color w:val="111111"/>
          <w:sz w:val="22"/>
          <w:szCs w:val="22"/>
        </w:rPr>
        <w:t xml:space="preserve">Provider failure does not stop the system. The architecture defaults to local inference; cloud providers are an optional escalation. A circuit breaker trips to local-only after repeated failures. Quota exhaustion on the free tier is tracked separately from billing exhaustion. Latency on complex multi-step tasks — potentially tens of seconds to a few minutes — is not mitigated. It is a real user-experience cost of the quality and governance stack and is named here rather than hidden.</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Ethical risks</w:t>
      </w:r>
    </w:p>
    <w:p>
      <w:pPr>
        <w:spacing w:after="100" w:before="100"/>
        <w:contextualSpacing/>
      </w:pPr>
      <w:r>
        <w:rPr>
          <w:rFonts w:ascii="Arial" w:cs="Arial" w:eastAsia="Arial" w:hAnsi="Arial"/>
          <w:color w:val="111111"/>
          <w:sz w:val="22"/>
          <w:szCs w:val="22"/>
        </w:rPr>
        <w:t xml:space="preserve">Bias in model outputs has not been independently evaluated for this submission. The underlying models carry whatever bias their providers document. This is stated as an open item, not a solved one.</w:t>
      </w:r>
    </w:p>
    <w:p>
      <w:pPr>
        <w:spacing w:after="60" w:before="60"/>
      </w:pPr>
      <w:r>
        <w:t xml:space="preserve"/>
      </w:r>
    </w:p>
    <w:p>
      <w:pPr>
        <w:spacing w:after="100" w:before="100"/>
        <w:contextualSpacing/>
      </w:pPr>
      <w:r>
        <w:rPr>
          <w:rFonts w:ascii="Arial" w:cs="Arial" w:eastAsia="Arial" w:hAnsi="Arial"/>
          <w:color w:val="111111"/>
          <w:sz w:val="22"/>
          <w:szCs w:val="22"/>
        </w:rPr>
        <w:t xml:space="preserve">The Shona and Ndebele support is real and functionally verified — the agent replies in the correct persona voice. It has not been reviewed by a native linguistic authority for cultural appropriateness or dialectal accuracy at scale. Functional verification and cultural-quality verification are different standards. Only the first has been met.</w:t>
      </w:r>
    </w:p>
    <w:p>
      <w:pPr>
        <w:spacing w:after="60" w:before="60"/>
      </w:pPr>
      <w:r>
        <w:t xml:space="preserve"/>
      </w:r>
    </w:p>
    <w:p>
      <w:pPr>
        <w:spacing w:after="100" w:before="100"/>
        <w:contextualSpacing/>
      </w:pPr>
      <w:r>
        <w:rPr>
          <w:rFonts w:ascii="Arial" w:cs="Arial" w:eastAsia="Arial" w:hAnsi="Arial"/>
          <w:color w:val="111111"/>
          <w:sz w:val="22"/>
          <w:szCs w:val="22"/>
        </w:rPr>
        <w:t xml:space="preserve">Over-reliance is a genuine adoption-pattern risk that no software control fully closes. The governance engine and HITL approval gate exist so a human stays in the loop on consequential actions, but an operator can still choose to trust low-stakes output without review. The software creates the right conditions; it cannot enforce the right habits.</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Security and data risks</w:t>
      </w:r>
    </w:p>
    <w:p>
      <w:pPr>
        <w:spacing w:after="100" w:before="100"/>
        <w:contextualSpacing/>
      </w:pPr>
      <w:r>
        <w:rPr>
          <w:rFonts w:ascii="Arial" w:cs="Arial" w:eastAsia="Arial" w:hAnsi="Arial"/>
          <w:color w:val="111111"/>
          <w:sz w:val="22"/>
          <w:szCs w:val="22"/>
        </w:rPr>
        <w:t xml:space="preserve">A real security incident is disclosed here, not in a footnote. During this development cycle, a GitHub personal access token was inadvertently displayed in a terminal output. It was caught immediately, flagged in the session log, the token was rotated within minutes, the affected repository secret was updated, and the old credential was revoked. This disclosure is here as evidence that operational discipline around credentials is exercised, not just documented.</w:t>
      </w:r>
    </w:p>
    <w:p>
      <w:pPr>
        <w:spacing w:after="60" w:before="60"/>
      </w:pPr>
      <w:r>
        <w:t xml:space="preserve"/>
      </w:r>
    </w:p>
    <w:p>
      <w:pPr>
        <w:spacing w:after="100" w:before="100"/>
        <w:contextualSpacing/>
      </w:pPr>
      <w:r>
        <w:rPr>
          <w:rFonts w:ascii="Arial" w:cs="Arial" w:eastAsia="Arial" w:hAnsi="Arial"/>
          <w:color w:val="111111"/>
          <w:sz w:val="22"/>
          <w:szCs w:val="22"/>
        </w:rPr>
        <w:t xml:space="preserve">The origin-guard middleware in origin-guard.ts defends against DNS rebinding and cross-origin POST attacks even on a loopback-only bind. A separate enterprise-mode toggle adds real authentication for any deployment reachable beyond a single trusted machine — it is off by default, and the system warns at boot if it detects a wide bind without it enabled.</w:t>
      </w:r>
    </w:p>
    <w:p>
      <w:pPr>
        <w:spacing w:after="60" w:before="60"/>
      </w:pPr>
      <w:r>
        <w:t xml:space="preserve"/>
      </w:r>
    </w:p>
    <w:p>
      <w:pPr>
        <w:spacing w:after="100" w:before="100"/>
        <w:contextualSpacing/>
      </w:pPr>
      <w:r>
        <w:rPr>
          <w:rFonts w:ascii="Arial" w:cs="Arial" w:eastAsia="Arial" w:hAnsi="Arial"/>
          <w:color w:val="111111"/>
          <w:sz w:val="22"/>
          <w:szCs w:val="22"/>
        </w:rPr>
        <w:t xml:space="preserve">The code.exec primitive, which lets an agent run a short Python or Node snippet in a subprocess, is genuinely unsandboxed. It is off by default and requires an explicit environment flag to enable. Any deployment that turns it on should treat the environment as trusted. This is named as a real risk, not a mitigated-and-forgotten item.</w:t>
      </w:r>
    </w:p>
    <w:p>
      <w:pPr>
        <w:spacing w:after="60" w:before="60"/>
      </w:pPr>
      <w:r>
        <w:t xml:space="preserve"/>
      </w:r>
    </w:p>
    <w:p>
      <w:pPr>
        <w:spacing w:after="100" w:before="100"/>
        <w:contextualSpacing/>
      </w:pPr>
      <w:r>
        <w:rPr>
          <w:rFonts w:ascii="Arial" w:cs="Arial" w:eastAsia="Arial" w:hAnsi="Arial"/>
          <w:color w:val="111111"/>
          <w:sz w:val="22"/>
          <w:szCs w:val="22"/>
        </w:rPr>
        <w:t xml:space="preserve">The connected production database contains personal and financial data belonging to the operator's own users. NeuroWorks queries it live, per request, and does not copy, export, or publish it through the data pipeline. Handling that data lawfully — consent basis, retention, subject access rights — is the operator's responsibility as data controller. NeuroWorks acts as a processor on read-only instructions, the same posture as any analytics tool pointed at the same database.</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Data Protection Act (Chapter 12:07)</w:t>
      </w:r>
    </w:p>
    <w:p>
      <w:pPr>
        <w:spacing w:after="100" w:before="100"/>
        <w:contextualSpacing/>
      </w:pPr>
      <w:r>
        <w:rPr>
          <w:rFonts w:ascii="Arial" w:cs="Arial" w:eastAsia="Arial" w:hAnsi="Arial"/>
          <w:color w:val="111111"/>
          <w:sz w:val="22"/>
          <w:szCs w:val="22"/>
        </w:rPr>
        <w:t xml:space="preserve">Where an operator connects a database containing personal data belonging to Zimbabwean data subjects, the DPA obligations sit with that operator as controller. NeuroWorks contributes to compliance through architecture: connections are read-only by default, credentials are encrypted at rest in AES-256-GCM, no data is exported or transmitted to third parties by default, and a full audit trail records every query run against a connected source. The local-first inference model means that in the default configuration, personal data never leaves the operator's machine at all. This is compliance-supporting architecture. It does not discharge the operator's own DPA obligations.</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Adoption risks</w:t>
      </w:r>
    </w:p>
    <w:p>
      <w:pPr>
        <w:spacing w:after="100" w:before="100"/>
        <w:contextualSpacing/>
      </w:pPr>
      <w:r>
        <w:rPr>
          <w:rFonts w:ascii="Arial" w:cs="Arial" w:eastAsia="Arial" w:hAnsi="Arial"/>
          <w:color w:val="111111"/>
          <w:sz w:val="22"/>
          <w:szCs w:val="22"/>
        </w:rPr>
        <w:t xml:space="preserve">Low digital literacy among target users is a genuine open risk. The product's primary interfaces — chat, CLI, API — assume a certain level of comfort with conversational or command-line interaction. The onboarding UX gap (Stream B) addresses the product-side of this, but the literacy gap itself is not something software solves. It is named here rather than assumed away.</w:t>
      </w:r>
    </w:p>
    <w:p>
      <w:pPr>
        <w:spacing w:after="60" w:before="60"/>
      </w:pPr>
      <w:r>
        <w:t xml:space="preserve"/>
      </w:r>
    </w:p>
    <w:p>
      <w:pPr>
        <w:spacing w:after="100" w:before="100"/>
        <w:contextualSpacing/>
      </w:pPr>
      <w:r>
        <w:rPr>
          <w:rFonts w:ascii="Arial" w:cs="Arial" w:eastAsia="Arial" w:hAnsi="Arial"/>
          <w:color w:val="111111"/>
          <w:sz w:val="22"/>
          <w:szCs w:val="22"/>
        </w:rPr>
        <w:t xml:space="preserve">Institutional resistance is not addressed by product design. It is an organisational-change risk that any AI adoption faces, and it is named here rather than assumed away.</w:t>
      </w:r>
    </w:p>
    <w:p>
      <w:pPr>
        <w:spacing w:after="60" w:before="60"/>
      </w:pPr>
      <w:r>
        <w:t xml:space="preserve"/>
      </w:r>
    </w:p>
    <w:p>
      <w:pPr>
        <w:spacing w:after="100" w:before="100"/>
        <w:contextualSpacing/>
      </w:pPr>
      <w:r>
        <w:rPr>
          <w:rFonts w:ascii="Arial" w:cs="Arial" w:eastAsia="Arial" w:hAnsi="Arial"/>
          <w:color w:val="111111"/>
          <w:sz w:val="22"/>
          <w:szCs w:val="22"/>
        </w:rPr>
        <w:t xml:space="preserve">Inference cost at scale is addressed with real measured numbers, not projections. Over a 10-day operating window, 62.7% of calls were served free and locally. Hard circuit breakers prevent runaway cloud spend. Unattended overnight tasks run with a configurable dollar ceiling. Cost governance is built in, not bolted on.</w:t>
      </w:r>
    </w:p>
    <w:p>
      <w:r>
        <w:br w:type="page"/>
      </w:r>
    </w:p>
    <w:p>
      <w:pPr>
        <w:pStyle w:val="Heading1"/>
        <w:spacing w:after="200" w:before="400"/>
      </w:pPr>
      <w:r>
        <w:rPr>
          <w:rFonts w:ascii="Arial" w:cs="Arial" w:eastAsia="Arial" w:hAnsi="Arial"/>
          <w:b/>
          <w:bCs/>
          <w:color w:val="0D2137"/>
          <w:sz w:val="30"/>
          <w:szCs w:val="30"/>
        </w:rPr>
        <w:t xml:space="preserve">Section 5 — Sustainability and Future Adoption</w:t>
      </w:r>
    </w:p>
    <w:p>
      <w:pPr>
        <w:pStyle w:val="Heading2"/>
        <w:spacing w:after="120" w:before="280"/>
      </w:pPr>
      <w:r>
        <w:rPr>
          <w:rFonts w:ascii="Arial" w:cs="Arial" w:eastAsia="Arial" w:hAnsi="Arial"/>
          <w:b/>
          <w:bCs/>
          <w:color w:val="1D6FA4"/>
          <w:sz w:val="24"/>
          <w:szCs w:val="24"/>
        </w:rPr>
        <w:t xml:space="preserve">Real operating costs — not projections</w:t>
      </w:r>
    </w:p>
    <w:p>
      <w:pPr>
        <w:spacing w:after="100" w:before="100"/>
        <w:contextualSpacing/>
      </w:pPr>
      <w:r>
        <w:rPr>
          <w:rFonts w:ascii="Arial" w:cs="Arial" w:eastAsia="Arial" w:hAnsi="Arial"/>
          <w:color w:val="111111"/>
          <w:sz w:val="22"/>
          <w:szCs w:val="22"/>
        </w:rPr>
        <w:t xml:space="preserve">NeuroWorks tracks real per-call token usage and cost using the provider's own usage-response data, not character-count estimates. A real bug was found and fixed on 11 July 2026: the estimate was undercounting spend by approximately 19% because provider-side extended thinking is billed but never returned as visible text. The numbers below come from the corrected live tracker.</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000"/>
        <w:gridCol w:w="1600"/>
        <w:gridCol w:w="1300"/>
      </w:tblGrid>
      <w:tr>
        <w:tc>
          <w:tcPr>
            <w:tcW w:type="dxa" w:w="30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Period</w:t>
            </w:r>
          </w:p>
        </w:tc>
        <w:tc>
          <w:tcPr>
            <w:tcW w:type="dxa" w:w="16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Total calls</w:t>
            </w:r>
          </w:p>
        </w:tc>
        <w:tc>
          <w:tcPr>
            <w:tcW w:type="dxa" w:w="20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Free and local</w:t>
            </w:r>
          </w:p>
        </w:tc>
        <w:tc>
          <w:tcPr>
            <w:tcW w:type="dxa" w:w="16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Paid cloud</w:t>
            </w:r>
          </w:p>
        </w:tc>
        <w:tc>
          <w:tcPr>
            <w:tcW w:type="dxa" w:w="13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Cloud cost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10 days (3 to 11 July 2026)</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1,021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640 calls — 62.7%</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381 calls — 37.3%</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8.31 total</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Single day, 10 July 2026</w:t>
            </w:r>
          </w:p>
        </w:tc>
        <w:tc>
          <w:tcPr>
            <w:tcW w:type="dxa" w:w="1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approx. 35</w:t>
            </w:r>
          </w:p>
        </w:tc>
        <w:tc>
          <w:tcPr>
            <w:tcW w:type="dxa" w:w="2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approx. 22</w:t>
            </w:r>
          </w:p>
        </w:tc>
        <w:tc>
          <w:tcPr>
            <w:tcW w:type="dxa" w:w="1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approx. 13</w:t>
            </w:r>
          </w:p>
        </w:tc>
        <w:tc>
          <w:tcPr>
            <w:tcW w:type="dxa" w:w="13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3.03 — approx. USD 0.10 per task</w:t>
            </w:r>
          </w:p>
        </w:tc>
      </w:tr>
    </w:tbl>
    <w:p>
      <w:pPr>
        <w:spacing w:after="60" w:before="60"/>
      </w:pPr>
      <w:r>
        <w:t xml:space="preserve"/>
      </w:r>
    </w:p>
    <w:p>
      <w:pPr>
        <w:spacing w:after="100" w:before="100"/>
        <w:contextualSpacing/>
      </w:pPr>
      <w:r>
        <w:rPr>
          <w:rFonts w:ascii="Arial" w:cs="Arial" w:eastAsia="Arial" w:hAnsi="Arial"/>
          <w:color w:val="111111"/>
          <w:sz w:val="22"/>
          <w:szCs w:val="22"/>
        </w:rPr>
        <w:t xml:space="preserve">The USD 0.10 per-task figure is from a real, fully-documented single day with 29 completed tasks. It is one honest data point, not a smoothed average. Task complexity varies, and so will cost. What it demonstrates is that the free-local-core architecture works in practice and that cloud spend, when it occurs, is small relative to task output.</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How the model sustains itself</w:t>
      </w:r>
    </w:p>
    <w:p>
      <w:pPr>
        <w:spacing w:after="100" w:before="100"/>
        <w:contextualSpacing/>
      </w:pPr>
      <w:r>
        <w:rPr>
          <w:rFonts w:ascii="Arial" w:cs="Arial" w:eastAsia="Arial" w:hAnsi="Arial"/>
          <w:color w:val="111111"/>
          <w:sz w:val="22"/>
          <w:szCs w:val="22"/>
        </w:rPr>
        <w:t xml:space="preserve">Every installation runs Ollama by default and requires zero API keys to start. This is not freemium with a gate on useful features — it is genuinely free-capable, with a real working degradation path back to local-only if a deployment ever needs to cut cloud spend to zero. An organisation can run NeuroWorks indefinitely at zero marginal cost if their task complexity stays within what a local model can handle.</w:t>
      </w:r>
    </w:p>
    <w:p>
      <w:pPr>
        <w:spacing w:after="60" w:before="60"/>
      </w:pPr>
      <w:r>
        <w:t xml:space="preserve"/>
      </w:r>
    </w:p>
    <w:p>
      <w:pPr>
        <w:spacing w:after="100" w:before="100"/>
        <w:contextualSpacing/>
      </w:pPr>
      <w:r>
        <w:rPr>
          <w:rFonts w:ascii="Arial" w:cs="Arial" w:eastAsia="Arial" w:hAnsi="Arial"/>
          <w:color w:val="111111"/>
          <w:sz w:val="22"/>
          <w:szCs w:val="22"/>
        </w:rPr>
        <w:t xml:space="preserve">Cloud model access — Claude, Groq, OpenRouter — is an optional escalation the planner reaches for only when task complexity genuinely demands it. It is billed at cost plus a 10% platform fee, with the per-call cost visible to the operator at all times.</w:t>
      </w:r>
    </w:p>
    <w:p>
      <w:pPr>
        <w:spacing w:after="60" w:before="60"/>
      </w:pPr>
      <w:r>
        <w:t xml:space="preserve"/>
      </w:r>
    </w:p>
    <w:p>
      <w:pPr>
        <w:spacing w:after="100" w:before="100"/>
        <w:contextualSpacing/>
      </w:pPr>
      <w:r>
        <w:rPr>
          <w:rFonts w:ascii="Arial" w:cs="Arial" w:eastAsia="Arial" w:hAnsi="Arial"/>
          <w:color w:val="111111"/>
          <w:sz w:val="22"/>
          <w:szCs w:val="22"/>
        </w:rPr>
        <w:t xml:space="preserve">For institutions that want a supported deployment rather than a self-managed one, an annual institutional licence covers updates, support, and deployment assistance. This is the primary revenue path for government and health-sector customers. A managed relay for the pieces that are hard to self-host correctly — outbound email sending, payment collection — is a planned but not yet shipped offering. It is stated as planned, not claimed as done.</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The pilot pathway</w:t>
      </w:r>
    </w:p>
    <w:p>
      <w:pPr>
        <w:spacing w:after="100" w:before="100"/>
        <w:contextualSpacing/>
      </w:pPr>
      <w:r>
        <w:rPr>
          <w:rFonts w:ascii="Arial" w:cs="Arial" w:eastAsia="Arial" w:hAnsi="Arial"/>
          <w:color w:val="111111"/>
          <w:sz w:val="22"/>
          <w:szCs w:val="22"/>
        </w:rPr>
        <w:t xml:space="preserve">The single most honest thing to say about commercial validation is this: one real external system is already connected and live as of 11 July 2026. A production PostgreSQL database belonging to an operator's own website has been registered, connected read-only, and is actively used for live task execution. That is a real user, not a demo fixture.</w:t>
      </w:r>
    </w:p>
    <w:p>
      <w:pPr>
        <w:spacing w:after="60" w:before="60"/>
      </w:pPr>
      <w:r>
        <w:t xml:space="preserve"/>
      </w:r>
    </w:p>
    <w:p>
      <w:pPr>
        <w:spacing w:after="100" w:before="100"/>
        <w:contextualSpacing/>
      </w:pPr>
      <w:r>
        <w:rPr>
          <w:rFonts w:ascii="Arial" w:cs="Arial" w:eastAsia="Arial" w:hAnsi="Arial"/>
          <w:color w:val="111111"/>
          <w:sz w:val="22"/>
          <w:szCs w:val="22"/>
        </w:rPr>
        <w:t xml:space="preserve">What success looks like in a formal pilot: a named operator — fintech, NGO, or public-sector unit — runs NeuroWorks against their own data for a defined task set over four to six weeks. Success is measured on task completion rate, time saved versus the prior manual process, and cloud spend per task staying within a target band. We have no signed pilot agreements yet. That is the single biggest gap between technically ready and commercially validated, and it is not overstated here.</w:t>
      </w:r>
    </w:p>
    <w:p>
      <w:pPr>
        <w:spacing w:after="60" w:before="60"/>
      </w:pPr>
      <w:r>
        <w:t xml:space="preserve"/>
      </w:r>
    </w:p>
    <w:p>
      <w:pPr>
        <w:pStyle w:val="Heading2"/>
        <w:spacing w:after="120" w:before="280"/>
      </w:pPr>
      <w:r>
        <w:rPr>
          <w:rFonts w:ascii="Arial" w:cs="Arial" w:eastAsia="Arial" w:hAnsi="Arial"/>
          <w:b/>
          <w:bCs/>
          <w:color w:val="1D6FA4"/>
          <w:sz w:val="24"/>
          <w:szCs w:val="24"/>
        </w:rPr>
        <w:t xml:space="preserve">Grant allocation — USD 10,000 assuming first place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4100"/>
      </w:tblGrid>
      <w:tr>
        <w:tc>
          <w:tcPr>
            <w:tcW w:type="dxa" w:w="42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What the money funds</w:t>
            </w:r>
          </w:p>
        </w:tc>
        <w:tc>
          <w:tcPr>
            <w:tcW w:type="dxa" w:w="12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Amount</w:t>
            </w:r>
          </w:p>
        </w:tc>
        <w:tc>
          <w:tcPr>
            <w:tcW w:type="dxa" w:w="41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Why</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Stream B — Onboarding UX</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1,500</w:t>
            </w:r>
          </w:p>
        </w:tc>
        <w:tc>
          <w:tcPr>
            <w:tcW w:type="dxa" w:w="4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Sector and language selection, personalised dashboard, Zimbabwe Context panel, i18n wiring for Shona and Ndebele UI strings</w:t>
            </w:r>
          </w:p>
        </w:tc>
      </w:tr>
      <w:tr>
        <w:tc>
          <w:tcPr>
            <w:tcW w:type="dxa" w:w="4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Stream C — Governance UI</w:t>
            </w:r>
          </w:p>
        </w:tc>
        <w:tc>
          <w:tcPr>
            <w:tcW w:type="dxa" w:w="1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1,500</w:t>
            </w:r>
          </w:p>
        </w:tc>
        <w:tc>
          <w:tcPr>
            <w:tcW w:type="dxa" w:w="41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Policy upload interface, constraint review screen, HITL violation flagging, Policy Management page</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Stream D — Shona and Ndebele prompt templates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1,000</w:t>
            </w:r>
          </w:p>
        </w:tc>
        <w:tc>
          <w:tcPr>
            <w:tcW w:type="dxa" w:w="4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LLM prompt template library plus native speaker quality review to validate the output</w:t>
            </w:r>
          </w:p>
        </w:tc>
      </w:tr>
      <w:tr>
        <w:tc>
          <w:tcPr>
            <w:tcW w:type="dxa" w:w="4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Stream D — Five Zimbabwe sector knowledge packs</w:t>
            </w:r>
          </w:p>
        </w:tc>
        <w:tc>
          <w:tcPr>
            <w:tcW w:type="dxa" w:w="1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1,500</w:t>
            </w:r>
          </w:p>
        </w:tc>
        <w:tc>
          <w:tcPr>
            <w:tcW w:type="dxa" w:w="41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Research, curation, and ingestion of Tourism, Agriculture, NGO, Health, and Government packs with real regulatory references</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Pilot programme — 10 to 20 organisations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2,500</w:t>
            </w:r>
          </w:p>
        </w:tc>
        <w:tc>
          <w:tcPr>
            <w:tcW w:type="dxa" w:w="4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Operator onboarding, WhatsApp support channel, feedback collection, and at least one documented case study</w:t>
            </w:r>
          </w:p>
        </w:tc>
      </w:tr>
      <w:tr>
        <w:tc>
          <w:tcPr>
            <w:tcW w:type="dxa" w:w="4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Infrastructure for six months of hosted pilot</w:t>
            </w:r>
          </w:p>
        </w:tc>
        <w:tc>
          <w:tcPr>
            <w:tcW w:type="dxa" w:w="1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1,000</w:t>
            </w:r>
          </w:p>
        </w:tc>
        <w:tc>
          <w:tcPr>
            <w:tcW w:type="dxa" w:w="41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Managed Qdrant, PostgreSQL, and Redis for the pilot deployment</w:t>
            </w:r>
          </w:p>
        </w:tc>
      </w:tr>
      <w:tr>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API keys to activate dormant integrations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500</w:t>
            </w:r>
          </w:p>
        </w:tc>
        <w:tc>
          <w:tcPr>
            <w:tcW w:type="dxa" w:w="4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MiniMax for TTS and video, Firecrawl for enhanced web research — both code-complete and dormant pending keys only</w:t>
            </w:r>
          </w:p>
        </w:tc>
      </w:tr>
      <w:tr>
        <w:tc>
          <w:tcPr>
            <w:tcW w:type="dxa" w:w="4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Contingency</w:t>
            </w:r>
          </w:p>
        </w:tc>
        <w:tc>
          <w:tcPr>
            <w:tcW w:type="dxa" w:w="12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500</w:t>
            </w:r>
          </w:p>
        </w:tc>
        <w:tc>
          <w:tcPr>
            <w:tcW w:type="dxa" w:w="41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Hardware for pilot organisations that need GPU compute, unexpected integration costs</w:t>
            </w:r>
          </w:p>
        </w:tc>
      </w:tr>
    </w:tbl>
    <w:p>
      <w:pPr>
        <w:spacing w:after="60" w:before="60"/>
      </w:pPr>
      <w:r>
        <w:t xml:space="preserve"/>
      </w:r>
    </w:p>
    <w:p>
      <w:pPr>
        <w:pStyle w:val="Heading2"/>
        <w:spacing w:after="120" w:before="280"/>
      </w:pPr>
      <w:r>
        <w:rPr>
          <w:rFonts w:ascii="Arial" w:cs="Arial" w:eastAsia="Arial" w:hAnsi="Arial"/>
          <w:b/>
          <w:bCs/>
          <w:color w:val="1D6FA4"/>
          <w:sz w:val="24"/>
          <w:szCs w:val="24"/>
        </w:rPr>
        <w:t xml:space="preserve">Licensing and IP</w:t>
      </w:r>
    </w:p>
    <w:p>
      <w:pPr>
        <w:spacing w:after="100" w:before="100"/>
        <w:contextualSpacing/>
      </w:pPr>
      <w:r>
        <w:rPr>
          <w:rFonts w:ascii="Arial" w:cs="Arial" w:eastAsia="Arial" w:hAnsi="Arial"/>
          <w:color w:val="111111"/>
          <w:sz w:val="22"/>
          <w:szCs w:val="22"/>
        </w:rPr>
        <w:t xml:space="preserve">NeuroWorks' own code is proprietary to AiiA and RUBIEM Developers, all rights reserved, with the full licence text at the repository root. POTRAZ is granted a non-exclusive, royalty-free right to evaluate, demonstrate, and pilot the submission for public-interest purposes as part of the Grand Challenge. Commercial use, procurement, or institutional adoption beyond the Challenge requires a separate agreement. The Zimbabwe sector knowledge packs, once curated, will be released under Creative Commons Attribution terms to contribute to the national AI data infrastructure rather than being held as proprietary content.</w:t>
      </w:r>
    </w:p>
    <w:p>
      <w:r>
        <w:br w:type="page"/>
      </w:r>
    </w:p>
    <w:p>
      <w:pPr>
        <w:pStyle w:val="Heading1"/>
        <w:spacing w:after="200" w:before="400"/>
      </w:pPr>
      <w:r>
        <w:rPr>
          <w:rFonts w:ascii="Arial" w:cs="Arial" w:eastAsia="Arial" w:hAnsi="Arial"/>
          <w:b/>
          <w:bCs/>
          <w:color w:val="0D2137"/>
          <w:sz w:val="30"/>
          <w:szCs w:val="30"/>
        </w:rPr>
        <w:t xml:space="preserve">Appendix A — Checklist Self-Assessment</w:t>
      </w:r>
    </w:p>
    <w:p>
      <w:pPr>
        <w:spacing w:after="100" w:before="100"/>
        <w:contextualSpacing/>
      </w:pPr>
      <w:r>
        <w:rPr>
          <w:rFonts w:ascii="Arial" w:cs="Arial" w:eastAsia="Arial" w:hAnsi="Arial"/>
          <w:color w:val="111111"/>
          <w:sz w:val="22"/>
          <w:szCs w:val="22"/>
        </w:rPr>
        <w:t xml:space="preserve">Every item from the Track 3 Development System Checklist is mapped below with its status and the specific evidence that supports it.</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1000"/>
        <w:gridCol w:w="3900"/>
      </w:tblGrid>
      <w:tr>
        <w:tc>
          <w:tcPr>
            <w:tcW w:type="dxa" w:w="46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Checklist item</w:t>
            </w:r>
          </w:p>
        </w:tc>
        <w:tc>
          <w:tcPr>
            <w:tcW w:type="dxa" w:w="10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Status</w:t>
            </w:r>
          </w:p>
        </w:tc>
        <w:tc>
          <w:tcPr>
            <w:tcW w:type="dxa" w:w="39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Evidence</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Clear product name</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NeuroWorks</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Two-sentence product description</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1 opening paragraph</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Target problem clearly defined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1.1 — organisational capacity gap with named daily consequences</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Intended user named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1.2 — eight sector-specific user types with named Zimbabwean institutions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Why the problem matters</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1.1 — daily cost of capacity gap described concretely</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Genuine national need, not invented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12 sector packs with named ZW institutions in real operational detail</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Not a Track 1, 2, or 4 submission</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Prototype-first; AI product logic drives the submission, not data collection, design, or governance alone</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ZW or SADC need confirmed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Seven of the ten Grand Challenge priority sectors covered with named Zimbabwean institutions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National AI Strategy — named initiative</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1.4 — three direct fits, one partial, one not claimed</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NDS2 pillar — named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1.4 — Pillars 1, 2, and 3 named; Pillars 4 and 5 explicitly not claimed</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Alignment is specific, not generic</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Named PRAZ, Pfumvudza, MOHCC, ZIMSEC, ZTA, EcoCash, Mbare Musika throughout</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AI role explained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1.3 and 2.1 — multi-step synthesis not reducible to queries or rules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Why AI is necessary — baseline comparison</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1.3 — manual process versus NeuroWorks described step by step</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Model and method named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Ollama, LangGraph, Qdrant RAG, Anthropic, Groq — all named with roles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Model rationale explained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Language understanding, context retention, adaptive planning — all tied to specific task types</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Trade-offs acknowledged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4 — latency, bias, cultural accuracy all disclosed openly</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 forced AI</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Multi-step synthesis tasks that genuinely need language understanding; governance uses LLM for extraction, not keyword matching</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Model limitations acknowledged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4 — hallucination, bias, latency, cultural accuracy all stated as open items where relevant</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Architecture overview provided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2.2 with full stack table</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Main components identified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28 routers, approximately 90 primitives, 141 playbooks, full stack named</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Language and frameworks stated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Node.js, TypeScript, Express, LangGraph, Next.js 14, Qdrant, Redis, PostgreSQL</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Inference path identified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Ollama local default plus OpenRouter and Anthropic as opt-in cloud escalation</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Hosting and deployment described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Local-first; hosted SaaS path defined for pilot phase</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Database and storage described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PostgreSQL, Redis, Qdrant, vault as git repo, ADRS artifact formats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External integrations listed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Mailjet, Paynow, Stripe, GitHub, Slack, Telegram listed with their roles</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Security assumptions noted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AES-256-GCM secrets, origin-guard, secret-pattern scanner, HITL gate</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CCE position stated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2 — not required; runs on team hardware using local Ollama</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Working prototype exists</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28 live routes, approximately 90 primitives, live demonstration on Day 5</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Git repo with meaningful history</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github.com/RUBIEM-DEVELOPERS-REPO/neuroworks — full development arc committed</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Modular, readable code</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lib/ with 85 files, routes/ with 46 files, skills/ with 141 playbooks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README and documentation</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README plus docs-vault-ready/ in the repository</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Dependency lockfile present</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package-lock.json</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Tests present and passing</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118 tests passing on npm test</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What is built versus what is planned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3.1 status table — honest gap disclosure with stream and week numbers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AI component demonstrated, not just UI</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Agent executes real missions with real tool calls — not a UI-only demo</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All data sources identified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Dataset statement — Awesome (CC0), reflection series, production database all documented</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Lawful basis stated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Operator's own data, API terms of service, CC0 licence</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Synthetic data disclosed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None used in the current instance — stated explicitly</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Limitations stated honestly</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Five named limitations in the dataset statement including confidence scoring, entity resolution, and single-database breadth</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Provenance verifiable</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Root hash per dataset, recomputable against the published CSV or JSONL</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PII handling explained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Operator as controller, NeuroWorks as read-only processor — same posture as any BI tool</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User interaction described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Chat, CLI, API via /api/v1/dispatch, Next.js operator console — all live</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Local language considered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Shona and Ndebele chat support live; LLM prompt templates in Stream D</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Mobile and low-bandwidth considered</w:t>
            </w:r>
          </w:p>
        </w:tc>
        <w:tc>
          <w:tcPr>
            <w:tcW w:type="dxa" w:w="1000"/>
            <w:tcBorders>
              <w:top w:val="single" w:color="CCCCCC" w:sz="1"/>
              <w:left w:val="single" w:color="CCCCCC" w:sz="1"/>
              <w:bottom w:val="single" w:color="CCCCCC" w:sz="1"/>
              <w:right w:val="single" w:color="CCCCCC" w:sz="1"/>
            </w:tcBorders>
            <w:shd w:fill="FFF2CC" w:val="clear"/>
            <w:tcMar>
              <w:top w:type="dxa" w:w="90"/>
              <w:left w:type="dxa" w:w="140"/>
              <w:bottom w:type="dxa" w:w="90"/>
              <w:right w:type="dxa" w:w="140"/>
            </w:tcMar>
          </w:tcPr>
          <w:p>
            <w:r>
              <w:rPr>
                <w:rFonts w:ascii="Arial" w:cs="Arial" w:eastAsia="Arial" w:hAnsi="Arial"/>
                <w:b/>
                <w:bCs/>
                <w:color w:val="111111"/>
                <w:sz w:val="18"/>
                <w:szCs w:val="18"/>
              </w:rPr>
              <w:t xml:space="preserve">Partial</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Not yet addressed — planned for Stream F post-submission</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Risk note is candid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Real credential incident disclosed, open items named without softening</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HITL documented as risk control</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4 — requiresApproval flag, hybrid workforce pause mode, governance gate</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DPA Chapter 12:07 addressed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4 — controller and processor posture, local-first architecture as structural DPA contribution</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Business model stated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5 — free local core, paid cloud escalation, institutional licence</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Operating costs with real data</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5 — USD 8.31 over 10 days, USD 0.10 per task single-day figure from live tracker</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Post-grant sustainability pathway</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Self-hostable free tier, institutional licence, managed relay planned</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Pilot pathway described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5 — 10 to 20 organisations, four to six weeks, named success criteria, honest about no signed agreements yet</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Asset and licence register complete</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asset-and-licence-register.md in docs-vault-ready/ in the repository</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POTRAZ evaluation rights acknowledged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Section 5.5 and the LICENSE file at the repository root</w:t>
            </w:r>
          </w:p>
        </w:tc>
      </w:tr>
      <w:tr>
        <w:tc>
          <w:tcPr>
            <w:tcW w:type="dxa" w:w="46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Edge AI not applicable — stated</w:t>
            </w:r>
          </w:p>
        </w:tc>
        <w:tc>
          <w:tcPr>
            <w:tcW w:type="dxa" w:w="1000"/>
            <w:tcBorders>
              <w:top w:val="single" w:color="CCCCCC" w:sz="1"/>
              <w:left w:val="single" w:color="CCCCCC" w:sz="1"/>
              <w:bottom w:val="single" w:color="CCCCCC" w:sz="1"/>
              <w:right w:val="single" w:color="CCCCCC" w:sz="1"/>
            </w:tcBorders>
            <w:shd w:fill="E2EFDA" w:val="clear"/>
            <w:tcMar>
              <w:top w:type="dxa" w:w="90"/>
              <w:left w:type="dxa" w:w="140"/>
              <w:bottom w:type="dxa" w:w="90"/>
              <w:right w:type="dxa" w:w="140"/>
            </w:tcMar>
          </w:tcPr>
          <w:p>
            <w:r>
              <w:rPr>
                <w:rFonts w:ascii="Arial" w:cs="Arial" w:eastAsia="Arial" w:hAnsi="Arial"/>
                <w:b/>
                <w:bCs/>
                <w:color w:val="111111"/>
                <w:sz w:val="18"/>
                <w:szCs w:val="18"/>
              </w:rPr>
              <w:t xml:space="preserve">Met</w:t>
            </w:r>
          </w:p>
        </w:tc>
        <w:tc>
          <w:tcPr>
            <w:tcW w:type="dxa" w:w="39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Confirmed explicitly in Section 2 — local server and cloud, not edge or embedded</w:t>
            </w:r>
          </w:p>
        </w:tc>
      </w:tr>
    </w:tbl>
    <w:p>
      <w:r>
        <w:br w:type="page"/>
      </w:r>
    </w:p>
    <w:p>
      <w:pPr>
        <w:pStyle w:val="Heading1"/>
        <w:spacing w:after="200" w:before="400"/>
      </w:pPr>
      <w:r>
        <w:rPr>
          <w:rFonts w:ascii="Arial" w:cs="Arial" w:eastAsia="Arial" w:hAnsi="Arial"/>
          <w:b/>
          <w:bCs/>
          <w:color w:val="0D2137"/>
          <w:sz w:val="30"/>
          <w:szCs w:val="30"/>
        </w:rPr>
        <w:t xml:space="preserve">Appendix B — Evidence Pack</w:t>
      </w:r>
    </w:p>
    <w:p>
      <w:pPr>
        <w:spacing w:after="100" w:before="100"/>
        <w:contextualSpacing/>
      </w:pPr>
      <w:r>
        <w:rPr>
          <w:rFonts w:ascii="Arial" w:cs="Arial" w:eastAsia="Arial" w:hAnsi="Arial"/>
          <w:color w:val="111111"/>
          <w:sz w:val="22"/>
          <w:szCs w:val="22"/>
        </w:rPr>
        <w:t xml:space="preserve">Every item below can be demonstrated live at the Grand Challenge or verified directly in the repository. Nothing in this list requires taking anything on faith.</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c>
          <w:tcPr>
            <w:tcW w:type="dxa" w:w="30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What to verify</w:t>
            </w:r>
          </w:p>
        </w:tc>
        <w:tc>
          <w:tcPr>
            <w:tcW w:type="dxa" w:w="30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How</w:t>
            </w:r>
          </w:p>
        </w:tc>
        <w:tc>
          <w:tcPr>
            <w:tcW w:type="dxa" w:w="3500"/>
            <w:tcBorders>
              <w:top w:val="single" w:color="CCCCCC" w:sz="1"/>
              <w:left w:val="single" w:color="CCCCCC" w:sz="1"/>
              <w:bottom w:val="single" w:color="CCCCCC" w:sz="1"/>
              <w:right w:val="single" w:color="CCCCCC" w:sz="1"/>
            </w:tcBorders>
            <w:shd w:fill="0D2137" w:val="clear"/>
            <w:tcMar>
              <w:top w:type="dxa" w:w="90"/>
              <w:left w:type="dxa" w:w="140"/>
              <w:bottom w:type="dxa" w:w="90"/>
              <w:right w:type="dxa" w:w="140"/>
            </w:tcMar>
          </w:tcPr>
          <w:p>
            <w:r>
              <w:rPr>
                <w:rFonts w:ascii="Arial" w:cs="Arial" w:eastAsia="Arial" w:hAnsi="Arial"/>
                <w:b/>
                <w:bCs/>
                <w:color w:val="FFFFFF"/>
                <w:sz w:val="19"/>
                <w:szCs w:val="19"/>
              </w:rPr>
              <w:t xml:space="preserve">What it proves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28 live API routes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GET /api/status or browse the routes/ directory</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Every route has a real handler. No stubs.</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Approximately 90 primitives</w:t>
            </w:r>
          </w:p>
        </w:tc>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POST /api/tasks with a tool-calling mission brief</w:t>
            </w:r>
          </w:p>
        </w:tc>
        <w:tc>
          <w:tcPr>
            <w:tcW w:type="dxa" w:w="35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Agents call real tools through the HERMES governance layer</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141 skill playbooks — no orphans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GET /api/skills or the skill.list primitive</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Full department coverage, verified clean</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ADRS dataset with verifiable root hash</w:t>
            </w:r>
          </w:p>
        </w:tc>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GET /api/datasets, then recompute SHA-256 against the CSV</w:t>
            </w:r>
          </w:p>
        </w:tc>
        <w:tc>
          <w:tcPr>
            <w:tcW w:type="dxa" w:w="35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Awesome dataset: 682 records, CC0, root hash eb1b0fe4a363a372… — checkable not asserted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 production database connected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GET /api/data-sources</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One real external system connected and live since 11 July 2026</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Paynow Zimbabwe</w:t>
            </w:r>
          </w:p>
        </w:tc>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payment.paynow_link primitive or show the test receipt</w:t>
            </w:r>
          </w:p>
        </w:tc>
        <w:tc>
          <w:tcPr>
            <w:tcW w:type="dxa" w:w="35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Zimbabwe-market local payment rail — live and tested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Mailjet email send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email.send primitive — sends a real email with an attachment</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Sole sanctioned outbound email path, live and tested</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Ollama local inference</w:t>
            </w:r>
          </w:p>
        </w:tc>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Run a mission with no API keys set</w:t>
            </w:r>
          </w:p>
        </w:tc>
        <w:tc>
          <w:tcPr>
            <w:tcW w:type="dxa" w:w="35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Local-first data sovereignty working in practice — no cloud transmission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Governance gate enforcement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Upload a policy document, then attempt a violating action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Gate blocks the action and names the violated rule before anything executes</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Secret-pattern scanner</w:t>
            </w:r>
          </w:p>
        </w:tc>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Attempt to write a fake token string to the vault</w:t>
            </w:r>
          </w:p>
        </w:tc>
        <w:tc>
          <w:tcPr>
            <w:tcW w:type="dxa" w:w="35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Detected and blocked in under a millisecond — live-tested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Cost tracker on real billed tokens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GET /api/cost</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USD 8.31 over 10 days from real provider usage data, not an estimate</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118 tests passing</w:t>
            </w:r>
          </w:p>
        </w:tc>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npm test from the repository root</w:t>
            </w:r>
          </w:p>
        </w:tc>
        <w:tc>
          <w:tcPr>
            <w:tcW w:type="dxa" w:w="35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Full test suite green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Shona and Ndebele chat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Chat interface — send a message in Shona</w:t>
            </w:r>
          </w:p>
        </w:tc>
        <w:tc>
          <w:tcPr>
            <w:tcW w:type="dxa" w:w="3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Live local-language support, no external API</w:t>
            </w:r>
          </w:p>
        </w:tc>
      </w:tr>
      <w:tr>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HITL approval gate</w:t>
            </w:r>
          </w:p>
        </w:tc>
        <w:tc>
          <w:tcPr>
            <w:tcW w:type="dxa" w:w="30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Brief a mission with a consequential action — watch it pause and wait</w:t>
            </w:r>
          </w:p>
        </w:tc>
        <w:tc>
          <w:tcPr>
            <w:tcW w:type="dxa" w:w="3500"/>
            <w:tcBorders>
              <w:top w:val="single" w:color="CCCCCC" w:sz="1"/>
              <w:left w:val="single" w:color="CCCCCC" w:sz="1"/>
              <w:bottom w:val="single" w:color="CCCCCC" w:sz="1"/>
              <w:right w:val="single" w:color="CCCCCC" w:sz="1"/>
            </w:tcBorders>
            <w:shd w:fill="EEF6FC" w:val="clear"/>
            <w:tcMar>
              <w:top w:type="dxa" w:w="90"/>
              <w:left w:type="dxa" w:w="140"/>
              <w:bottom w:type="dxa" w:w="90"/>
              <w:right w:type="dxa" w:w="140"/>
            </w:tcMar>
          </w:tcPr>
          <w:p>
            <w:r>
              <w:rPr>
                <w:rFonts w:ascii="Arial" w:cs="Arial" w:eastAsia="Arial" w:hAnsi="Arial"/>
                <w:b w:val="false"/>
                <w:bCs w:val="false"/>
                <w:color w:val="111111"/>
                <w:sz w:val="18"/>
                <w:szCs w:val="18"/>
              </w:rPr>
              <w:t xml:space="preserve">Human stays in the loop. No consequential action runs without approval.</w:t>
            </w:r>
          </w:p>
        </w:tc>
      </w:tr>
    </w:tbl>
    <w:p>
      <w:pPr>
        <w:pBdr>
          <w:bottom w:val="single" w:color="1D6FA4" w:sz="6" w:space="1"/>
        </w:pBdr>
        <w:spacing w:after="200" w:before="200"/>
      </w:pPr>
      <w:r>
        <w:t xml:space="preserve"/>
      </w:r>
    </w:p>
    <w:p>
      <w:pPr>
        <w:spacing w:after="60" w:before="60"/>
      </w:pPr>
      <w:r>
        <w:t xml:space="preserve"/>
      </w:r>
    </w:p>
    <w:p>
      <w:pPr>
        <w:spacing w:after="200" w:before="200"/>
        <w:jc w:val="center"/>
      </w:pPr>
      <w:r>
        <w:rPr>
          <w:rFonts w:ascii="Arial" w:cs="Arial" w:eastAsia="Arial" w:hAnsi="Arial"/>
          <w:i/>
          <w:iCs/>
          <w:color w:val="999999"/>
          <w:sz w:val="20"/>
          <w:szCs w:val="20"/>
        </w:rPr>
        <w:t xml:space="preserve">End of proposal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0"/>
      <w:szCs w:val="30"/>
    </w:rPr>
  </w:style>
  <w:style w:type="paragraph" w:styleId="Heading2">
    <w:name w:val="Heading 2"/>
    <w:basedOn w:val="Normal"/>
    <w:next w:val="Normal"/>
    <w:qFormat/>
    <w:pPr>
      <w:spacing w:after="120" w:before="28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2026-07-11T14:03:25.006Z</dcterms:created>
  <dcterms:modified xsi:type="dcterms:W3CDTF">2026-07-11T14:03:25.021Z</dcterms:modified>
</cp:coreProperties>
</file>

<file path=docProps/custom.xml><?xml version="1.0" encoding="utf-8"?>
<Properties xmlns="http://schemas.openxmlformats.org/officeDocument/2006/custom-properties" xmlns:vt="http://schemas.openxmlformats.org/officeDocument/2006/docPropsVTypes"/>
</file>