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ost-event-reconnaissance-report"/>
    <w:p>
      <w:pPr>
        <w:pStyle w:val="Heading1"/>
      </w:pPr>
      <w:r>
        <w:t xml:space="preserve">POST-EVENT RECONNAISSANCE REPORT</w:t>
      </w:r>
    </w:p>
    <w:p>
      <w:pPr>
        <w:pStyle w:val="FirstParagraph"/>
      </w:pPr>
      <w:r>
        <w:rPr>
          <w:b/>
          <w:bCs/>
        </w:rPr>
        <w:t xml:space="preserve">Event:</w:t>
      </w:r>
      <w:r>
        <w:t xml:space="preserve"> </w:t>
      </w:r>
      <w:r>
        <w:t xml:space="preserve">High Schools Careers in AI and Innovation Fair 2026</w:t>
      </w:r>
    </w:p>
    <w:p>
      <w:pPr>
        <w:pStyle w:val="BodyText"/>
      </w:pPr>
      <w:r>
        <w:rPr>
          <w:b/>
          <w:bCs/>
        </w:rPr>
        <w:t xml:space="preserve">Date:</w:t>
      </w:r>
      <w:r>
        <w:t xml:space="preserve"> </w:t>
      </w:r>
      <w:r>
        <w:t xml:space="preserve">June 2026</w:t>
      </w:r>
    </w:p>
    <w:p>
      <w:pPr>
        <w:pStyle w:val="BodyText"/>
      </w:pPr>
      <w:r>
        <w:rPr>
          <w:b/>
          <w:bCs/>
        </w:rPr>
        <w:t xml:space="preserve">Subject:</w:t>
      </w:r>
      <w:r>
        <w:t xml:space="preserve"> Post-Event analysis and follow-up action plan </w:t>
      </w:r>
    </w:p>
    <w:p>
      <w:r>
        <w:pict>
          <v:rect style="width:0;height:1.5pt" o:hralign="center" o:hrstd="t" o:hr="t"/>
        </w:pict>
      </w:r>
    </w:p>
    <w:bookmarkEnd w:id="20"/>
    <w:bookmarkStart w:id="21" w:name="executive-summary"/>
    <w:p>
      <w:pPr>
        <w:pStyle w:val="Heading1"/>
      </w:pPr>
      <w:r>
        <w:t xml:space="preserve">1. Executive Summary</w:t>
      </w:r>
    </w:p>
    <w:p>
      <w:pPr>
        <w:pStyle w:val="FirstParagraph"/>
      </w:pPr>
      <w:r>
        <w:t xml:space="preserve">The Artificial Intelligence Institute of Africa (AIIA) successfully participated in the</w:t>
      </w:r>
      <w:r>
        <w:t xml:space="preserve"> </w:t>
      </w:r>
      <w:r>
        <w:rPr>
          <w:b/>
          <w:bCs/>
        </w:rPr>
        <w:t xml:space="preserve">High Schools Careers in AI and Innovation Fair 2026</w:t>
      </w:r>
      <w:r>
        <w:t xml:space="preserve">, showcasing its initiatives in Artificial Intelligence, digital innovation, and education. The exhibition provided an excellent platform to engage directly with students, educators, and school leadership while increasing awareness of AIIA’s programmes and services.</w:t>
      </w:r>
    </w:p>
    <w:p>
      <w:pPr>
        <w:pStyle w:val="BodyText"/>
      </w:pPr>
      <w:r>
        <w:t xml:space="preserve">The event was highly successful from a business development perspective, generating</w:t>
      </w:r>
      <w:r>
        <w:t xml:space="preserve"> </w:t>
      </w:r>
      <w:r>
        <w:rPr>
          <w:b/>
          <w:bCs/>
        </w:rPr>
        <w:t xml:space="preserve">38 qualified leads</w:t>
      </w:r>
      <w:r>
        <w:t xml:space="preserve"> </w:t>
      </w:r>
      <w:r>
        <w:t xml:space="preserve">through signed registrations and contact details collected from interested students and school representatives, including Head Masters. The strong level of engagement demonstrated growing interest in Artificial Intelligence education, innovation programmes, and technology partnerships within Zimbabwe’s education sector.</w:t>
      </w:r>
    </w:p>
    <w:p>
      <w:pPr>
        <w:pStyle w:val="BodyText"/>
      </w:pPr>
      <w:r>
        <w:t xml:space="preserve">Overall, the exhibition strengthened AIIA’s visibility, expanded its network within the education sector, and created valuable opportunities for future collaborations.</w:t>
      </w:r>
    </w:p>
    <w:p>
      <w:r>
        <w:pict>
          <v:rect style="width:0;height:1.5pt" o:hralign="center" o:hrstd="t" o:hr="t"/>
        </w:pict>
      </w:r>
    </w:p>
    <w:bookmarkEnd w:id="21"/>
    <w:bookmarkStart w:id="24" w:name="event-performance-dashboard"/>
    <w:p>
      <w:pPr>
        <w:pStyle w:val="Heading1"/>
      </w:pPr>
      <w:r>
        <w:t xml:space="preserve">Event Performance Dashboard</w:t>
      </w:r>
    </w:p>
    <w:bookmarkStart w:id="22" w:name="key-performance-indicators"/>
    <w:p>
      <w:pPr>
        <w:pStyle w:val="Heading2"/>
      </w:pPr>
      <w:r>
        <w:t xml:space="preserve">Key Performance Indicators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Indicator</w:t>
            </w:r>
          </w:p>
        </w:tc>
        <w:tc>
          <w:tcPr/>
          <w:p>
            <w:pPr>
              <w:pStyle w:val="Compact"/>
            </w:pPr>
            <w:r>
              <w:rPr>
                <w:b/>
                <w:bCs/>
              </w:rPr>
              <w:t xml:space="preserve">Result</w:t>
            </w:r>
          </w:p>
        </w:tc>
      </w:tr>
      <w:tr>
        <w:tc>
          <w:tcPr/>
          <w:p>
            <w:pPr>
              <w:pStyle w:val="Compact"/>
            </w:pPr>
            <w:r>
              <w:t xml:space="preserve">Event Participation</w:t>
            </w:r>
          </w:p>
        </w:tc>
        <w:tc>
          <w:tcPr/>
          <w:p>
            <w:pPr>
              <w:pStyle w:val="Compact"/>
            </w:pPr>
            <w:r>
              <w:t xml:space="preserve">✅ Successfully Completed</w:t>
            </w:r>
          </w:p>
        </w:tc>
      </w:tr>
      <w:tr>
        <w:tc>
          <w:tcPr/>
          <w:p>
            <w:pPr>
              <w:pStyle w:val="Compact"/>
            </w:pPr>
            <w:r>
              <w:t xml:space="preserve">Student Engagement</w:t>
            </w:r>
          </w:p>
        </w:tc>
        <w:tc>
          <w:tcPr/>
          <w:p>
            <w:pPr>
              <w:pStyle w:val="Compact"/>
            </w:pPr>
            <w:r>
              <w:t xml:space="preserve">✅ High</w:t>
            </w:r>
          </w:p>
        </w:tc>
      </w:tr>
      <w:tr>
        <w:tc>
          <w:tcPr/>
          <w:p>
            <w:pPr>
              <w:pStyle w:val="Compact"/>
            </w:pPr>
            <w:r>
              <w:t xml:space="preserve">School Engagement</w:t>
            </w:r>
          </w:p>
        </w:tc>
        <w:tc>
          <w:tcPr/>
          <w:p>
            <w:pPr>
              <w:pStyle w:val="Compact"/>
            </w:pPr>
            <w:r>
              <w:t xml:space="preserve">✅ High</w:t>
            </w:r>
          </w:p>
        </w:tc>
      </w:tr>
      <w:tr>
        <w:tc>
          <w:tcPr/>
          <w:p>
            <w:pPr>
              <w:pStyle w:val="Compact"/>
            </w:pPr>
            <w:r>
              <w:t xml:space="preserve">Qualified Leads Generated</w:t>
            </w:r>
          </w:p>
        </w:tc>
        <w:tc>
          <w:tcPr/>
          <w:p>
            <w:pPr>
              <w:pStyle w:val="Compact"/>
            </w:pPr>
            <w:r>
              <w:rPr>
                <w:b/>
                <w:bCs/>
              </w:rPr>
              <w:t xml:space="preserve">38</w:t>
            </w:r>
          </w:p>
        </w:tc>
      </w:tr>
      <w:tr>
        <w:tc>
          <w:tcPr/>
          <w:p>
            <w:pPr>
              <w:pStyle w:val="Compact"/>
            </w:pPr>
            <w:r>
              <w:t xml:space="preserve">Head Masters Engaged</w:t>
            </w:r>
          </w:p>
        </w:tc>
        <w:tc>
          <w:tcPr/>
          <w:p>
            <w:pPr>
              <w:pStyle w:val="Compact"/>
            </w:pPr>
            <w:r>
              <w:t xml:space="preserve">Multiple</w:t>
            </w:r>
          </w:p>
        </w:tc>
      </w:tr>
      <w:tr>
        <w:tc>
          <w:tcPr/>
          <w:p>
            <w:pPr>
              <w:pStyle w:val="Compact"/>
            </w:pPr>
            <w:r>
              <w:t xml:space="preserve">Brand Visibility</w:t>
            </w:r>
          </w:p>
        </w:tc>
        <w:tc>
          <w:tcPr/>
          <w:p>
            <w:pPr>
              <w:pStyle w:val="Compact"/>
            </w:pPr>
            <w:r>
              <w:t xml:space="preserve">✅ Increased</w:t>
            </w:r>
          </w:p>
        </w:tc>
      </w:tr>
      <w:tr>
        <w:tc>
          <w:tcPr/>
          <w:p>
            <w:pPr>
              <w:pStyle w:val="Compact"/>
            </w:pPr>
            <w:r>
              <w:t xml:space="preserve">Partnership Opportunities</w:t>
            </w:r>
          </w:p>
        </w:tc>
        <w:tc>
          <w:tcPr/>
          <w:p>
            <w:pPr>
              <w:pStyle w:val="Compact"/>
            </w:pPr>
            <w:r>
              <w:t xml:space="preserve">✅ Strong</w:t>
            </w:r>
          </w:p>
        </w:tc>
      </w:tr>
      <w:tr>
        <w:tc>
          <w:tcPr/>
          <w:p>
            <w:pPr>
              <w:pStyle w:val="Compact"/>
            </w:pPr>
            <w:r>
              <w:t xml:space="preserve">Overall Outcome</w:t>
            </w:r>
          </w:p>
        </w:tc>
        <w:tc>
          <w:tcPr/>
          <w:p>
            <w:pPr>
              <w:pStyle w:val="Compact"/>
            </w:pPr>
            <w:r>
              <w:rPr>
                <w:b/>
                <w:bCs/>
              </w:rPr>
              <w:t xml:space="preserve">Successful</w:t>
            </w:r>
          </w:p>
        </w:tc>
      </w:tr>
    </w:tbl>
    <w:bookmarkEnd w:id="22"/>
    <w:bookmarkStart w:id="23" w:name="executive-highlights"/>
    <w:p>
      <w:pPr>
        <w:pStyle w:val="Heading2"/>
      </w:pPr>
      <w:r>
        <w:t xml:space="preserve">Executive Highlights</w:t>
      </w:r>
    </w:p>
    <w:p>
      <w:pPr>
        <w:pStyle w:val="Compact"/>
        <w:numPr>
          <w:ilvl w:val="0"/>
          <w:numId w:val="1001"/>
        </w:numPr>
      </w:pPr>
      <w:r>
        <w:t xml:space="preserve">Successfully represented AIIA at the</w:t>
      </w:r>
      <w:r>
        <w:t xml:space="preserve"> </w:t>
      </w:r>
      <w:r>
        <w:rPr>
          <w:b/>
          <w:bCs/>
        </w:rPr>
        <w:t xml:space="preserve">High Schools Careers in AI and Innovation Fair 2026</w:t>
      </w:r>
      <w:r>
        <w:t xml:space="preserve">.</w:t>
      </w:r>
    </w:p>
    <w:p>
      <w:pPr>
        <w:pStyle w:val="Compact"/>
        <w:numPr>
          <w:ilvl w:val="0"/>
          <w:numId w:val="1001"/>
        </w:numPr>
      </w:pPr>
      <w:r>
        <w:t xml:space="preserve">Generated</w:t>
      </w:r>
      <w:r>
        <w:t xml:space="preserve"> </w:t>
      </w:r>
      <w:r>
        <w:rPr>
          <w:b/>
          <w:bCs/>
        </w:rPr>
        <w:t xml:space="preserve">38 qualified leads</w:t>
      </w:r>
      <w:r>
        <w:t xml:space="preserve"> </w:t>
      </w:r>
      <w:r>
        <w:t xml:space="preserve">through student registrations and contacts.</w:t>
      </w:r>
    </w:p>
    <w:p>
      <w:pPr>
        <w:pStyle w:val="Compact"/>
        <w:numPr>
          <w:ilvl w:val="0"/>
          <w:numId w:val="1001"/>
        </w:numPr>
      </w:pPr>
      <w:r>
        <w:t xml:space="preserve">Established relationships with several Head Masters interested in AI education initiatives.</w:t>
      </w:r>
    </w:p>
    <w:p>
      <w:pPr>
        <w:pStyle w:val="Compact"/>
        <w:numPr>
          <w:ilvl w:val="0"/>
          <w:numId w:val="1001"/>
        </w:numPr>
      </w:pPr>
      <w:r>
        <w:t xml:space="preserve">Increased awareness of AIIA’s AI programmes, training opportunities, and educational solutions.</w:t>
      </w:r>
    </w:p>
    <w:p>
      <w:pPr>
        <w:pStyle w:val="Compact"/>
        <w:numPr>
          <w:ilvl w:val="0"/>
          <w:numId w:val="1001"/>
        </w:numPr>
      </w:pPr>
      <w:r>
        <w:t xml:space="preserve">Identified several opportunities for future school partnerships and institutional AI adoption.</w:t>
      </w:r>
    </w:p>
    <w:p>
      <w:r>
        <w:pict>
          <v:rect style="width:0;height:1.5pt" o:hralign="center" o:hrstd="t" o:hr="t"/>
        </w:pict>
      </w:r>
    </w:p>
    <w:bookmarkEnd w:id="23"/>
    <w:bookmarkEnd w:id="24"/>
    <w:bookmarkStart w:id="25" w:name="event-overview"/>
    <w:p>
      <w:pPr>
        <w:pStyle w:val="Heading1"/>
      </w:pPr>
      <w:r>
        <w:t xml:space="preserve">2. Event Overview</w:t>
      </w:r>
    </w:p>
    <w:p>
      <w:pPr>
        <w:pStyle w:val="FirstParagraph"/>
      </w:pPr>
      <w:r>
        <w:t xml:space="preserve">The exhibition provided an opportunity for AIIA to introduce students and educators to Artificial Intelligence, digital innovation, and emerging technologies.</w:t>
      </w:r>
    </w:p>
    <w:p>
      <w:pPr>
        <w:pStyle w:val="BodyText"/>
      </w:pPr>
      <w:r>
        <w:t xml:space="preserve">Throughout the event, visitors interacted with the AIIA exhibition stand, learned about AI career pathways, explored training opportunities, and discussed how Artificial Intelligence can support education and future workforce development.</w:t>
      </w:r>
    </w:p>
    <w:p>
      <w:pPr>
        <w:pStyle w:val="BodyText"/>
      </w:pPr>
      <w:r>
        <w:t xml:space="preserve">The event attracted significant interest from both students and school leadership, positioning AIIA as a trusted partner in AI education and digital transformation.</w:t>
      </w:r>
    </w:p>
    <w:p>
      <w:r>
        <w:pict>
          <v:rect style="width:0;height:1.5pt" o:hralign="center" o:hrstd="t" o:hr="t"/>
        </w:pict>
      </w:r>
    </w:p>
    <w:bookmarkEnd w:id="25"/>
    <w:bookmarkStart w:id="26" w:name="outcomes-achieved"/>
    <w:p>
      <w:pPr>
        <w:pStyle w:val="Heading1"/>
      </w:pPr>
      <w:r>
        <w:t xml:space="preserve">3. Outcomes Achieved</w:t>
      </w:r>
    </w:p>
    <w:p>
      <w:pPr>
        <w:pStyle w:val="FirstParagraph"/>
      </w:pPr>
      <w:r>
        <w:t xml:space="preserve">The event achieved several positive outcomes:</w:t>
      </w:r>
    </w:p>
    <w:p>
      <w:pPr>
        <w:pStyle w:val="Compact"/>
        <w:numPr>
          <w:ilvl w:val="0"/>
          <w:numId w:val="1002"/>
        </w:numPr>
      </w:pPr>
      <w:r>
        <w:t xml:space="preserve">Generated</w:t>
      </w:r>
      <w:r>
        <w:t xml:space="preserve"> </w:t>
      </w:r>
      <w:r>
        <w:rPr>
          <w:b/>
          <w:bCs/>
        </w:rPr>
        <w:t xml:space="preserve">38 qualified leads</w:t>
      </w:r>
      <w:r>
        <w:t xml:space="preserve"> </w:t>
      </w:r>
      <w:r>
        <w:t xml:space="preserve">consisting of interested students and education stakeholders.</w:t>
      </w:r>
    </w:p>
    <w:p>
      <w:pPr>
        <w:pStyle w:val="Compact"/>
        <w:numPr>
          <w:ilvl w:val="0"/>
          <w:numId w:val="1002"/>
        </w:numPr>
      </w:pPr>
      <w:r>
        <w:t xml:space="preserve">Established direct engagement with Head Masters interested in AI training and educational partnerships.</w:t>
      </w:r>
    </w:p>
    <w:p>
      <w:pPr>
        <w:pStyle w:val="Compact"/>
        <w:numPr>
          <w:ilvl w:val="0"/>
          <w:numId w:val="1002"/>
        </w:numPr>
      </w:pPr>
      <w:r>
        <w:t xml:space="preserve">Increased awareness of AIIA’s programmes among high school students.</w:t>
      </w:r>
    </w:p>
    <w:p>
      <w:pPr>
        <w:pStyle w:val="Compact"/>
        <w:numPr>
          <w:ilvl w:val="0"/>
          <w:numId w:val="1002"/>
        </w:numPr>
      </w:pPr>
      <w:r>
        <w:t xml:space="preserve">Promoted Cognify and Artificial Intelligence training opportunities.</w:t>
      </w:r>
    </w:p>
    <w:p>
      <w:pPr>
        <w:pStyle w:val="Compact"/>
        <w:numPr>
          <w:ilvl w:val="0"/>
          <w:numId w:val="1002"/>
        </w:numPr>
      </w:pPr>
      <w:r>
        <w:t xml:space="preserve">Expanded AIIA’s network within Zimbabwe’s education sector.</w:t>
      </w:r>
    </w:p>
    <w:p>
      <w:pPr>
        <w:pStyle w:val="Compact"/>
        <w:numPr>
          <w:ilvl w:val="0"/>
          <w:numId w:val="1002"/>
        </w:numPr>
      </w:pPr>
      <w:r>
        <w:t xml:space="preserve">Strengthened AIIA’s reputation as a leader in AI education and innovation.</w:t>
      </w:r>
    </w:p>
    <w:p>
      <w:r>
        <w:pict>
          <v:rect style="width:0;height:1.5pt" o:hralign="center" o:hrstd="t" o:hr="t"/>
        </w:pict>
      </w:r>
    </w:p>
    <w:bookmarkEnd w:id="26"/>
    <w:bookmarkStart w:id="29" w:name="key-observations-and-lessons-learned"/>
    <w:p>
      <w:pPr>
        <w:pStyle w:val="Heading1"/>
      </w:pPr>
      <w:r>
        <w:t xml:space="preserve">4. Key Observations and Lessons Learned</w:t>
      </w:r>
    </w:p>
    <w:bookmarkStart w:id="27" w:name="exhibition-branding"/>
    <w:p>
      <w:pPr>
        <w:pStyle w:val="Heading2"/>
      </w:pPr>
      <w:r>
        <w:t xml:space="preserve">4.1 Exhibition Branding</w:t>
      </w:r>
    </w:p>
    <w:p>
      <w:pPr>
        <w:pStyle w:val="FirstParagraph"/>
      </w:pPr>
      <w:r>
        <w:t xml:space="preserve">While the exhibition stand attracted visitors, stronger branding would further improve visibility and attract more foot traffic.</w:t>
      </w:r>
    </w:p>
    <w:p>
      <w:pPr>
        <w:pStyle w:val="BodyText"/>
      </w:pPr>
      <w:r>
        <w:t xml:space="preserve">Future exhibitions should include:</w:t>
      </w:r>
    </w:p>
    <w:p>
      <w:pPr>
        <w:pStyle w:val="Compact"/>
        <w:numPr>
          <w:ilvl w:val="0"/>
          <w:numId w:val="1003"/>
        </w:numPr>
      </w:pPr>
      <w:r>
        <w:t xml:space="preserve">Larger branded displays</w:t>
      </w:r>
    </w:p>
    <w:p>
      <w:pPr>
        <w:pStyle w:val="Compact"/>
        <w:numPr>
          <w:ilvl w:val="0"/>
          <w:numId w:val="1003"/>
        </w:numPr>
      </w:pPr>
      <w:r>
        <w:t xml:space="preserve">More visual AI demonstrations</w:t>
      </w:r>
    </w:p>
    <w:p>
      <w:pPr>
        <w:pStyle w:val="Compact"/>
        <w:numPr>
          <w:ilvl w:val="0"/>
          <w:numId w:val="1003"/>
        </w:numPr>
      </w:pPr>
      <w:r>
        <w:t xml:space="preserve">Interactive digital screens</w:t>
      </w:r>
    </w:p>
    <w:p>
      <w:pPr>
        <w:pStyle w:val="Compact"/>
        <w:numPr>
          <w:ilvl w:val="0"/>
          <w:numId w:val="1003"/>
        </w:numPr>
      </w:pPr>
      <w:r>
        <w:t xml:space="preserve">Stronger promotional materials</w:t>
      </w:r>
    </w:p>
    <w:p>
      <w:pPr>
        <w:pStyle w:val="Compact"/>
        <w:numPr>
          <w:ilvl w:val="0"/>
          <w:numId w:val="1003"/>
        </w:numPr>
      </w:pPr>
      <w:r>
        <w:t xml:space="preserve">Improved stand layout</w:t>
      </w:r>
    </w:p>
    <w:p>
      <w:r>
        <w:pict>
          <v:rect style="width:0;height:1.5pt" o:hralign="center" o:hrstd="t" o:hr="t"/>
        </w:pict>
      </w:r>
    </w:p>
    <w:bookmarkEnd w:id="27"/>
    <w:bookmarkStart w:id="28" w:name="demonstration-execution"/>
    <w:p>
      <w:pPr>
        <w:pStyle w:val="Heading2"/>
      </w:pPr>
      <w:r>
        <w:t xml:space="preserve">4.2 Demonstration Execution</w:t>
      </w:r>
    </w:p>
    <w:p>
      <w:pPr>
        <w:pStyle w:val="FirstParagraph"/>
      </w:pPr>
      <w:r>
        <w:t xml:space="preserve">The demonstrations generated considerable interest; however, the execution could be smoother and more structured.</w:t>
      </w:r>
    </w:p>
    <w:p>
      <w:pPr>
        <w:pStyle w:val="BodyText"/>
      </w:pPr>
      <w:r>
        <w:t xml:space="preserve">Future improvements should include:</w:t>
      </w:r>
    </w:p>
    <w:p>
      <w:pPr>
        <w:pStyle w:val="Compact"/>
        <w:numPr>
          <w:ilvl w:val="0"/>
          <w:numId w:val="1004"/>
        </w:numPr>
      </w:pPr>
      <w:r>
        <w:t xml:space="preserve">Standardized demonstration scripts</w:t>
      </w:r>
    </w:p>
    <w:p>
      <w:pPr>
        <w:pStyle w:val="Compact"/>
        <w:numPr>
          <w:ilvl w:val="0"/>
          <w:numId w:val="1004"/>
        </w:numPr>
      </w:pPr>
      <w:r>
        <w:t xml:space="preserve">Clear demonstration schedules</w:t>
      </w:r>
    </w:p>
    <w:p>
      <w:pPr>
        <w:pStyle w:val="Compact"/>
        <w:numPr>
          <w:ilvl w:val="0"/>
          <w:numId w:val="1004"/>
        </w:numPr>
      </w:pPr>
      <w:r>
        <w:t xml:space="preserve">Faster transitions between demonstrations</w:t>
      </w:r>
    </w:p>
    <w:p>
      <w:pPr>
        <w:pStyle w:val="Compact"/>
        <w:numPr>
          <w:ilvl w:val="0"/>
          <w:numId w:val="1004"/>
        </w:numPr>
      </w:pPr>
      <w:r>
        <w:t xml:space="preserve">More interactive audience participation</w:t>
      </w:r>
    </w:p>
    <w:p>
      <w:pPr>
        <w:pStyle w:val="Compact"/>
        <w:numPr>
          <w:ilvl w:val="0"/>
          <w:numId w:val="1004"/>
        </w:numPr>
      </w:pPr>
      <w:r>
        <w:t xml:space="preserve">Dedicated team members assigned to demonstrations</w:t>
      </w:r>
    </w:p>
    <w:p>
      <w:r>
        <w:pict>
          <v:rect style="width:0;height:1.5pt" o:hralign="center" o:hrstd="t" o:hr="t"/>
        </w:pict>
      </w:r>
    </w:p>
    <w:bookmarkEnd w:id="28"/>
    <w:bookmarkEnd w:id="29"/>
    <w:bookmarkStart w:id="33" w:name="key-takeaways"/>
    <w:p>
      <w:pPr>
        <w:pStyle w:val="Heading1"/>
      </w:pPr>
      <w:r>
        <w:t xml:space="preserve">5. Key Takeaways</w:t>
      </w:r>
    </w:p>
    <w:p>
      <w:pPr>
        <w:pStyle w:val="FirstParagraph"/>
      </w:pPr>
      <w:r>
        <w:t xml:space="preserve">The exhibition reinforced several important findings.</w:t>
      </w:r>
    </w:p>
    <w:bookmarkStart w:id="30" w:name="positive-response-from-schools"/>
    <w:p>
      <w:pPr>
        <w:pStyle w:val="Heading3"/>
      </w:pPr>
      <w:r>
        <w:t xml:space="preserve">Positive Response from Schools</w:t>
      </w:r>
    </w:p>
    <w:p>
      <w:pPr>
        <w:pStyle w:val="FirstParagraph"/>
      </w:pPr>
      <w:r>
        <w:t xml:space="preserve">Schools demonstrated significant interest in Artificial Intelligence education, innovation programmes, and partnerships. Head Masters expressed willingness to explore collaborations with AIIA.</w:t>
      </w:r>
    </w:p>
    <w:bookmarkEnd w:id="30"/>
    <w:bookmarkStart w:id="31" w:name="strong-lead-generation"/>
    <w:p>
      <w:pPr>
        <w:pStyle w:val="Heading3"/>
      </w:pPr>
      <w:r>
        <w:t xml:space="preserve">Strong Lead Generation</w:t>
      </w:r>
    </w:p>
    <w:p>
      <w:pPr>
        <w:pStyle w:val="FirstParagraph"/>
      </w:pPr>
      <w:r>
        <w:t xml:space="preserve">The collection of</w:t>
      </w:r>
      <w:r>
        <w:t xml:space="preserve"> </w:t>
      </w:r>
      <w:r>
        <w:rPr>
          <w:b/>
          <w:bCs/>
        </w:rPr>
        <w:t xml:space="preserve">38 qualified leads</w:t>
      </w:r>
      <w:r>
        <w:t xml:space="preserve"> </w:t>
      </w:r>
      <w:r>
        <w:t xml:space="preserve">provides an excellent pipeline for future engagement and business development activities.</w:t>
      </w:r>
    </w:p>
    <w:bookmarkEnd w:id="31"/>
    <w:bookmarkStart w:id="32" w:name="growing-demand-for-ai-education"/>
    <w:p>
      <w:pPr>
        <w:pStyle w:val="Heading3"/>
      </w:pPr>
      <w:r>
        <w:t xml:space="preserve">Growing Demand for AI Education</w:t>
      </w:r>
    </w:p>
    <w:p>
      <w:pPr>
        <w:pStyle w:val="FirstParagraph"/>
      </w:pPr>
      <w:r>
        <w:t xml:space="preserve">Students showed considerable enthusiasm for AI careers, training opportunities, and practical applications of Artificial Intelligence, confirming the increasing demand for AI-related education.</w:t>
      </w:r>
    </w:p>
    <w:p>
      <w:r>
        <w:pict>
          <v:rect style="width:0;height:1.5pt" o:hralign="center" o:hrstd="t" o:hr="t"/>
        </w:pict>
      </w:r>
    </w:p>
    <w:bookmarkEnd w:id="32"/>
    <w:bookmarkEnd w:id="33"/>
    <w:bookmarkStart w:id="34" w:name="action-plan"/>
    <w:p>
      <w:pPr>
        <w:pStyle w:val="Heading1"/>
      </w:pPr>
      <w:r>
        <w:t xml:space="preserve">6. Action Plan</w:t>
      </w:r>
    </w:p>
    <w:tbl>
      <w:tblPr>
        <w:tblStyle w:val="Table"/>
        <w:tblW w:type="pct" w:w="5000"/>
        <w:tblLayout w:type="fixed"/>
        <w:tblLook w:firstRow="1" w:lastRow="0" w:firstColumn="0" w:lastColumn="0" w:noHBand="0" w:noVBand="0" w:val="0020"/>
      </w:tblPr>
      <w:tblGrid>
        <w:gridCol w:w="1403"/>
        <w:gridCol w:w="5914"/>
        <w:gridCol w:w="601"/>
      </w:tblGrid>
      <w:tr>
        <w:trPr>
          <w:tblHeader w:val="on"/>
        </w:trPr>
        <w:tc>
          <w:tcPr/>
          <w:p>
            <w:pPr>
              <w:pStyle w:val="Compact"/>
            </w:pPr>
            <w:r>
              <w:rPr>
                <w:b/>
                <w:bCs/>
              </w:rPr>
              <w:t xml:space="preserve">Action Item</w:t>
            </w:r>
          </w:p>
        </w:tc>
        <w:tc>
          <w:tcPr/>
          <w:p>
            <w:pPr>
              <w:pStyle w:val="Compact"/>
            </w:pPr>
            <w:r>
              <w:rPr>
                <w:b/>
                <w:bCs/>
              </w:rPr>
              <w:t xml:space="preserve">Details</w:t>
            </w:r>
          </w:p>
        </w:tc>
        <w:tc>
          <w:tcPr/>
          <w:p>
            <w:pPr>
              <w:pStyle w:val="Compact"/>
            </w:pPr>
            <w:r>
              <w:rPr>
                <w:b/>
                <w:bCs/>
              </w:rPr>
              <w:t xml:space="preserve">Priority</w:t>
            </w:r>
          </w:p>
        </w:tc>
      </w:tr>
      <w:tr>
        <w:tc>
          <w:tcPr/>
          <w:p>
            <w:pPr>
              <w:pStyle w:val="Compact"/>
            </w:pPr>
            <w:r>
              <w:t xml:space="preserve">Contact Qualified Leads</w:t>
            </w:r>
          </w:p>
        </w:tc>
        <w:tc>
          <w:tcPr/>
          <w:p>
            <w:pPr>
              <w:pStyle w:val="Compact"/>
            </w:pPr>
            <w:r>
              <w:t xml:space="preserve">Reach out to all 38 contacts and begin nurturing prospective students and schools.</w:t>
            </w:r>
          </w:p>
        </w:tc>
        <w:tc>
          <w:tcPr/>
          <w:p>
            <w:pPr>
              <w:pStyle w:val="Compact"/>
            </w:pPr>
            <w:r>
              <w:t xml:space="preserve">Critical</w:t>
            </w:r>
          </w:p>
        </w:tc>
      </w:tr>
      <w:tr>
        <w:tc>
          <w:tcPr/>
          <w:p>
            <w:pPr>
              <w:pStyle w:val="Compact"/>
            </w:pPr>
            <w:r>
              <w:t xml:space="preserve">Follow Up with Head Masters</w:t>
            </w:r>
          </w:p>
        </w:tc>
        <w:tc>
          <w:tcPr/>
          <w:p>
            <w:pPr>
              <w:pStyle w:val="Compact"/>
            </w:pPr>
            <w:r>
              <w:t xml:space="preserve">Schedule meetings to introduce Cognify, AI training programmes, and institutional partnerships.</w:t>
            </w:r>
          </w:p>
        </w:tc>
        <w:tc>
          <w:tcPr/>
          <w:p>
            <w:pPr>
              <w:pStyle w:val="Compact"/>
            </w:pPr>
            <w:r>
              <w:t xml:space="preserve">Critical</w:t>
            </w:r>
          </w:p>
        </w:tc>
      </w:tr>
      <w:tr>
        <w:tc>
          <w:tcPr/>
          <w:p>
            <w:pPr>
              <w:pStyle w:val="Compact"/>
            </w:pPr>
            <w:r>
              <w:t xml:space="preserve">Promote Cognify Solutions</w:t>
            </w:r>
          </w:p>
        </w:tc>
        <w:tc>
          <w:tcPr/>
          <w:p>
            <w:pPr>
              <w:pStyle w:val="Compact"/>
            </w:pPr>
            <w:r>
              <w:t xml:space="preserve">Present Cognify as a digital education solution for interested schools.</w:t>
            </w:r>
          </w:p>
        </w:tc>
        <w:tc>
          <w:tcPr/>
          <w:p>
            <w:pPr>
              <w:pStyle w:val="Compact"/>
            </w:pPr>
            <w:r>
              <w:t xml:space="preserve">High</w:t>
            </w:r>
          </w:p>
        </w:tc>
      </w:tr>
      <w:tr>
        <w:tc>
          <w:tcPr/>
          <w:p>
            <w:pPr>
              <w:pStyle w:val="Compact"/>
            </w:pPr>
            <w:r>
              <w:t xml:space="preserve">Publish Social Media Content</w:t>
            </w:r>
          </w:p>
        </w:tc>
        <w:tc>
          <w:tcPr/>
          <w:p>
            <w:pPr>
              <w:pStyle w:val="Compact"/>
            </w:pPr>
            <w:r>
              <w:t xml:space="preserve">Share event highlights, photographs, videos, testimonials, and success stories across all AIIA social media platforms.</w:t>
            </w:r>
          </w:p>
        </w:tc>
        <w:tc>
          <w:tcPr/>
          <w:p>
            <w:pPr>
              <w:pStyle w:val="Compact"/>
            </w:pPr>
            <w:r>
              <w:t xml:space="preserve">High</w:t>
            </w:r>
          </w:p>
        </w:tc>
      </w:tr>
      <w:tr>
        <w:tc>
          <w:tcPr/>
          <w:p>
            <w:pPr>
              <w:pStyle w:val="Compact"/>
            </w:pPr>
            <w:r>
              <w:t xml:space="preserve">Update CRM Database</w:t>
            </w:r>
          </w:p>
        </w:tc>
        <w:tc>
          <w:tcPr/>
          <w:p>
            <w:pPr>
              <w:pStyle w:val="Compact"/>
            </w:pPr>
            <w:r>
              <w:t xml:space="preserve">Capture all leads within the CRM for structured follow-up and relationship management.</w:t>
            </w:r>
          </w:p>
        </w:tc>
        <w:tc>
          <w:tcPr/>
          <w:p>
            <w:pPr>
              <w:pStyle w:val="Compact"/>
            </w:pPr>
            <w:r>
              <w:t xml:space="preserve">High</w:t>
            </w:r>
          </w:p>
        </w:tc>
      </w:tr>
      <w:tr>
        <w:tc>
          <w:tcPr/>
          <w:p>
            <w:pPr>
              <w:pStyle w:val="Compact"/>
            </w:pPr>
            <w:r>
              <w:t xml:space="preserve">Improve Exhibition Branding</w:t>
            </w:r>
          </w:p>
        </w:tc>
        <w:tc>
          <w:tcPr/>
          <w:p>
            <w:pPr>
              <w:pStyle w:val="Compact"/>
            </w:pPr>
            <w:r>
              <w:t xml:space="preserve">Develop enhanced exhibition branding materials for future education expos.</w:t>
            </w:r>
          </w:p>
        </w:tc>
        <w:tc>
          <w:tcPr/>
          <w:p>
            <w:pPr>
              <w:pStyle w:val="Compact"/>
            </w:pPr>
            <w:r>
              <w:t xml:space="preserve">Medium</w:t>
            </w:r>
          </w:p>
        </w:tc>
      </w:tr>
      <w:tr>
        <w:tc>
          <w:tcPr/>
          <w:p>
            <w:pPr>
              <w:pStyle w:val="Compact"/>
            </w:pPr>
            <w:r>
              <w:t xml:space="preserve">Refine Demonstration Process</w:t>
            </w:r>
          </w:p>
        </w:tc>
        <w:tc>
          <w:tcPr/>
          <w:p>
            <w:pPr>
              <w:pStyle w:val="Compact"/>
            </w:pPr>
            <w:r>
              <w:t xml:space="preserve">Prepare standardized demonstrations and assign dedicated presenters.</w:t>
            </w:r>
          </w:p>
        </w:tc>
        <w:tc>
          <w:tcPr/>
          <w:p>
            <w:pPr>
              <w:pStyle w:val="Compact"/>
            </w:pPr>
            <w:r>
              <w:t xml:space="preserve">Medium</w:t>
            </w:r>
          </w:p>
        </w:tc>
      </w:tr>
    </w:tbl>
    <w:p>
      <w:r>
        <w:pict>
          <v:rect style="width:0;height:1.5pt" o:hralign="center" o:hrstd="t" o:hr="t"/>
        </w:pict>
      </w:r>
    </w:p>
    <w:bookmarkEnd w:id="34"/>
    <w:bookmarkStart w:id="35" w:name="conclusion"/>
    <w:p>
      <w:pPr>
        <w:pStyle w:val="Heading1"/>
      </w:pPr>
      <w:r>
        <w:t xml:space="preserve">7. Conclusion</w:t>
      </w:r>
    </w:p>
    <w:p>
      <w:pPr>
        <w:pStyle w:val="FirstParagraph"/>
      </w:pPr>
      <w:r>
        <w:t xml:space="preserve">Participation in the</w:t>
      </w:r>
      <w:r>
        <w:t xml:space="preserve"> </w:t>
      </w:r>
      <w:r>
        <w:rPr>
          <w:b/>
          <w:bCs/>
        </w:rPr>
        <w:t xml:space="preserve">High Schools Careers in AI and Innovation Fair 2026</w:t>
      </w:r>
      <w:r>
        <w:t xml:space="preserve"> </w:t>
      </w:r>
      <w:r>
        <w:t xml:space="preserve">was a successful strategic engagement for the Artificial Intelligence Institute of Africa.</w:t>
      </w:r>
    </w:p>
    <w:p>
      <w:pPr>
        <w:pStyle w:val="BodyText"/>
      </w:pPr>
      <w:r>
        <w:t xml:space="preserve">The event significantly increased AIIA’s visibility within Zimbabwe’s education sector while generating</w:t>
      </w:r>
      <w:r>
        <w:t xml:space="preserve"> </w:t>
      </w:r>
      <w:r>
        <w:rPr>
          <w:b/>
          <w:bCs/>
        </w:rPr>
        <w:t xml:space="preserve">38 qualified leads</w:t>
      </w:r>
      <w:r>
        <w:t xml:space="preserve"> </w:t>
      </w:r>
      <w:r>
        <w:t xml:space="preserve">and establishing meaningful relationships with students and school leadership.</w:t>
      </w:r>
    </w:p>
    <w:p>
      <w:pPr>
        <w:pStyle w:val="BodyText"/>
      </w:pPr>
      <w:r>
        <w:t xml:space="preserve">The positive response received confirms the growing interest in Artificial Intelligence education and highlights substantial opportunities for future partnerships, institutional AI training, and the deployment of solutions such as Cognify.</w:t>
      </w:r>
    </w:p>
    <w:p>
      <w:pPr>
        <w:pStyle w:val="BodyText"/>
      </w:pPr>
      <w:r>
        <w:t xml:space="preserve">By promptly following up with the leads generated, strengthening exhibition branding, refining demonstration delivery, and maintaining post-event engagement through meetings and social media, AIIA will be well positioned to convert this successful exhibition into long-term educational partnerships and sustainable growth.</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2026-06-29T16:06:09Z</dcterms:created>
  <dcterms:modified xsi:type="dcterms:W3CDTF">2026-06-29T16:06:09Z</dcterms:modified>
</cp:coreProperties>
</file>

<file path=docProps/custom.xml><?xml version="1.0" encoding="utf-8"?>
<Properties xmlns="http://schemas.openxmlformats.org/officeDocument/2006/custom-properties" xmlns:vt="http://schemas.openxmlformats.org/officeDocument/2006/docPropsVTypes"/>
</file>