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ost-summit-reconnaissance-report"/>
    <w:p>
      <w:pPr>
        <w:pStyle w:val="Heading1"/>
      </w:pPr>
      <w:r>
        <w:t xml:space="preserve">POST-SUMMIT RECONNAISSANCE REPORT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June 29, 2026</w:t>
      </w:r>
    </w:p>
    <w:p>
      <w:pPr>
        <w:pStyle w:val="BodyText"/>
      </w:pPr>
      <w:r>
        <w:rPr>
          <w:b/>
          <w:bCs/>
        </w:rPr>
        <w:t xml:space="preserve">Subject:</w:t>
      </w:r>
      <w:r>
        <w:t xml:space="preserve"> </w:t>
      </w:r>
      <w:r>
        <w:t xml:space="preserve">Post-Event Analysis and Action Plan for the Two Summits</w:t>
      </w:r>
    </w:p>
    <w:p>
      <w:r>
        <w:pict>
          <v:rect style="width:0;height:1.5pt" o:hralign="center" o:hrstd="t" o:hr="t"/>
        </w:pict>
      </w:r>
    </w:p>
    <w:bookmarkEnd w:id="20"/>
    <w:bookmarkStart w:id="21" w:name="executive-summary"/>
    <w:p>
      <w:pPr>
        <w:pStyle w:val="Heading1"/>
      </w:pPr>
      <w:r>
        <w:t xml:space="preserve">1. Executive Summary</w:t>
      </w:r>
    </w:p>
    <w:p>
      <w:pPr>
        <w:pStyle w:val="FirstParagraph"/>
      </w:pPr>
      <w:r>
        <w:t xml:space="preserve">The two summits successfully convened a diverse cross-section of stakeholders from government, corporate, and academic sectors. The events generated strong engagement, enhanced brand visibility, and created valuable networking opportunities.</w:t>
      </w:r>
    </w:p>
    <w:p>
      <w:pPr>
        <w:pStyle w:val="BodyText"/>
      </w:pPr>
      <w:r>
        <w:t xml:space="preserve">Financially, the summits generated</w:t>
      </w:r>
      <w:r>
        <w:t xml:space="preserve"> </w:t>
      </w:r>
      <w:r>
        <w:rPr>
          <w:b/>
          <w:bCs/>
        </w:rPr>
        <w:t xml:space="preserve">total revenue of $69,906.00</w:t>
      </w:r>
      <w:r>
        <w:t xml:space="preserve"> </w:t>
      </w:r>
      <w:r>
        <w:t xml:space="preserve">against</w:t>
      </w:r>
      <w:r>
        <w:t xml:space="preserve"> </w:t>
      </w:r>
      <w:r>
        <w:rPr>
          <w:b/>
          <w:bCs/>
        </w:rPr>
        <w:t xml:space="preserve">total costs of $46,777.00</w:t>
      </w:r>
      <w:r>
        <w:t xml:space="preserve">, resulting in a</w:t>
      </w:r>
      <w:r>
        <w:t xml:space="preserve"> </w:t>
      </w:r>
      <w:r>
        <w:rPr>
          <w:b/>
          <w:bCs/>
        </w:rPr>
        <w:t xml:space="preserve">net profit of $23,129.00</w:t>
      </w:r>
      <w:r>
        <w:t xml:space="preserve">. While the events were profitable, there remains</w:t>
      </w:r>
      <w:r>
        <w:t xml:space="preserve"> </w:t>
      </w:r>
      <w:r>
        <w:rPr>
          <w:b/>
          <w:bCs/>
        </w:rPr>
        <w:t xml:space="preserve">$9,780.00</w:t>
      </w:r>
      <w:r>
        <w:t xml:space="preserve"> </w:t>
      </w:r>
      <w:r>
        <w:t xml:space="preserve">outstanding from NetOne, together with an additional</w:t>
      </w:r>
      <w:r>
        <w:t xml:space="preserve"> </w:t>
      </w:r>
      <w:r>
        <w:rPr>
          <w:b/>
          <w:bCs/>
        </w:rPr>
        <w:t xml:space="preserve">$5,171.50</w:t>
      </w:r>
      <w:r>
        <w:t xml:space="preserve"> </w:t>
      </w:r>
      <w:r>
        <w:t xml:space="preserve">in outstanding sponsorship and delegate payments from other organizations. Outstanding vendor and speaker payments amount to</w:t>
      </w:r>
      <w:r>
        <w:t xml:space="preserve"> </w:t>
      </w:r>
      <w:r>
        <w:rPr>
          <w:b/>
          <w:bCs/>
        </w:rPr>
        <w:t xml:space="preserve">$2,440.00</w:t>
      </w:r>
      <w:r>
        <w:t xml:space="preserve">.</w:t>
      </w:r>
    </w:p>
    <w:p>
      <w:pPr>
        <w:pStyle w:val="BodyText"/>
      </w:pPr>
      <w:r>
        <w:t xml:space="preserve">Operationally, the events highlighted several areas requiring improvement, particularly around integrated planning, financial controls, administration, marketing execution, and post-event engagement. Addressing these issues will improve efficiency, delegate experience, and the long-term sustainability of future summits.</w:t>
      </w:r>
    </w:p>
    <w:p>
      <w:r>
        <w:pict>
          <v:rect style="width:0;height:1.5pt" o:hralign="center" o:hrstd="t" o:hr="t"/>
        </w:pict>
      </w:r>
    </w:p>
    <w:bookmarkEnd w:id="21"/>
    <w:bookmarkStart w:id="24" w:name="summit-overview"/>
    <w:p>
      <w:pPr>
        <w:pStyle w:val="Heading1"/>
      </w:pPr>
      <w:r>
        <w:t xml:space="preserve">2. Summit Overview</w:t>
      </w:r>
    </w:p>
    <w:p>
      <w:pPr>
        <w:pStyle w:val="FirstParagraph"/>
      </w:pPr>
      <w:r>
        <w:t xml:space="preserve">The summits brought together representatives from government ministries, corporate organizations, professional bodies, and academic institutions, creating a strong platform for collaboration and knowledge sharing.</w:t>
      </w:r>
    </w:p>
    <w:p>
      <w:pPr>
        <w:pStyle w:val="BodyText"/>
      </w:pPr>
      <w:r>
        <w:t xml:space="preserve">Major expenditure categories included:</w:t>
      </w:r>
    </w:p>
    <w:bookmarkStart w:id="22" w:name="summit-costs"/>
    <w:p>
      <w:pPr>
        <w:pStyle w:val="Heading3"/>
      </w:pPr>
      <w:r>
        <w:t xml:space="preserve">Summit Costs</w:t>
      </w:r>
    </w:p>
    <w:p>
      <w:pPr>
        <w:pStyle w:val="Compact"/>
        <w:numPr>
          <w:ilvl w:val="0"/>
          <w:numId w:val="1001"/>
        </w:numPr>
      </w:pPr>
      <w:r>
        <w:t xml:space="preserve">Venue and accommodation</w:t>
      </w:r>
    </w:p>
    <w:p>
      <w:pPr>
        <w:pStyle w:val="Compact"/>
        <w:numPr>
          <w:ilvl w:val="0"/>
          <w:numId w:val="1001"/>
        </w:numPr>
      </w:pPr>
      <w:r>
        <w:t xml:space="preserve">Branding and merchandise</w:t>
      </w:r>
    </w:p>
    <w:p>
      <w:pPr>
        <w:pStyle w:val="Compact"/>
        <w:numPr>
          <w:ilvl w:val="0"/>
          <w:numId w:val="1001"/>
        </w:numPr>
      </w:pPr>
      <w:r>
        <w:t xml:space="preserve">Audio-visual production</w:t>
      </w:r>
    </w:p>
    <w:p>
      <w:pPr>
        <w:pStyle w:val="Compact"/>
        <w:numPr>
          <w:ilvl w:val="0"/>
          <w:numId w:val="1001"/>
        </w:numPr>
      </w:pPr>
      <w:r>
        <w:t xml:space="preserve">Transport and logistics</w:t>
      </w:r>
    </w:p>
    <w:p>
      <w:pPr>
        <w:pStyle w:val="Compact"/>
        <w:numPr>
          <w:ilvl w:val="0"/>
          <w:numId w:val="1001"/>
        </w:numPr>
      </w:pPr>
      <w:r>
        <w:t xml:space="preserve">Event materials</w:t>
      </w:r>
    </w:p>
    <w:bookmarkEnd w:id="22"/>
    <w:bookmarkStart w:id="23" w:name="speaker-costs"/>
    <w:p>
      <w:pPr>
        <w:pStyle w:val="Heading3"/>
      </w:pPr>
      <w:r>
        <w:t xml:space="preserve">Speaker Costs</w:t>
      </w:r>
    </w:p>
    <w:p>
      <w:pPr>
        <w:pStyle w:val="Compact"/>
        <w:numPr>
          <w:ilvl w:val="0"/>
          <w:numId w:val="1002"/>
        </w:numPr>
      </w:pPr>
      <w:r>
        <w:t xml:space="preserve">Speaker fees</w:t>
      </w:r>
    </w:p>
    <w:p>
      <w:pPr>
        <w:pStyle w:val="Compact"/>
        <w:numPr>
          <w:ilvl w:val="0"/>
          <w:numId w:val="1002"/>
        </w:numPr>
      </w:pPr>
      <w:r>
        <w:t xml:space="preserve">Gifts</w:t>
      </w:r>
    </w:p>
    <w:p>
      <w:pPr>
        <w:pStyle w:val="Compact"/>
        <w:numPr>
          <w:ilvl w:val="0"/>
          <w:numId w:val="1002"/>
        </w:numPr>
      </w:pPr>
      <w:r>
        <w:t xml:space="preserve">Fuel allowances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26" w:name="financial-summary"/>
    <w:p>
      <w:pPr>
        <w:pStyle w:val="Heading1"/>
      </w:pPr>
      <w:r>
        <w:t xml:space="preserve">3. Financial Summary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Financial Metric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Amount (USD)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Revenue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69,906.00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Outstanding Income – NetOne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(9,780.00)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Other Outstanding Income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(5,171.50)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 Costs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46,777.00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Summit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38,977.00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Speaker Costs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7,800.00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Net Profit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23,129.00</w:t>
            </w:r>
          </w:p>
        </w:tc>
      </w:tr>
      <w:tr>
        <w:tc>
          <w:tcPr/>
          <w:p>
            <w:pPr>
              <w:pStyle w:val="Compact"/>
            </w:pPr>
            <w:r>
              <w:t xml:space="preserve">Outstanding Vendor Payments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2,440.00</w:t>
            </w:r>
          </w:p>
        </w:tc>
      </w:tr>
    </w:tbl>
    <w:bookmarkStart w:id="25" w:name="financial-analysis"/>
    <w:p>
      <w:pPr>
        <w:pStyle w:val="Heading3"/>
      </w:pPr>
      <w:r>
        <w:t xml:space="preserve">Financial Analysis</w:t>
      </w:r>
    </w:p>
    <w:p>
      <w:pPr>
        <w:pStyle w:val="FirstParagraph"/>
      </w:pPr>
      <w:r>
        <w:t xml:space="preserve">The summits achieved an approximate</w:t>
      </w:r>
      <w:r>
        <w:t xml:space="preserve"> </w:t>
      </w:r>
      <w:r>
        <w:rPr>
          <w:b/>
          <w:bCs/>
        </w:rPr>
        <w:t xml:space="preserve">33% profit margin</w:t>
      </w:r>
      <w:r>
        <w:t xml:space="preserve">, demonstrating strong financial performance.</w:t>
      </w:r>
    </w:p>
    <w:p>
      <w:pPr>
        <w:pStyle w:val="BodyText"/>
      </w:pPr>
      <w:r>
        <w:t xml:space="preserve">However, the organization currently has</w:t>
      </w:r>
      <w:r>
        <w:t xml:space="preserve"> </w:t>
      </w:r>
      <w:r>
        <w:rPr>
          <w:b/>
          <w:bCs/>
        </w:rPr>
        <w:t xml:space="preserve">$14,951.50</w:t>
      </w:r>
      <w:r>
        <w:t xml:space="preserve"> </w:t>
      </w:r>
      <w:r>
        <w:t xml:space="preserve">in outstanding receivables that require immediate follow-up to improve cash flow. Vendor obligations totaling</w:t>
      </w:r>
      <w:r>
        <w:t xml:space="preserve"> </w:t>
      </w:r>
      <w:r>
        <w:rPr>
          <w:b/>
          <w:bCs/>
        </w:rPr>
        <w:t xml:space="preserve">$2,440.00</w:t>
      </w:r>
      <w:r>
        <w:t xml:space="preserve"> </w:t>
      </w:r>
      <w:r>
        <w:t xml:space="preserve">should also be settled promptly to maintain strong supplier relationships.</w:t>
      </w:r>
    </w:p>
    <w:p>
      <w:r>
        <w:pict>
          <v:rect style="width:0;height:1.5pt" o:hralign="center" o:hrstd="t" o:hr="t"/>
        </w:pict>
      </w:r>
    </w:p>
    <w:bookmarkEnd w:id="25"/>
    <w:bookmarkEnd w:id="26"/>
    <w:bookmarkStart w:id="42" w:name="X2a1208e7fef26658daf2fc0543a3619ab7ec059"/>
    <w:p>
      <w:pPr>
        <w:pStyle w:val="Heading1"/>
      </w:pPr>
      <w:r>
        <w:t xml:space="preserve">4. Organizational Observations and Key Lessons</w:t>
      </w:r>
    </w:p>
    <w:bookmarkStart w:id="30" w:name="critical-logistical-issues"/>
    <w:p>
      <w:pPr>
        <w:pStyle w:val="Heading2"/>
      </w:pPr>
      <w:r>
        <w:t xml:space="preserve">4.1 Critical Logistical Issues</w:t>
      </w:r>
    </w:p>
    <w:bookmarkStart w:id="27" w:name="fragmented-venue-management"/>
    <w:p>
      <w:pPr>
        <w:pStyle w:val="Heading3"/>
      </w:pPr>
      <w:r>
        <w:t xml:space="preserve">Fragmented Venue Management</w:t>
      </w:r>
    </w:p>
    <w:p>
      <w:pPr>
        <w:pStyle w:val="FirstParagraph"/>
      </w:pPr>
      <w:r>
        <w:t xml:space="preserve">Accommodation was spread across multiple venues, including Urban Lifestyles Hotel, PK Villa, Dreamwoods, and Flamboyant. This increased coordination complexity, created unnecessary transport challenges, and reduced operational efficiency.</w:t>
      </w:r>
    </w:p>
    <w:bookmarkEnd w:id="27"/>
    <w:bookmarkStart w:id="28" w:name="reactive-planning"/>
    <w:p>
      <w:pPr>
        <w:pStyle w:val="Heading3"/>
      </w:pPr>
      <w:r>
        <w:t xml:space="preserve">Reactive Planning</w:t>
      </w:r>
    </w:p>
    <w:p>
      <w:pPr>
        <w:pStyle w:val="FirstParagraph"/>
      </w:pPr>
      <w:r>
        <w:t xml:space="preserve">Planning remained largely reactive throughout the preparation period, leading to numerous last-minute adjustments and increased pressure on the organizing team.</w:t>
      </w:r>
    </w:p>
    <w:bookmarkEnd w:id="28"/>
    <w:bookmarkStart w:id="29" w:name="inconsistent-cost-tracking"/>
    <w:p>
      <w:pPr>
        <w:pStyle w:val="Heading3"/>
      </w:pPr>
      <w:r>
        <w:t xml:space="preserve">Inconsistent Cost Tracking</w:t>
      </w:r>
    </w:p>
    <w:p>
      <w:pPr>
        <w:pStyle w:val="FirstParagraph"/>
      </w:pPr>
      <w:r>
        <w:t xml:space="preserve">Financial records lacked standardized categorization, making expenditure tracking and reporting more difficult than necessary.</w:t>
      </w:r>
    </w:p>
    <w:p>
      <w:r>
        <w:pict>
          <v:rect style="width:0;height:1.5pt" o:hralign="center" o:hrstd="t" o:hr="t"/>
        </w:pict>
      </w:r>
    </w:p>
    <w:bookmarkEnd w:id="29"/>
    <w:bookmarkEnd w:id="30"/>
    <w:bookmarkStart w:id="33" w:name="marketing-and-communications"/>
    <w:p>
      <w:pPr>
        <w:pStyle w:val="Heading2"/>
      </w:pPr>
      <w:r>
        <w:t xml:space="preserve">4.2 Marketing and Communications</w:t>
      </w:r>
    </w:p>
    <w:bookmarkStart w:id="31" w:name="incomplete-pre-event-marketing-campaign"/>
    <w:p>
      <w:pPr>
        <w:pStyle w:val="Heading3"/>
      </w:pPr>
      <w:r>
        <w:t xml:space="preserve">Incomplete Pre-Event Marketing Campaign</w:t>
      </w:r>
    </w:p>
    <w:p>
      <w:pPr>
        <w:pStyle w:val="FirstParagraph"/>
      </w:pPr>
      <w:r>
        <w:t xml:space="preserve">The planned marketing campaign was not fully implemented.</w:t>
      </w:r>
    </w:p>
    <w:p>
      <w:pPr>
        <w:pStyle w:val="BodyText"/>
      </w:pPr>
      <w:r>
        <w:t xml:space="preserve">Key observations include:</w:t>
      </w:r>
    </w:p>
    <w:p>
      <w:pPr>
        <w:pStyle w:val="Compact"/>
        <w:numPr>
          <w:ilvl w:val="0"/>
          <w:numId w:val="1003"/>
        </w:numPr>
      </w:pPr>
      <w:r>
        <w:t xml:space="preserve">Star FM radio promotion only ran during the final week before the summit, limiting audience reach.</w:t>
      </w:r>
    </w:p>
    <w:p>
      <w:pPr>
        <w:pStyle w:val="Compact"/>
        <w:numPr>
          <w:ilvl w:val="0"/>
          <w:numId w:val="1003"/>
        </w:numPr>
      </w:pPr>
      <w:r>
        <w:t xml:space="preserve">The planned ZTN television campaign was not implemented.</w:t>
      </w:r>
    </w:p>
    <w:p>
      <w:pPr>
        <w:pStyle w:val="Compact"/>
        <w:numPr>
          <w:ilvl w:val="0"/>
          <w:numId w:val="1003"/>
        </w:numPr>
      </w:pPr>
      <w:r>
        <w:t xml:space="preserve">The summit was not live-streamed on the event day, reducing engagement with stakeholders who could not attend physically.</w:t>
      </w:r>
    </w:p>
    <w:p>
      <w:pPr>
        <w:pStyle w:val="Compact"/>
        <w:numPr>
          <w:ilvl w:val="0"/>
          <w:numId w:val="1003"/>
        </w:numPr>
      </w:pPr>
      <w:r>
        <w:t xml:space="preserve">Promotional activities were not coordinated sufficiently across all available media channels.</w:t>
      </w:r>
    </w:p>
    <w:bookmarkEnd w:id="31"/>
    <w:bookmarkStart w:id="32" w:name="limited-post-event-marketing"/>
    <w:p>
      <w:pPr>
        <w:pStyle w:val="Heading3"/>
      </w:pPr>
      <w:r>
        <w:t xml:space="preserve">Limited Post-Event Marketing</w:t>
      </w:r>
    </w:p>
    <w:p>
      <w:pPr>
        <w:pStyle w:val="FirstParagraph"/>
      </w:pPr>
      <w:r>
        <w:t xml:space="preserve">Post-event marketing activities were not carried out as planned.</w:t>
      </w:r>
    </w:p>
    <w:p>
      <w:pPr>
        <w:pStyle w:val="BodyText"/>
      </w:pPr>
      <w:r>
        <w:t xml:space="preserve">There was limited publication of:</w:t>
      </w:r>
    </w:p>
    <w:p>
      <w:pPr>
        <w:pStyle w:val="Compact"/>
        <w:numPr>
          <w:ilvl w:val="0"/>
          <w:numId w:val="1004"/>
        </w:numPr>
      </w:pPr>
      <w:r>
        <w:t xml:space="preserve">Event highlights</w:t>
      </w:r>
    </w:p>
    <w:p>
      <w:pPr>
        <w:pStyle w:val="Compact"/>
        <w:numPr>
          <w:ilvl w:val="0"/>
          <w:numId w:val="1004"/>
        </w:numPr>
      </w:pPr>
      <w:r>
        <w:t xml:space="preserve">Speaker presentations</w:t>
      </w:r>
    </w:p>
    <w:p>
      <w:pPr>
        <w:pStyle w:val="Compact"/>
        <w:numPr>
          <w:ilvl w:val="0"/>
          <w:numId w:val="1004"/>
        </w:numPr>
      </w:pPr>
      <w:r>
        <w:t xml:space="preserve">Summit photographs</w:t>
      </w:r>
    </w:p>
    <w:p>
      <w:pPr>
        <w:pStyle w:val="Compact"/>
        <w:numPr>
          <w:ilvl w:val="0"/>
          <w:numId w:val="1004"/>
        </w:numPr>
      </w:pPr>
      <w:r>
        <w:t xml:space="preserve">Delegate testimonials</w:t>
      </w:r>
    </w:p>
    <w:p>
      <w:pPr>
        <w:pStyle w:val="Compact"/>
        <w:numPr>
          <w:ilvl w:val="0"/>
          <w:numId w:val="1004"/>
        </w:numPr>
      </w:pPr>
      <w:r>
        <w:t xml:space="preserve">Success stories</w:t>
      </w:r>
    </w:p>
    <w:p>
      <w:pPr>
        <w:pStyle w:val="Compact"/>
        <w:numPr>
          <w:ilvl w:val="0"/>
          <w:numId w:val="1004"/>
        </w:numPr>
      </w:pPr>
      <w:r>
        <w:t xml:space="preserve">Follow-up engagement content</w:t>
      </w:r>
    </w:p>
    <w:p>
      <w:pPr>
        <w:pStyle w:val="FirstParagraph"/>
      </w:pPr>
      <w:r>
        <w:t xml:space="preserve">This reduced opportunities to maximize the long-term value and visibility of the summits.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administration-and-event-coordination"/>
    <w:p>
      <w:pPr>
        <w:pStyle w:val="Heading2"/>
      </w:pPr>
      <w:r>
        <w:t xml:space="preserve">4.3 Administration and Event Coordination</w:t>
      </w:r>
    </w:p>
    <w:bookmarkStart w:id="34" w:name="imbalanced-administrative-resources"/>
    <w:p>
      <w:pPr>
        <w:pStyle w:val="Heading3"/>
      </w:pPr>
      <w:r>
        <w:t xml:space="preserve">Imbalanced Administrative Resources</w:t>
      </w:r>
    </w:p>
    <w:p>
      <w:pPr>
        <w:pStyle w:val="FirstParagraph"/>
      </w:pPr>
      <w:r>
        <w:t xml:space="preserve">The administrative structure was not adequately balanced between the organizing partners.</w:t>
      </w:r>
    </w:p>
    <w:p>
      <w:pPr>
        <w:pStyle w:val="BodyText"/>
      </w:pPr>
      <w:r>
        <w:t xml:space="preserve">Administration consisted of: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Five AIIA team members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Two Zimpapers team members</w:t>
      </w:r>
    </w:p>
    <w:p>
      <w:pPr>
        <w:pStyle w:val="FirstParagraph"/>
      </w:pPr>
      <w:r>
        <w:t xml:space="preserve">Of the two Zimpapers personnel, only</w:t>
      </w:r>
      <w:r>
        <w:t xml:space="preserve"> </w:t>
      </w:r>
      <w:r>
        <w:rPr>
          <w:b/>
          <w:bCs/>
        </w:rPr>
        <w:t xml:space="preserve">one individual was responsible for the majority of logistics coordination</w:t>
      </w:r>
      <w:r>
        <w:t xml:space="preserve">, creating an uneven workload and reducing operational effectiveness.</w:t>
      </w:r>
    </w:p>
    <w:bookmarkEnd w:id="34"/>
    <w:bookmarkStart w:id="35" w:name="isolated-pre-summit-planning"/>
    <w:p>
      <w:pPr>
        <w:pStyle w:val="Heading3"/>
      </w:pPr>
      <w:r>
        <w:t xml:space="preserve">Isolated Pre-Summit Planning</w:t>
      </w:r>
    </w:p>
    <w:p>
      <w:pPr>
        <w:pStyle w:val="FirstParagraph"/>
      </w:pPr>
      <w:r>
        <w:t xml:space="preserve">Planning activities before the summit were largely conducted independently rather than jointly between the organizing partners.</w:t>
      </w:r>
    </w:p>
    <w:p>
      <w:pPr>
        <w:pStyle w:val="BodyText"/>
      </w:pPr>
      <w:r>
        <w:t xml:space="preserve">Greater collaboration during planning would have:</w:t>
      </w:r>
    </w:p>
    <w:p>
      <w:pPr>
        <w:pStyle w:val="Compact"/>
        <w:numPr>
          <w:ilvl w:val="0"/>
          <w:numId w:val="1006"/>
        </w:numPr>
      </w:pPr>
      <w:r>
        <w:t xml:space="preserve">Improved communication</w:t>
      </w:r>
    </w:p>
    <w:p>
      <w:pPr>
        <w:pStyle w:val="Compact"/>
        <w:numPr>
          <w:ilvl w:val="0"/>
          <w:numId w:val="1006"/>
        </w:numPr>
      </w:pPr>
      <w:r>
        <w:t xml:space="preserve">Reduced duplication of work</w:t>
      </w:r>
    </w:p>
    <w:p>
      <w:pPr>
        <w:pStyle w:val="Compact"/>
        <w:numPr>
          <w:ilvl w:val="0"/>
          <w:numId w:val="1006"/>
        </w:numPr>
      </w:pPr>
      <w:r>
        <w:t xml:space="preserve">Increased accountability</w:t>
      </w:r>
    </w:p>
    <w:p>
      <w:pPr>
        <w:pStyle w:val="Compact"/>
        <w:numPr>
          <w:ilvl w:val="0"/>
          <w:numId w:val="1006"/>
        </w:numPr>
      </w:pPr>
      <w:r>
        <w:t xml:space="preserve">Enabled faster decision-making</w:t>
      </w:r>
    </w:p>
    <w:p>
      <w:pPr>
        <w:pStyle w:val="Compact"/>
        <w:numPr>
          <w:ilvl w:val="0"/>
          <w:numId w:val="1006"/>
        </w:numPr>
      </w:pPr>
      <w:r>
        <w:t xml:space="preserve">Produced a more coordinated event delivery.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40" w:name="delegate-and-financial-management"/>
    <w:p>
      <w:pPr>
        <w:pStyle w:val="Heading2"/>
      </w:pPr>
      <w:r>
        <w:t xml:space="preserve">4.4 Delegate and Financial Management</w:t>
      </w:r>
    </w:p>
    <w:bookmarkStart w:id="37" w:name="weak-payment-collection"/>
    <w:p>
      <w:pPr>
        <w:pStyle w:val="Heading3"/>
      </w:pPr>
      <w:r>
        <w:t xml:space="preserve">Weak Payment Collection</w:t>
      </w:r>
    </w:p>
    <w:p>
      <w:pPr>
        <w:pStyle w:val="FirstParagraph"/>
      </w:pPr>
      <w:r>
        <w:t xml:space="preserve">Outstanding sponsorship and delegate income indicates that payment collection procedures require strengthening.</w:t>
      </w:r>
    </w:p>
    <w:p>
      <w:pPr>
        <w:pStyle w:val="BodyText"/>
      </w:pPr>
      <w:r>
        <w:t xml:space="preserve">Clear payment milestones, earlier invoicing, and structured follow-up should become standard practice.</w:t>
      </w:r>
    </w:p>
    <w:bookmarkEnd w:id="37"/>
    <w:bookmarkStart w:id="38" w:name="delegate-information-management"/>
    <w:p>
      <w:pPr>
        <w:pStyle w:val="Heading3"/>
      </w:pPr>
      <w:r>
        <w:t xml:space="preserve">Delegate Information Management</w:t>
      </w:r>
    </w:p>
    <w:p>
      <w:pPr>
        <w:pStyle w:val="FirstParagraph"/>
      </w:pPr>
      <w:r>
        <w:t xml:space="preserve">Delegate information was not consistently linked to organizations, limiting opportunities for structured relationship management after the summit.</w:t>
      </w:r>
    </w:p>
    <w:bookmarkEnd w:id="38"/>
    <w:bookmarkStart w:id="39" w:name="limited-real-time-financial-visibility"/>
    <w:p>
      <w:pPr>
        <w:pStyle w:val="Heading3"/>
      </w:pPr>
      <w:r>
        <w:t xml:space="preserve">Limited Real-Time Financial Visibility</w:t>
      </w:r>
    </w:p>
    <w:p>
      <w:pPr>
        <w:pStyle w:val="FirstParagraph"/>
      </w:pPr>
      <w:r>
        <w:t xml:space="preserve">Financial reporting relied on multiple spreadsheets rather than a centralized financial dashboard, reducing visibility throughout the planning process.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1" w:name="key-lessons-learned"/>
    <w:p>
      <w:pPr>
        <w:pStyle w:val="Heading2"/>
      </w:pPr>
      <w:r>
        <w:t xml:space="preserve">4.5 Key Lessons Learned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Integrated Planning is Essential</w:t>
      </w:r>
    </w:p>
    <w:p>
      <w:pPr>
        <w:pStyle w:val="FirstParagraph"/>
      </w:pPr>
      <w:r>
        <w:t xml:space="preserve">Future summits should be jointly planned from inception by all organizing partners, with clear responsibilities and shared decision-making.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Marketing Must Be Fully Executed</w:t>
      </w:r>
    </w:p>
    <w:p>
      <w:pPr>
        <w:pStyle w:val="FirstParagraph"/>
      </w:pPr>
      <w:r>
        <w:t xml:space="preserve">Approved marketing plans should be implemented in full across radio, television, digital platforms, social media, and live streaming to maximize attendance and brand exposure.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Delegate Experience Should Remain a Core KPI</w:t>
      </w:r>
    </w:p>
    <w:p>
      <w:pPr>
        <w:pStyle w:val="FirstParagraph"/>
      </w:pPr>
      <w:r>
        <w:t xml:space="preserve">Delegate satisfaction should continue to influence venue selection, accommodation, catering, logistics, and communication.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Dedicated Financial Management</w:t>
      </w:r>
    </w:p>
    <w:p>
      <w:pPr>
        <w:pStyle w:val="FirstParagraph"/>
      </w:pPr>
      <w:r>
        <w:t xml:space="preserve">A centralized financial management process should provide real-time visibility of income, expenditure, receivables, and outstanding obligations.</w:t>
      </w:r>
    </w:p>
    <w:p>
      <w:pPr>
        <w:pStyle w:val="Compact"/>
        <w:numPr>
          <w:ilvl w:val="0"/>
          <w:numId w:val="1011"/>
        </w:numPr>
      </w:pPr>
      <w:r>
        <w:rPr>
          <w:b/>
          <w:bCs/>
        </w:rPr>
        <w:t xml:space="preserve">Balanced Administrative Resources</w:t>
      </w:r>
    </w:p>
    <w:p>
      <w:pPr>
        <w:pStyle w:val="FirstParagraph"/>
      </w:pPr>
      <w:r>
        <w:t xml:space="preserve">Administrative responsibilities should be distributed equitably across all organizing partners to improve coordination and reduce operational pressure on individual staff members.</w:t>
      </w:r>
    </w:p>
    <w:p>
      <w:pPr>
        <w:pStyle w:val="Compact"/>
        <w:numPr>
          <w:ilvl w:val="0"/>
          <w:numId w:val="1012"/>
        </w:numPr>
      </w:pPr>
      <w:r>
        <w:rPr>
          <w:b/>
          <w:bCs/>
        </w:rPr>
        <w:t xml:space="preserve">Post-Event Engagement is Critical</w:t>
      </w:r>
    </w:p>
    <w:p>
      <w:pPr>
        <w:pStyle w:val="FirstParagraph"/>
      </w:pPr>
      <w:r>
        <w:t xml:space="preserve">The summit should not end when delegates leave. Structured post-event communication, media coverage, stakeholder follow-up, and digital content should continue for several weeks after the event.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action-plan-and-next-steps"/>
    <w:p>
      <w:pPr>
        <w:pStyle w:val="Heading1"/>
      </w:pPr>
      <w:r>
        <w:t xml:space="preserve">5. Action Plan and Next Steps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060"/>
        <w:gridCol w:w="2340"/>
        <w:gridCol w:w="2520"/>
      </w:tblGrid>
      <w:tr>
        <w:trPr>
          <w:tblHeader w:val="on"/>
        </w:trP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Action Item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Details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Priority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1. Recover Outstanding Income</w:t>
            </w:r>
          </w:p>
        </w:tc>
        <w:tc>
          <w:tcPr/>
          <w:p>
            <w:pPr>
              <w:pStyle w:val="Compact"/>
            </w:pPr>
            <w:r>
              <w:t xml:space="preserve">Collect the outstanding</w:t>
            </w:r>
            <w:r>
              <w:t xml:space="preserve"> </w:t>
            </w:r>
            <w:r>
              <w:rPr>
                <w:b/>
                <w:bCs/>
              </w:rPr>
              <w:t xml:space="preserve">$14,951.50</w:t>
            </w:r>
            <w:r>
              <w:t xml:space="preserve">, including NetOne and all other outstanding payments.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2. Settle Outstanding Vendor Payments</w:t>
            </w:r>
          </w:p>
        </w:tc>
        <w:tc>
          <w:tcPr/>
          <w:p>
            <w:pPr>
              <w:pStyle w:val="Compact"/>
            </w:pPr>
            <w:r>
              <w:t xml:space="preserve">Reconcile and pay the outstanding</w:t>
            </w:r>
            <w:r>
              <w:t xml:space="preserve"> </w:t>
            </w:r>
            <w:r>
              <w:rPr>
                <w:b/>
                <w:bCs/>
              </w:rPr>
              <w:t xml:space="preserve">$2,440.00</w:t>
            </w:r>
            <w:r>
              <w:t xml:space="preserve"> </w:t>
            </w:r>
            <w:r>
              <w:t xml:space="preserve">owed to suppliers and speakers.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Critical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3. Complete Post-Event Marketing</w:t>
            </w:r>
          </w:p>
        </w:tc>
        <w:tc>
          <w:tcPr/>
          <w:p>
            <w:pPr>
              <w:pStyle w:val="Compact"/>
            </w:pPr>
            <w:r>
              <w:t xml:space="preserve">Publish summit photographs, presentations, keynote highlights, interviews, and appreciation messages across all communication platforms.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4. Conduct Delegate Satisfaction Survey</w:t>
            </w:r>
          </w:p>
        </w:tc>
        <w:tc>
          <w:tcPr/>
          <w:p>
            <w:pPr>
              <w:pStyle w:val="Compact"/>
            </w:pPr>
            <w:r>
              <w:t xml:space="preserve">Obtain structured feedback from delegates regarding programme quality, logistics, venue, and overall experience.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5. Strengthen Stakeholder Engagement</w:t>
            </w:r>
          </w:p>
        </w:tc>
        <w:tc>
          <w:tcPr/>
          <w:p>
            <w:pPr>
              <w:pStyle w:val="Compact"/>
            </w:pPr>
            <w:r>
              <w:t xml:space="preserve">Arrange follow-up meetings with strategic delegates and sponsors to build future partnerships and sponsorship opportunities.</w:t>
            </w:r>
          </w:p>
        </w:tc>
        <w:tc>
          <w:tcPr/>
          <w:p>
            <w:pPr>
              <w:pStyle w:val="Compact"/>
            </w:pPr>
            <w:r>
              <w:t xml:space="preserve">High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6. Update CRM and Contact Database</w:t>
            </w:r>
          </w:p>
        </w:tc>
        <w:tc>
          <w:tcPr/>
          <w:p>
            <w:pPr>
              <w:pStyle w:val="Compact"/>
            </w:pPr>
            <w:r>
              <w:t xml:space="preserve">Capture all delegates within the organization’s CRM and communication platforms for continuous engagement.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7. Conduct Internal Lessons Learned Workshop</w:t>
            </w:r>
          </w:p>
        </w:tc>
        <w:tc>
          <w:tcPr/>
          <w:p>
            <w:pPr>
              <w:pStyle w:val="Compact"/>
            </w:pPr>
            <w:r>
              <w:t xml:space="preserve">Review the summit, document lessons learned, and update Standard Operating Procedures (SOPs).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8. Develop a Comprehensive Marketing Plan</w:t>
            </w:r>
          </w:p>
        </w:tc>
        <w:tc>
          <w:tcPr/>
          <w:p>
            <w:pPr>
              <w:pStyle w:val="Compact"/>
            </w:pPr>
            <w:r>
              <w:t xml:space="preserve">Ensure future campaigns include radio, television, digital media, live streaming, and coordinated post-event communications.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9. Establish Joint Planning Committees</w:t>
            </w:r>
          </w:p>
        </w:tc>
        <w:tc>
          <w:tcPr/>
          <w:p>
            <w:pPr>
              <w:pStyle w:val="Compact"/>
            </w:pPr>
            <w:r>
              <w:t xml:space="preserve">Create integrated planning teams involving all organizing partners from project initiation through event delivery.</w:t>
            </w:r>
          </w:p>
        </w:tc>
        <w:tc>
          <w:tcPr/>
          <w:p>
            <w:pPr>
              <w:pStyle w:val="Compact"/>
            </w:pPr>
            <w:r>
              <w:t xml:space="preserve">Medium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3"/>
    <w:bookmarkStart w:id="44" w:name="conclusion"/>
    <w:p>
      <w:pPr>
        <w:pStyle w:val="Heading1"/>
      </w:pPr>
      <w:r>
        <w:t xml:space="preserve">6. Conclusion</w:t>
      </w:r>
    </w:p>
    <w:p>
      <w:pPr>
        <w:pStyle w:val="FirstParagraph"/>
      </w:pPr>
      <w:r>
        <w:t xml:space="preserve">The two summits achieved their strategic objectives by attracting a diverse range of stakeholders, strengthening organizational visibility, and delivering a positive financial outcome.</w:t>
      </w:r>
    </w:p>
    <w:p>
      <w:pPr>
        <w:pStyle w:val="BodyText"/>
      </w:pPr>
      <w:r>
        <w:t xml:space="preserve">With</w:t>
      </w:r>
      <w:r>
        <w:t xml:space="preserve"> </w:t>
      </w:r>
      <w:r>
        <w:rPr>
          <w:b/>
          <w:bCs/>
        </w:rPr>
        <w:t xml:space="preserve">total revenue of $69,906.00</w:t>
      </w:r>
      <w:r>
        <w:t xml:space="preserve">,</w:t>
      </w:r>
      <w:r>
        <w:t xml:space="preserve"> </w:t>
      </w:r>
      <w:r>
        <w:rPr>
          <w:b/>
          <w:bCs/>
        </w:rPr>
        <w:t xml:space="preserve">total expenditure of $46,777.00</w:t>
      </w:r>
      <w:r>
        <w:t xml:space="preserve">, and a</w:t>
      </w:r>
      <w:r>
        <w:t xml:space="preserve"> </w:t>
      </w:r>
      <w:r>
        <w:rPr>
          <w:b/>
          <w:bCs/>
        </w:rPr>
        <w:t xml:space="preserve">net profit of $23,129.00</w:t>
      </w:r>
      <w:r>
        <w:t xml:space="preserve">, the events demonstrated strong commercial viability.</w:t>
      </w:r>
    </w:p>
    <w:p>
      <w:pPr>
        <w:pStyle w:val="BodyText"/>
      </w:pPr>
      <w:r>
        <w:t xml:space="preserve">However, the review identified opportunities for improvement in financial management, joint planning, administration, logistics, marketing execution, and post-event engagement. The incomplete implementation of the pre-event marketing campaign, limited post-event communications, uneven allocation of administrative resources, and isolated planning processes reduced the overall impact that could have been achieved.</w:t>
      </w:r>
    </w:p>
    <w:p>
      <w:pPr>
        <w:pStyle w:val="BodyText"/>
      </w:pPr>
      <w:r>
        <w:t xml:space="preserve">Implementing the recommendations outlined in this report will strengthen future summit delivery, improve stakeholder satisfaction, enhance operational efficiency, and position future events for even greater strategic and financial success.</w:t>
      </w:r>
    </w:p>
    <w:bookmarkEnd w:id="4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abstractNum w:abstractNumId="99413">
    <w:nsid w:val="00A99413"/>
    <w:multiLevelType w:val="multilevel"/>
    <w:lvl w:ilvl="0">
      <w:start w:val="3"/>
      <w:numFmt w:val="decimal"/>
      <w:lvlText w:val="%1."/>
      <w:lvlJc w:val="left"/>
      <w:pPr>
        <w:ind w:left="720" w:hanging="360"/>
      </w:pPr>
    </w:lvl>
    <w:lvl w:ilvl="1">
      <w:start w:val="3"/>
      <w:numFmt w:val="decimal"/>
      <w:lvlText w:val="%2."/>
      <w:lvlJc w:val="left"/>
      <w:pPr>
        <w:ind w:left="1440" w:hanging="360"/>
      </w:pPr>
    </w:lvl>
    <w:lvl w:ilvl="2">
      <w:start w:val="3"/>
      <w:numFmt w:val="decimal"/>
      <w:lvlText w:val="%3."/>
      <w:lvlJc w:val="left"/>
      <w:pPr>
        <w:ind w:left="2160" w:hanging="360"/>
      </w:pPr>
    </w:lvl>
    <w:lvl w:ilvl="3">
      <w:start w:val="3"/>
      <w:numFmt w:val="decimal"/>
      <w:lvlText w:val="%4."/>
      <w:lvlJc w:val="left"/>
      <w:pPr>
        <w:ind w:left="2880" w:hanging="360"/>
      </w:pPr>
    </w:lvl>
    <w:lvl w:ilvl="4">
      <w:start w:val="3"/>
      <w:numFmt w:val="decimal"/>
      <w:lvlText w:val="%5."/>
      <w:lvlJc w:val="left"/>
      <w:pPr>
        <w:ind w:left="3600" w:hanging="360"/>
      </w:pPr>
    </w:lvl>
    <w:lvl w:ilvl="5">
      <w:start w:val="3"/>
      <w:numFmt w:val="decimal"/>
      <w:lvlText w:val="%6."/>
      <w:lvlJc w:val="left"/>
      <w:pPr>
        <w:ind w:left="4320" w:hanging="360"/>
      </w:pPr>
    </w:lvl>
    <w:lvl w:ilvl="6">
      <w:start w:val="3"/>
      <w:numFmt w:val="decimal"/>
      <w:lvlText w:val="%7."/>
      <w:lvlJc w:val="left"/>
      <w:pPr>
        <w:ind w:left="5040" w:hanging="360"/>
      </w:pPr>
    </w:lvl>
    <w:lvl w:ilvl="7">
      <w:start w:val="3"/>
      <w:numFmt w:val="decimal"/>
      <w:lvlText w:val="%8."/>
      <w:lvlJc w:val="left"/>
      <w:pPr>
        <w:ind w:left="5760" w:hanging="360"/>
      </w:pPr>
    </w:lvl>
    <w:lvl w:ilvl="8">
      <w:start w:val="3"/>
      <w:numFmt w:val="decimal"/>
      <w:lvlText w:val="%9."/>
      <w:lvlJc w:val="left"/>
      <w:pPr>
        <w:ind w:left="6480" w:hanging="360"/>
      </w:pPr>
    </w:lvl>
  </w:abstractNum>
  <w:abstractNum w:abstractNumId="99414">
    <w:nsid w:val="00A99414"/>
    <w:multiLevelType w:val="multilevel"/>
    <w:lvl w:ilvl="0">
      <w:start w:val="4"/>
      <w:numFmt w:val="decimal"/>
      <w:lvlText w:val="%1."/>
      <w:lvlJc w:val="left"/>
      <w:pPr>
        <w:ind w:left="720" w:hanging="360"/>
      </w:pPr>
    </w:lvl>
    <w:lvl w:ilvl="1">
      <w:start w:val="4"/>
      <w:numFmt w:val="decimal"/>
      <w:lvlText w:val="%2."/>
      <w:lvlJc w:val="left"/>
      <w:pPr>
        <w:ind w:left="1440" w:hanging="360"/>
      </w:pPr>
    </w:lvl>
    <w:lvl w:ilvl="2">
      <w:start w:val="4"/>
      <w:numFmt w:val="decimal"/>
      <w:lvlText w:val="%3."/>
      <w:lvlJc w:val="left"/>
      <w:pPr>
        <w:ind w:left="2160" w:hanging="360"/>
      </w:pPr>
    </w:lvl>
    <w:lvl w:ilvl="3">
      <w:start w:val="4"/>
      <w:numFmt w:val="decimal"/>
      <w:lvlText w:val="%4."/>
      <w:lvlJc w:val="left"/>
      <w:pPr>
        <w:ind w:left="2880" w:hanging="360"/>
      </w:pPr>
    </w:lvl>
    <w:lvl w:ilvl="4">
      <w:start w:val="4"/>
      <w:numFmt w:val="decimal"/>
      <w:lvlText w:val="%5."/>
      <w:lvlJc w:val="left"/>
      <w:pPr>
        <w:ind w:left="3600" w:hanging="360"/>
      </w:pPr>
    </w:lvl>
    <w:lvl w:ilvl="5">
      <w:start w:val="4"/>
      <w:numFmt w:val="decimal"/>
      <w:lvlText w:val="%6."/>
      <w:lvlJc w:val="left"/>
      <w:pPr>
        <w:ind w:left="4320" w:hanging="360"/>
      </w:pPr>
    </w:lvl>
    <w:lvl w:ilvl="6">
      <w:start w:val="4"/>
      <w:numFmt w:val="decimal"/>
      <w:lvlText w:val="%7."/>
      <w:lvlJc w:val="left"/>
      <w:pPr>
        <w:ind w:left="5040" w:hanging="360"/>
      </w:pPr>
    </w:lvl>
    <w:lvl w:ilvl="7">
      <w:start w:val="4"/>
      <w:numFmt w:val="decimal"/>
      <w:lvlText w:val="%8."/>
      <w:lvlJc w:val="left"/>
      <w:pPr>
        <w:ind w:left="5760" w:hanging="360"/>
      </w:pPr>
    </w:lvl>
    <w:lvl w:ilvl="8">
      <w:start w:val="4"/>
      <w:numFmt w:val="decimal"/>
      <w:lvlText w:val="%9."/>
      <w:lvlJc w:val="left"/>
      <w:pPr>
        <w:ind w:left="6480" w:hanging="360"/>
      </w:pPr>
    </w:lvl>
  </w:abstractNum>
  <w:abstractNum w:abstractNumId="99415">
    <w:nsid w:val="00A99415"/>
    <w:multiLevelType w:val="multilevel"/>
    <w:lvl w:ilvl="0">
      <w:start w:val="5"/>
      <w:numFmt w:val="decimal"/>
      <w:lvlText w:val="%1."/>
      <w:lvlJc w:val="left"/>
      <w:pPr>
        <w:ind w:left="720" w:hanging="360"/>
      </w:pPr>
    </w:lvl>
    <w:lvl w:ilvl="1">
      <w:start w:val="5"/>
      <w:numFmt w:val="decimal"/>
      <w:lvlText w:val="%2."/>
      <w:lvlJc w:val="left"/>
      <w:pPr>
        <w:ind w:left="1440" w:hanging="360"/>
      </w:pPr>
    </w:lvl>
    <w:lvl w:ilvl="2">
      <w:start w:val="5"/>
      <w:numFmt w:val="decimal"/>
      <w:lvlText w:val="%3."/>
      <w:lvlJc w:val="left"/>
      <w:pPr>
        <w:ind w:left="2160" w:hanging="360"/>
      </w:pPr>
    </w:lvl>
    <w:lvl w:ilvl="3">
      <w:start w:val="5"/>
      <w:numFmt w:val="decimal"/>
      <w:lvlText w:val="%4."/>
      <w:lvlJc w:val="left"/>
      <w:pPr>
        <w:ind w:left="2880" w:hanging="360"/>
      </w:pPr>
    </w:lvl>
    <w:lvl w:ilvl="4">
      <w:start w:val="5"/>
      <w:numFmt w:val="decimal"/>
      <w:lvlText w:val="%5."/>
      <w:lvlJc w:val="left"/>
      <w:pPr>
        <w:ind w:left="3600" w:hanging="360"/>
      </w:pPr>
    </w:lvl>
    <w:lvl w:ilvl="5">
      <w:start w:val="5"/>
      <w:numFmt w:val="decimal"/>
      <w:lvlText w:val="%6."/>
      <w:lvlJc w:val="left"/>
      <w:pPr>
        <w:ind w:left="4320" w:hanging="360"/>
      </w:pPr>
    </w:lvl>
    <w:lvl w:ilvl="6">
      <w:start w:val="5"/>
      <w:numFmt w:val="decimal"/>
      <w:lvlText w:val="%7."/>
      <w:lvlJc w:val="left"/>
      <w:pPr>
        <w:ind w:left="5040" w:hanging="360"/>
      </w:pPr>
    </w:lvl>
    <w:lvl w:ilvl="7">
      <w:start w:val="5"/>
      <w:numFmt w:val="decimal"/>
      <w:lvlText w:val="%8."/>
      <w:lvlJc w:val="left"/>
      <w:pPr>
        <w:ind w:left="5760" w:hanging="360"/>
      </w:pPr>
    </w:lvl>
    <w:lvl w:ilvl="8">
      <w:start w:val="5"/>
      <w:numFmt w:val="decimal"/>
      <w:lvlText w:val="%9."/>
      <w:lvlJc w:val="left"/>
      <w:pPr>
        <w:ind w:left="6480" w:hanging="360"/>
      </w:pPr>
    </w:lvl>
  </w:abstractNum>
  <w:abstractNum w:abstractNumId="99416">
    <w:nsid w:val="00A99416"/>
    <w:multiLevelType w:val="multilevel"/>
    <w:lvl w:ilvl="0">
      <w:start w:val="6"/>
      <w:numFmt w:val="decimal"/>
      <w:lvlText w:val="%1."/>
      <w:lvlJc w:val="left"/>
      <w:pPr>
        <w:ind w:left="720" w:hanging="360"/>
      </w:pPr>
    </w:lvl>
    <w:lvl w:ilvl="1">
      <w:start w:val="6"/>
      <w:numFmt w:val="decimal"/>
      <w:lvlText w:val="%2."/>
      <w:lvlJc w:val="left"/>
      <w:pPr>
        <w:ind w:left="1440" w:hanging="360"/>
      </w:pPr>
    </w:lvl>
    <w:lvl w:ilvl="2">
      <w:start w:val="6"/>
      <w:numFmt w:val="decimal"/>
      <w:lvlText w:val="%3."/>
      <w:lvlJc w:val="left"/>
      <w:pPr>
        <w:ind w:left="2160" w:hanging="360"/>
      </w:pPr>
    </w:lvl>
    <w:lvl w:ilvl="3">
      <w:start w:val="6"/>
      <w:numFmt w:val="decimal"/>
      <w:lvlText w:val="%4."/>
      <w:lvlJc w:val="left"/>
      <w:pPr>
        <w:ind w:left="2880" w:hanging="360"/>
      </w:pPr>
    </w:lvl>
    <w:lvl w:ilvl="4">
      <w:start w:val="6"/>
      <w:numFmt w:val="decimal"/>
      <w:lvlText w:val="%5."/>
      <w:lvlJc w:val="left"/>
      <w:pPr>
        <w:ind w:left="3600" w:hanging="360"/>
      </w:pPr>
    </w:lvl>
    <w:lvl w:ilvl="5">
      <w:start w:val="6"/>
      <w:numFmt w:val="decimal"/>
      <w:lvlText w:val="%6."/>
      <w:lvlJc w:val="left"/>
      <w:pPr>
        <w:ind w:left="4320" w:hanging="360"/>
      </w:pPr>
    </w:lvl>
    <w:lvl w:ilvl="6">
      <w:start w:val="6"/>
      <w:numFmt w:val="decimal"/>
      <w:lvlText w:val="%7."/>
      <w:lvlJc w:val="left"/>
      <w:pPr>
        <w:ind w:left="5040" w:hanging="360"/>
      </w:pPr>
    </w:lvl>
    <w:lvl w:ilvl="7">
      <w:start w:val="6"/>
      <w:numFmt w:val="decimal"/>
      <w:lvlText w:val="%8."/>
      <w:lvlJc w:val="left"/>
      <w:pPr>
        <w:ind w:left="5760" w:hanging="360"/>
      </w:pPr>
    </w:lvl>
    <w:lvl w:ilvl="8">
      <w:start w:val="6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09">
    <w:abstractNumId w:val="99413"/>
    <w:lvlOverride w:ilvl="0">
      <w:startOverride w:val="3"/>
    </w:lvlOverride>
    <w:lvlOverride w:ilvl="1">
      <w:startOverride w:val="3"/>
    </w:lvlOverride>
    <w:lvlOverride w:ilvl="2">
      <w:startOverride w:val="3"/>
    </w:lvlOverride>
    <w:lvlOverride w:ilvl="3">
      <w:startOverride w:val="3"/>
    </w:lvlOverride>
    <w:lvlOverride w:ilvl="4">
      <w:startOverride w:val="3"/>
    </w:lvlOverride>
    <w:lvlOverride w:ilvl="5">
      <w:startOverride w:val="3"/>
    </w:lvlOverride>
    <w:lvlOverride w:ilvl="6">
      <w:startOverride w:val="3"/>
    </w:lvlOverride>
    <w:lvlOverride w:ilvl="7">
      <w:startOverride w:val="3"/>
    </w:lvlOverride>
    <w:lvlOverride w:ilvl="8">
      <w:startOverride w:val="3"/>
    </w:lvlOverride>
  </w:num>
  <w:num w:numId="1010">
    <w:abstractNumId w:val="99414"/>
    <w:lvlOverride w:ilvl="0">
      <w:startOverride w:val="4"/>
    </w:lvlOverride>
    <w:lvlOverride w:ilvl="1">
      <w:startOverride w:val="4"/>
    </w:lvlOverride>
    <w:lvlOverride w:ilvl="2">
      <w:startOverride w:val="4"/>
    </w:lvlOverride>
    <w:lvlOverride w:ilvl="3">
      <w:startOverride w:val="4"/>
    </w:lvlOverride>
    <w:lvlOverride w:ilvl="4">
      <w:startOverride w:val="4"/>
    </w:lvlOverride>
    <w:lvlOverride w:ilvl="5">
      <w:startOverride w:val="4"/>
    </w:lvlOverride>
    <w:lvlOverride w:ilvl="6">
      <w:startOverride w:val="4"/>
    </w:lvlOverride>
    <w:lvlOverride w:ilvl="7">
      <w:startOverride w:val="4"/>
    </w:lvlOverride>
    <w:lvlOverride w:ilvl="8">
      <w:startOverride w:val="4"/>
    </w:lvlOverride>
  </w:num>
  <w:num w:numId="1011">
    <w:abstractNumId w:val="99415"/>
    <w:lvlOverride w:ilvl="0">
      <w:startOverride w:val="5"/>
    </w:lvlOverride>
    <w:lvlOverride w:ilvl="1">
      <w:startOverride w:val="5"/>
    </w:lvlOverride>
    <w:lvlOverride w:ilvl="2">
      <w:startOverride w:val="5"/>
    </w:lvlOverride>
    <w:lvlOverride w:ilvl="3">
      <w:startOverride w:val="5"/>
    </w:lvlOverride>
    <w:lvlOverride w:ilvl="4">
      <w:startOverride w:val="5"/>
    </w:lvlOverride>
    <w:lvlOverride w:ilvl="5">
      <w:startOverride w:val="5"/>
    </w:lvlOverride>
    <w:lvlOverride w:ilvl="6">
      <w:startOverride w:val="5"/>
    </w:lvlOverride>
    <w:lvlOverride w:ilvl="7">
      <w:startOverride w:val="5"/>
    </w:lvlOverride>
    <w:lvlOverride w:ilvl="8">
      <w:startOverride w:val="5"/>
    </w:lvlOverride>
  </w:num>
  <w:num w:numId="1012">
    <w:abstractNumId w:val="99416"/>
    <w:lvlOverride w:ilvl="0">
      <w:startOverride w:val="6"/>
    </w:lvlOverride>
    <w:lvlOverride w:ilvl="1">
      <w:startOverride w:val="6"/>
    </w:lvlOverride>
    <w:lvlOverride w:ilvl="2">
      <w:startOverride w:val="6"/>
    </w:lvlOverride>
    <w:lvlOverride w:ilvl="3">
      <w:startOverride w:val="6"/>
    </w:lvlOverride>
    <w:lvlOverride w:ilvl="4">
      <w:startOverride w:val="6"/>
    </w:lvlOverride>
    <w:lvlOverride w:ilvl="5">
      <w:startOverride w:val="6"/>
    </w:lvlOverride>
    <w:lvlOverride w:ilvl="6">
      <w:startOverride w:val="6"/>
    </w:lvlOverride>
    <w:lvlOverride w:ilvl="7">
      <w:startOverride w:val="6"/>
    </w:lvlOverride>
    <w:lvlOverride w:ilvl="8">
      <w:startOverride w:val="6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2026-06-29T12:18:39Z</dcterms:created>
  <dcterms:modified xsi:type="dcterms:W3CDTF">2026-06-29T12:18:39Z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